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TÀI LIỆU MÔ TẢ DỮ LIỆU BÊN NGOÀI (EXTERNAL DATASET README)</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QUAN CHUNG </w:t>
      </w:r>
    </w:p>
    <w:p w:rsidR="00000000" w:rsidDel="00000000" w:rsidP="00000000" w:rsidRDefault="00000000" w:rsidRPr="00000000" w14:paraId="0000000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Tên file dữ liệu: external_data.xlsx</w:t>
      </w:r>
    </w:p>
    <w:p w:rsidR="00000000" w:rsidDel="00000000" w:rsidP="00000000" w:rsidRDefault="00000000" w:rsidRPr="00000000" w14:paraId="0000000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Ngày cập nhật: 22/10/2026</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CHI TIẾT TỪNG BỘ DỮ LIỆU</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dữ liệu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Danh sách đối chiếu các tỉnh trước và sau khi sát nhập [sheet: Sát nhập tỉnh]</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94"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Nguồn dữ liệu và thời gian báo cáo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dữ liệu: Báo điện tử - xây dựng chính sách, pháp luật</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Chi tiết 34 đơn vị hành chính cấp tỉnh</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báo cáo: 21/10/2026 05:59</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94"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Phạm vi địa lý và mức độ chi tiết</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địa lý: Toàn quốc (Tập trung vào 34 đơn vị hành chính cấp tỉnh bị ảnh hưởng bởi sáp nhập).</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Mức độ chi tiết: Cấp tỉnh/ thành phố.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 ghép nối với dữ liệu</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liên kết: Ghép nối qua cột </w:t>
      </w:r>
      <w:r w:rsidDel="00000000" w:rsidR="00000000" w:rsidRPr="00000000">
        <w:rPr>
          <w:rFonts w:ascii="Times New Roman" w:cs="Times New Roman" w:eastAsia="Times New Roman" w:hAnsi="Times New Roman"/>
          <w:i w:val="1"/>
          <w:iCs w:val="1"/>
          <w:color w:val="000000"/>
          <w:sz w:val="28"/>
          <w:szCs w:val="28"/>
          <w:rtl w:val="0"/>
        </w:rPr>
        <w:t xml:space="preserve">province_before.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Kỹ thuật ghép nối: Sử dụng hàm VLOOKUP trong Excel dựa trên cột </w:t>
      </w:r>
      <w:r w:rsidDel="00000000" w:rsidR="00000000" w:rsidRPr="00000000">
        <w:rPr>
          <w:rFonts w:ascii="Times New Roman" w:cs="Times New Roman" w:eastAsia="Times New Roman" w:hAnsi="Times New Roman"/>
          <w:i w:val="1"/>
          <w:iCs w:val="1"/>
          <w:color w:val="000000"/>
          <w:sz w:val="28"/>
          <w:szCs w:val="28"/>
          <w:rtl w:val="0"/>
        </w:rPr>
        <w:t xml:space="preserve">province_before </w:t>
      </w:r>
      <w:r w:rsidDel="00000000" w:rsidR="00000000" w:rsidRPr="00000000">
        <w:rPr>
          <w:rFonts w:ascii="Times New Roman" w:cs="Times New Roman" w:eastAsia="Times New Roman" w:hAnsi="Times New Roman"/>
          <w:color w:val="000000"/>
          <w:sz w:val="28"/>
          <w:szCs w:val="28"/>
          <w:rtl w:val="0"/>
        </w:rPr>
        <w:t xml:space="preserve">để tham chiếu sang tên tỉnh thành mới tại cột province_after. </w:t>
      </w:r>
    </w:p>
    <w:p w:rsidR="00000000" w:rsidDel="00000000" w:rsidP="00000000" w:rsidRDefault="00000000" w:rsidRPr="00000000" w14:paraId="0000001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Trong đó, cột </w:t>
      </w:r>
      <w:r w:rsidDel="00000000" w:rsidR="00000000" w:rsidRPr="00000000">
        <w:rPr>
          <w:rFonts w:ascii="Times New Roman" w:cs="Times New Roman" w:eastAsia="Times New Roman" w:hAnsi="Times New Roman"/>
          <w:i w:val="1"/>
          <w:iCs w:val="1"/>
          <w:color w:val="000000"/>
          <w:sz w:val="28"/>
          <w:szCs w:val="28"/>
          <w:rtl w:val="0"/>
        </w:rPr>
        <w:t xml:space="preserve">province_before</w:t>
      </w:r>
      <w:r w:rsidDel="00000000" w:rsidR="00000000" w:rsidRPr="00000000">
        <w:rPr>
          <w:rFonts w:ascii="Times New Roman" w:cs="Times New Roman" w:eastAsia="Times New Roman" w:hAnsi="Times New Roman"/>
          <w:color w:val="000000"/>
          <w:sz w:val="28"/>
          <w:szCs w:val="28"/>
          <w:rtl w:val="0"/>
        </w:rPr>
        <w:t xml:space="preserve"> được tổng hợp với nhiều định dạng với tên gọi khác nhau để tự động sửa lỗi chính tả/ định dạng từ dữ liệu nội bộ. Cột </w:t>
      </w:r>
      <w:r w:rsidDel="00000000" w:rsidR="00000000" w:rsidRPr="00000000">
        <w:rPr>
          <w:rFonts w:ascii="Times New Roman" w:cs="Times New Roman" w:eastAsia="Times New Roman" w:hAnsi="Times New Roman"/>
          <w:i w:val="1"/>
          <w:iCs w:val="1"/>
          <w:color w:val="000000"/>
          <w:sz w:val="28"/>
          <w:szCs w:val="28"/>
          <w:rtl w:val="0"/>
        </w:rPr>
        <w:t xml:space="preserve">province_after</w:t>
      </w:r>
      <w:r w:rsidDel="00000000" w:rsidR="00000000" w:rsidRPr="00000000">
        <w:rPr>
          <w:rFonts w:ascii="Times New Roman" w:cs="Times New Roman" w:eastAsia="Times New Roman" w:hAnsi="Times New Roman"/>
          <w:color w:val="000000"/>
          <w:sz w:val="28"/>
          <w:szCs w:val="28"/>
          <w:rtl w:val="0"/>
        </w:rPr>
        <w:t xml:space="preserve"> được chuẩn hóa theo tên gọi hành chính hiện hành sau sát nhập theo Nghị quyết số 202/2025/QH15 của Quốc hội khóa XV được thông qua vào ngày 12/6/2025 và có hiệu lực cùng ngày.</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94"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Ý nghĩa kinh doanh</w:t>
      </w:r>
    </w:p>
    <w:p w:rsidR="00000000" w:rsidDel="00000000" w:rsidP="00000000" w:rsidRDefault="00000000" w:rsidRPr="00000000" w14:paraId="0000001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Giúp tổng hợp chính xác dữ liệu kinh doanh của các tỉnh thành tương ứng sau sáp nhập. Không có bước này, việc map dữ liệu lịch sử của shop với dữ liệu vĩ mô năm 2025-2026 sẽ bị lỗi hoàn toàn ở các khu vực có biến động hành chính.</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94" w:right="0" w:hanging="360"/>
        <w:jc w:val="left"/>
        <w:rPr>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Hạn chế</w:t>
      </w:r>
    </w:p>
    <w:p w:rsidR="00000000" w:rsidDel="00000000" w:rsidP="00000000" w:rsidRDefault="00000000" w:rsidRPr="00000000" w14:paraId="0000001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Cần phải cập nhật thêm thủ công nếu phát hiện ra một định dạng tên tỉnh cũ nào đó chưa có trong danh sách province_before.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dữ liệu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Diện tích, dân số và mật độ dân số phân theo địa phương [sheet: Dân số và diện tích từng tỉnh]</w:t>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456" w:right="0" w:hanging="18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Nguồn dữ liệu và thời gian báo cáo</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dữ liệu: Cục thống kê quốc gia (cục thống kê – tài chính), Mục Dân số và Lao động – Bảng diện tích, dân số và mật độ dân số phân theo địa phương.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w:t>
      </w:r>
      <w:hyperlink r:id="rId9">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Diện tích, dân số và mật độ dân số phân theo địa phương</w:t>
        </w:r>
      </w:hyperlink>
      <w:hyperlink r:id="rId10">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báo cáo: Năm 2025.</w:t>
        <w:tab/>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 thích: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Diện tích tại thời điểm 31/12/2023 theo Quyết định số 3411/QĐ-BTNMT ngày 24 tháng 10 năm 2024 của Bộ trưởng Bộ Tài nguyên và Môi trường.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8.00000000000006" w:lineRule="auto"/>
        <w:ind w:left="1456" w:right="0" w:hanging="18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Phạm vi địa lý và độ chi tiết</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địa lý: 63 tỉnh thành trước khi sát nhập</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chi tiết: cấp tỉnh/ thành. Đơn vị đo: người (dân số) và km2 (diện tích).</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8.00000000000006" w:lineRule="auto"/>
        <w:ind w:left="1456" w:right="0" w:hanging="18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 ghép nối</w:t>
      </w:r>
    </w:p>
    <w:p w:rsidR="00000000" w:rsidDel="00000000" w:rsidP="00000000" w:rsidRDefault="00000000" w:rsidRPr="00000000" w14:paraId="0000002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liên kết: Ghép nối qua cột </w:t>
      </w:r>
      <w:r w:rsidDel="00000000" w:rsidR="00000000" w:rsidRPr="00000000">
        <w:rPr>
          <w:rFonts w:ascii="Times New Roman" w:cs="Times New Roman" w:eastAsia="Times New Roman" w:hAnsi="Times New Roman"/>
          <w:i w:val="1"/>
          <w:iCs w:val="1"/>
          <w:color w:val="000000"/>
          <w:sz w:val="28"/>
          <w:szCs w:val="28"/>
          <w:rtl w:val="0"/>
        </w:rPr>
        <w:t xml:space="preserve">province_before </w:t>
      </w:r>
      <w:r w:rsidDel="00000000" w:rsidR="00000000" w:rsidRPr="00000000">
        <w:rPr>
          <w:rFonts w:ascii="Times New Roman" w:cs="Times New Roman" w:eastAsia="Times New Roman" w:hAnsi="Times New Roman"/>
          <w:color w:val="000000"/>
          <w:sz w:val="28"/>
          <w:szCs w:val="28"/>
          <w:rtl w:val="0"/>
        </w:rPr>
        <w:t xml:space="preserve">để tham chiếu với cột </w:t>
      </w:r>
      <w:r w:rsidDel="00000000" w:rsidR="00000000" w:rsidRPr="00000000">
        <w:rPr>
          <w:rFonts w:ascii="Times New Roman" w:cs="Times New Roman" w:eastAsia="Times New Roman" w:hAnsi="Times New Roman"/>
          <w:i w:val="1"/>
          <w:iCs w:val="1"/>
          <w:color w:val="000000"/>
          <w:sz w:val="28"/>
          <w:szCs w:val="28"/>
          <w:rtl w:val="0"/>
        </w:rPr>
        <w:t xml:space="preserve">province_after </w:t>
      </w:r>
      <w:r w:rsidDel="00000000" w:rsidR="00000000" w:rsidRPr="00000000">
        <w:rPr>
          <w:rFonts w:ascii="Times New Roman" w:cs="Times New Roman" w:eastAsia="Times New Roman" w:hAnsi="Times New Roman"/>
          <w:color w:val="000000"/>
          <w:sz w:val="28"/>
          <w:szCs w:val="28"/>
          <w:rtl w:val="0"/>
        </w:rPr>
        <w:t xml:space="preserve">của bộ dữ liệu 1. </w:t>
      </w:r>
    </w:p>
    <w:p w:rsidR="00000000" w:rsidDel="00000000" w:rsidP="00000000" w:rsidRDefault="00000000" w:rsidRPr="00000000" w14:paraId="0000002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Kỹ thuật ghép nối: dùng các hàm tiêu chuẩn trong excel để tham chiếu với các tỉnh thành sau khi </w:t>
      </w:r>
      <w:r w:rsidDel="00000000" w:rsidR="00000000" w:rsidRPr="00000000">
        <w:rPr>
          <w:rFonts w:ascii="Times New Roman" w:cs="Times New Roman" w:eastAsia="Times New Roman" w:hAnsi="Times New Roman"/>
          <w:sz w:val="28"/>
          <w:szCs w:val="28"/>
          <w:rtl w:val="0"/>
        </w:rPr>
        <w:t xml:space="preserve">sáp</w:t>
      </w:r>
      <w:r w:rsidDel="00000000" w:rsidR="00000000" w:rsidRPr="00000000">
        <w:rPr>
          <w:rFonts w:ascii="Times New Roman" w:cs="Times New Roman" w:eastAsia="Times New Roman" w:hAnsi="Times New Roman"/>
          <w:color w:val="000000"/>
          <w:sz w:val="28"/>
          <w:szCs w:val="28"/>
          <w:rtl w:val="0"/>
        </w:rPr>
        <w:t xml:space="preserve"> nhập. </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8.00000000000006" w:lineRule="auto"/>
        <w:ind w:left="1456" w:right="0" w:hanging="18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Ý nghĩa kinh doanh</w:t>
      </w:r>
    </w:p>
    <w:p w:rsidR="00000000" w:rsidDel="00000000" w:rsidP="00000000" w:rsidRDefault="00000000" w:rsidRPr="00000000" w14:paraId="0000002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Đây là dữ liệu xương sống để tính toán chỉ số Penetration (mức thâm nhập = số hợp đồng hiện tại / 1000 người trưởng thành).</w:t>
      </w:r>
    </w:p>
    <w:p w:rsidR="00000000" w:rsidDel="00000000" w:rsidP="00000000" w:rsidRDefault="00000000" w:rsidRPr="00000000" w14:paraId="0000002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Đặt nền móng để xác định hạn mức hợp đồng cho từng tỉnh dựa trên benchmark của những tỉnh dẫn đầu. </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78.00000000000006" w:lineRule="auto"/>
        <w:ind w:left="1456" w:right="0" w:hanging="18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Giả định, hạn chế và sai lệch</w:t>
      </w:r>
    </w:p>
    <w:p w:rsidR="00000000" w:rsidDel="00000000" w:rsidP="00000000" w:rsidRDefault="00000000" w:rsidRPr="00000000" w14:paraId="0000002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Giả định về độ trễ thời gian: Dữ liệu nhân khẩu học cấp tỉnh thường có biên độ biến động rất thấp trong ngắn hạn (1 năm). Do số liệu thống kê chính thức năm 2026 chưa được công bố đầy đủ, nhóm nghiên cứu giả định tốc độ gia tăng dân số (tự nhiên và cơ học) từ năm 2025 đến 2026 là không đáng kể và cấu trúc phân bổ dân cư giữa các tỉnh không bị phá vỡ. Việc dùng dữ liệu 2025 để tính toán tỷ lệ thâm nhập cho năm 2026 được xem là có tính đại diện cao và không làm sai lệch trọng yếu đến kết quả phân bổ chỉ tiêu cho các shop. Bên cạnh đó, việc tương đồng số liệu giữa các tỉnh giúp cho việc sai lệch số liệu giữa các tỉnh là không đáng kể. </w:t>
      </w:r>
    </w:p>
    <w:p w:rsidR="00000000" w:rsidDel="00000000" w:rsidP="00000000" w:rsidRDefault="00000000" w:rsidRPr="00000000" w14:paraId="0000002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Hạn chế: Mặc dù dữ liệu được thống kê trên cục thống kê quốc gia, số liệu vẫn có sự sai lệch nhất định.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dữ liệu 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Lực lượng lao động từ 15 tuổi trở lên phân theo địa phương [sheet: Lao động theo từng tỉnh]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Nguồn dữ liệu và thời gian báo cáo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dữ liệu: Cục thống kê quốc gia (cục thống kê – tài chính), Mục Dân số và Lao động – Bảng Lực lượng lao động từ 15 tuổi trở lên phân theo địa phương.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w:t>
      </w:r>
      <w:hyperlink r:id="rId11">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Lực lượng lao động từ 15 tuổi trở lên phân theo địa phương</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báo cáo: Sơ bộ năm 2025.</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 thích: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Từ năm 2008 tới nay, số liệu thành phố Hà Nội bao gồm cả tỉnh Hà Tây. Số liệu từ năm 2021 đến nay tính toán theo tiêu chuẩn ICLS 19. Theo tiêu chuẩn mới ICLS 19, những người làm việc với mục đích sản xuất sản phẩm tự cung tự cấp trong khu vực nông, lâm nghiệp và thủy sản sẽ không được xác định là những người có việc làm như quy định trước đây của tiêu chuẩn ICLS 13.</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Phạm vi địa lý và độ chi tiết</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địa lý: 63 tỉnh thành trước khi sát nhập</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chi tiết: cấp tỉnh/ thành. Đơn vị đo: người (dân số).</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 ghép nối</w:t>
      </w:r>
    </w:p>
    <w:p w:rsidR="00000000" w:rsidDel="00000000" w:rsidP="00000000" w:rsidRDefault="00000000" w:rsidRPr="00000000" w14:paraId="0000003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liên kết: Ghép nối qua cột </w:t>
      </w:r>
      <w:r w:rsidDel="00000000" w:rsidR="00000000" w:rsidRPr="00000000">
        <w:rPr>
          <w:rFonts w:ascii="Times New Roman" w:cs="Times New Roman" w:eastAsia="Times New Roman" w:hAnsi="Times New Roman"/>
          <w:i w:val="1"/>
          <w:iCs w:val="1"/>
          <w:color w:val="000000"/>
          <w:sz w:val="28"/>
          <w:szCs w:val="28"/>
          <w:rtl w:val="0"/>
        </w:rPr>
        <w:t xml:space="preserve">province_before </w:t>
      </w:r>
      <w:r w:rsidDel="00000000" w:rsidR="00000000" w:rsidRPr="00000000">
        <w:rPr>
          <w:rFonts w:ascii="Times New Roman" w:cs="Times New Roman" w:eastAsia="Times New Roman" w:hAnsi="Times New Roman"/>
          <w:color w:val="000000"/>
          <w:sz w:val="28"/>
          <w:szCs w:val="28"/>
          <w:rtl w:val="0"/>
        </w:rPr>
        <w:t xml:space="preserve">để tham chiếu với cột </w:t>
      </w:r>
      <w:r w:rsidDel="00000000" w:rsidR="00000000" w:rsidRPr="00000000">
        <w:rPr>
          <w:rFonts w:ascii="Times New Roman" w:cs="Times New Roman" w:eastAsia="Times New Roman" w:hAnsi="Times New Roman"/>
          <w:i w:val="1"/>
          <w:iCs w:val="1"/>
          <w:color w:val="000000"/>
          <w:sz w:val="28"/>
          <w:szCs w:val="28"/>
          <w:rtl w:val="0"/>
        </w:rPr>
        <w:t xml:space="preserve">province_after </w:t>
      </w:r>
      <w:r w:rsidDel="00000000" w:rsidR="00000000" w:rsidRPr="00000000">
        <w:rPr>
          <w:rFonts w:ascii="Times New Roman" w:cs="Times New Roman" w:eastAsia="Times New Roman" w:hAnsi="Times New Roman"/>
          <w:color w:val="000000"/>
          <w:sz w:val="28"/>
          <w:szCs w:val="28"/>
          <w:rtl w:val="0"/>
        </w:rPr>
        <w:t xml:space="preserve">của bộ dữ liệu.</w:t>
      </w:r>
    </w:p>
    <w:p w:rsidR="00000000" w:rsidDel="00000000" w:rsidP="00000000" w:rsidRDefault="00000000" w:rsidRPr="00000000" w14:paraId="0000003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Kỹ thuật ghép nối: dùng các hàm tiêu chuẩn trong excel để tham chiếu với các tỉnh thành sau khi </w:t>
      </w:r>
      <w:r w:rsidDel="00000000" w:rsidR="00000000" w:rsidRPr="00000000">
        <w:rPr>
          <w:rFonts w:ascii="Times New Roman" w:cs="Times New Roman" w:eastAsia="Times New Roman" w:hAnsi="Times New Roman"/>
          <w:sz w:val="28"/>
          <w:szCs w:val="28"/>
          <w:rtl w:val="0"/>
        </w:rPr>
        <w:t xml:space="preserve">sáp</w:t>
      </w:r>
      <w:r w:rsidDel="00000000" w:rsidR="00000000" w:rsidRPr="00000000">
        <w:rPr>
          <w:rFonts w:ascii="Times New Roman" w:cs="Times New Roman" w:eastAsia="Times New Roman" w:hAnsi="Times New Roman"/>
          <w:color w:val="000000"/>
          <w:sz w:val="28"/>
          <w:szCs w:val="28"/>
          <w:rtl w:val="0"/>
        </w:rPr>
        <w:t xml:space="preserve"> nhập.</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Ý nghĩa kinh doanh</w:t>
      </w:r>
    </w:p>
    <w:p w:rsidR="00000000" w:rsidDel="00000000" w:rsidP="00000000" w:rsidRDefault="00000000" w:rsidRPr="00000000" w14:paraId="0000003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Bộ dữ liệu 2 chỉ cho ta biết được số dân của mỗi tỉnh, bộ dữ liệu này sẽ cho ta biết thêm về số người lao động có thể ký hợp đồng.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Giả định, hạn chế và sai lệch</w:t>
      </w:r>
    </w:p>
    <w:p w:rsidR="00000000" w:rsidDel="00000000" w:rsidP="00000000" w:rsidRDefault="00000000" w:rsidRPr="00000000" w14:paraId="0000003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Hạn chế dữ liệu: Niên giám thống kê hiện tại không có sẵn số liệu bóc tách chính xác tập dân số "từ đủ 18 tuổi trở lên" ở cấp độ từng tỉnh, mà phân loại theo lực lượng lao động "từ 15 tuổi trở lên". </w:t>
      </w:r>
    </w:p>
    <w:p w:rsidR="00000000" w:rsidDel="00000000" w:rsidP="00000000" w:rsidRDefault="00000000" w:rsidRPr="00000000" w14:paraId="0000003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Giả định: Nhóm nghiên cứu sử dụng tập dân số "từ 15 tuổi trở lên" làm mẫu số (Addressable Market) để tính toán tỷ lệ thâm nhập (Penetration Rate).</w:t>
      </w:r>
    </w:p>
    <w:p w:rsidR="00000000" w:rsidDel="00000000" w:rsidP="00000000" w:rsidRDefault="00000000" w:rsidRPr="00000000" w14:paraId="0000003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Căn cứ kinh doanh và pháp lý: Giả định này hoàn toàn khả thi và hợp lệ. Theo Khoản 4 Điều 21 Bộ luật Dân sự 2015 và Điều 7 Thông tư 39/2016/TT-NHNN, khách hàng từ đủ 15 tuổi đến dưới 18 tuổi nếu có năng lực hành vi dân sự và đáp ứng đủ điều kiện tài chính vẫn được quyền tự xác lập giao dịch và được xem xét cấp tín dụng. Do đó, việc sử dụng tập dân số 15+ không làm sai lệch bản chất tệp khách hàng mục tiêu của hợp đồng (contract).</w:t>
      </w:r>
      <w:r w:rsidDel="00000000" w:rsidR="00000000" w:rsidRPr="00000000">
        <w:rPr>
          <w:rFonts w:ascii="Times New Roman" w:cs="Times New Roman" w:eastAsia="Times New Roman" w:hAnsi="Times New Roman"/>
          <w:color w:val="000000"/>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 lệch: Việc gộp thêm nhóm 15-17 tuổi khiến mẫu số phình to hơn so với tập khách hàng lý tưởng. Điều này dẫn đến kết quả Tỷ lệ thâm nhập bị tính thấp hơn thực tế. Sự sai lệch này có thể tạo ra độ lệch nhẹ (bias) giữa các khu vực có cơ cấu nhân khẩu học khác nhau. Các tỉnh có tỷ lệ dân số trẻ cao (nhiều người 15-17 tuổi) sẽ có mẫu số lớn hơn tương đối so với các thành phố có tốc độ "già hóa" nhanh, khiến tỷ lệ thâm nhập của các tỉnh trẻ bị kéo xuống một chút. Tuy nhiên, phần sai lệch này sẽ được triệt tiêu với bộ dữ liệu 2.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dữ liệu 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Thu nhập bình quân một lao động đang làm việc phân theo địa phương [sheet: Thu nhập bình quân]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Nguồn dữ liệu và thời gian báo cáo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dữ liệu: Cục thống kê quốc gia (cục thống kê – tài chính), Mục xã hội môi trường và đơn vị hành chính, Y tế, mức sống dân cư, văn hóa, thể thao, trật tự an toàn xã hội và môi trường – Bảng thu nhập bình quân một lao động đang làm việc phân theo địa phương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Thu nhập bình quân một lao động đang làm việc phân theo địa phương</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báo cáo: Sơ bộ năm 2025 – lần cuối cập nhật: 24/08/2026</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Phạm vi địa lý và độ chi tiết</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địa lý: 63 tỉnh thành trước khi sát nhập</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chi tiết: cấp tỉnh/ thành. Đơn vị đo: nghìn đồng (thu nhập).</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 ghép nối</w:t>
      </w:r>
    </w:p>
    <w:p w:rsidR="00000000" w:rsidDel="00000000" w:rsidP="00000000" w:rsidRDefault="00000000" w:rsidRPr="00000000" w14:paraId="0000004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liên kết: Ghép nối qua cột </w:t>
      </w:r>
      <w:r w:rsidDel="00000000" w:rsidR="00000000" w:rsidRPr="00000000">
        <w:rPr>
          <w:rFonts w:ascii="Times New Roman" w:cs="Times New Roman" w:eastAsia="Times New Roman" w:hAnsi="Times New Roman"/>
          <w:i w:val="1"/>
          <w:iCs w:val="1"/>
          <w:color w:val="000000"/>
          <w:sz w:val="28"/>
          <w:szCs w:val="28"/>
          <w:rtl w:val="0"/>
        </w:rPr>
        <w:t xml:space="preserve">province_before </w:t>
      </w:r>
      <w:r w:rsidDel="00000000" w:rsidR="00000000" w:rsidRPr="00000000">
        <w:rPr>
          <w:rFonts w:ascii="Times New Roman" w:cs="Times New Roman" w:eastAsia="Times New Roman" w:hAnsi="Times New Roman"/>
          <w:color w:val="000000"/>
          <w:sz w:val="28"/>
          <w:szCs w:val="28"/>
          <w:rtl w:val="0"/>
        </w:rPr>
        <w:t xml:space="preserve">để tham chiếu với cột </w:t>
      </w:r>
      <w:r w:rsidDel="00000000" w:rsidR="00000000" w:rsidRPr="00000000">
        <w:rPr>
          <w:rFonts w:ascii="Times New Roman" w:cs="Times New Roman" w:eastAsia="Times New Roman" w:hAnsi="Times New Roman"/>
          <w:i w:val="1"/>
          <w:iCs w:val="1"/>
          <w:color w:val="000000"/>
          <w:sz w:val="28"/>
          <w:szCs w:val="28"/>
          <w:rtl w:val="0"/>
        </w:rPr>
        <w:t xml:space="preserve">province_after </w:t>
      </w:r>
      <w:r w:rsidDel="00000000" w:rsidR="00000000" w:rsidRPr="00000000">
        <w:rPr>
          <w:rFonts w:ascii="Times New Roman" w:cs="Times New Roman" w:eastAsia="Times New Roman" w:hAnsi="Times New Roman"/>
          <w:color w:val="000000"/>
          <w:sz w:val="28"/>
          <w:szCs w:val="28"/>
          <w:rtl w:val="0"/>
        </w:rPr>
        <w:t xml:space="preserve">của bộ dữ liệu. </w:t>
      </w:r>
    </w:p>
    <w:p w:rsidR="00000000" w:rsidDel="00000000" w:rsidP="00000000" w:rsidRDefault="00000000" w:rsidRPr="00000000" w14:paraId="0000004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8"/>
          <w:szCs w:val="28"/>
          <w:rtl w:val="0"/>
        </w:rPr>
        <w:t xml:space="preserve">Kỹ thuật ghép nối: dùng các hàm tiêu chuẩn trong excel để tham chiếu với các tỉnh thành sau khi </w:t>
      </w:r>
      <w:r w:rsidDel="00000000" w:rsidR="00000000" w:rsidRPr="00000000">
        <w:rPr>
          <w:rFonts w:ascii="Times New Roman" w:cs="Times New Roman" w:eastAsia="Times New Roman" w:hAnsi="Times New Roman"/>
          <w:sz w:val="28"/>
          <w:szCs w:val="28"/>
          <w:rtl w:val="0"/>
        </w:rPr>
        <w:t xml:space="preserve">sáp</w:t>
      </w:r>
      <w:r w:rsidDel="00000000" w:rsidR="00000000" w:rsidRPr="00000000">
        <w:rPr>
          <w:rFonts w:ascii="Times New Roman" w:cs="Times New Roman" w:eastAsia="Times New Roman" w:hAnsi="Times New Roman"/>
          <w:color w:val="000000"/>
          <w:sz w:val="28"/>
          <w:szCs w:val="28"/>
          <w:rtl w:val="0"/>
        </w:rPr>
        <w:t xml:space="preserve"> nhập. Ghép dân số của mỗi tỉnh và tính số liệu tổng thu nhập trung bình của tỉnh để có thể tính trung bình thu nhập đầu người sau khi </w:t>
      </w:r>
      <w:r w:rsidDel="00000000" w:rsidR="00000000" w:rsidRPr="00000000">
        <w:rPr>
          <w:rFonts w:ascii="Times New Roman" w:cs="Times New Roman" w:eastAsia="Times New Roman" w:hAnsi="Times New Roman"/>
          <w:sz w:val="28"/>
          <w:szCs w:val="28"/>
          <w:rtl w:val="0"/>
        </w:rPr>
        <w:t xml:space="preserve">sáp</w:t>
      </w:r>
      <w:r w:rsidDel="00000000" w:rsidR="00000000" w:rsidRPr="00000000">
        <w:rPr>
          <w:rFonts w:ascii="Times New Roman" w:cs="Times New Roman" w:eastAsia="Times New Roman" w:hAnsi="Times New Roman"/>
          <w:color w:val="000000"/>
          <w:sz w:val="28"/>
          <w:szCs w:val="28"/>
          <w:rtl w:val="0"/>
        </w:rPr>
        <w:t xml:space="preserve"> nhập tỉnh theo công thức: </w:t>
      </w:r>
      <w:r w:rsidDel="00000000" w:rsidR="00000000" w:rsidRPr="00000000">
        <w:rPr>
          <w:rFonts w:ascii="Times New Roman" w:cs="Times New Roman" w:eastAsia="Times New Roman" w:hAnsi="Times New Roman"/>
          <w:i w:val="1"/>
          <w:iCs w:val="1"/>
          <w:color w:val="000000"/>
          <w:sz w:val="28"/>
          <w:szCs w:val="28"/>
          <w:rtl w:val="0"/>
        </w:rPr>
        <w:br w:type="textWrapping"/>
      </w:r>
      <m:oMath>
        <m:r>
          <w:rPr>
            <w:rFonts w:ascii="Times New Roman" w:cs="Times New Roman" w:eastAsia="Times New Roman" w:hAnsi="Times New Roman"/>
            <w:color w:val="000000"/>
            <w:sz w:val="20"/>
            <w:szCs w:val="20"/>
          </w:rPr>
          <m:t xml:space="preserve">Thu nhập bình quân tỉnh mới</m:t>
        </m:r>
        <m:r>
          <w:rPr>
            <w:rFonts w:ascii="Cambria Math" w:cs="Cambria Math" w:eastAsia="Cambria Math" w:hAnsi="Cambria Math"/>
            <w:color w:val="000000"/>
            <w:sz w:val="20"/>
            <w:szCs w:val="20"/>
          </w:rPr>
          <m:t xml:space="preserve">=</m:t>
        </m:r>
        <m:f>
          <m:fPr>
            <m:ctrlPr>
              <w:rPr>
                <w:rFonts w:ascii="Times New Roman" w:cs="Times New Roman" w:eastAsia="Times New Roman" w:hAnsi="Times New Roman"/>
                <w:color w:val="000000"/>
                <w:sz w:val="20"/>
                <w:szCs w:val="20"/>
              </w:rPr>
            </m:ctrlPr>
          </m:fPr>
          <m:num>
            <m:d>
              <m:dPr>
                <m:begChr m:val="("/>
                <m:endChr m:val=")"/>
                <m:ctrlPr>
                  <w:rPr>
                    <w:rFonts w:ascii="Times New Roman" w:cs="Times New Roman" w:eastAsia="Times New Roman" w:hAnsi="Times New Roman"/>
                    <w:color w:val="000000"/>
                    <w:sz w:val="20"/>
                    <w:szCs w:val="20"/>
                  </w:rPr>
                </m:ctrlPr>
              </m:dPr>
              <m:e>
                <m:r>
                  <w:rPr>
                    <w:rFonts w:ascii="Times New Roman" w:cs="Times New Roman" w:eastAsia="Times New Roman" w:hAnsi="Times New Roman"/>
                    <w:color w:val="000000"/>
                    <w:sz w:val="20"/>
                    <w:szCs w:val="20"/>
                  </w:rPr>
                  <m:t xml:space="preserve">Dân số Tỉnh A</m:t>
                </m:r>
                <m:r>
                  <w:rPr>
                    <w:rFonts w:ascii="Times New Roman" w:cs="Times New Roman" w:eastAsia="Times New Roman" w:hAnsi="Times New Roman"/>
                    <w:color w:val="000000"/>
                    <w:sz w:val="20"/>
                    <w:szCs w:val="20"/>
                  </w:rPr>
                  <m:t>×</m:t>
                </m:r>
                <m:r>
                  <w:rPr>
                    <w:rFonts w:ascii="Times New Roman" w:cs="Times New Roman" w:eastAsia="Times New Roman" w:hAnsi="Times New Roman"/>
                    <w:color w:val="000000"/>
                    <w:sz w:val="20"/>
                    <w:szCs w:val="20"/>
                  </w:rPr>
                  <m:t xml:space="preserve">Thu nhập Tỉnh A</m:t>
                </m:r>
              </m:e>
            </m:d>
            <m:r>
              <w:rPr>
                <w:rFonts w:ascii="Cambria Math" w:cs="Cambria Math" w:eastAsia="Cambria Math" w:hAnsi="Cambria Math"/>
                <w:color w:val="000000"/>
                <w:sz w:val="20"/>
                <w:szCs w:val="20"/>
              </w:rPr>
              <m:t xml:space="preserve">+</m:t>
            </m:r>
            <m:d>
              <m:dPr>
                <m:begChr m:val="("/>
                <m:endChr m:val=")"/>
                <m:ctrlPr>
                  <w:rPr>
                    <w:rFonts w:ascii="Times New Roman" w:cs="Times New Roman" w:eastAsia="Times New Roman" w:hAnsi="Times New Roman"/>
                    <w:color w:val="000000"/>
                    <w:sz w:val="20"/>
                    <w:szCs w:val="20"/>
                  </w:rPr>
                </m:ctrlPr>
              </m:dPr>
              <m:e>
                <m:r>
                  <w:rPr>
                    <w:rFonts w:ascii="Times New Roman" w:cs="Times New Roman" w:eastAsia="Times New Roman" w:hAnsi="Times New Roman"/>
                    <w:color w:val="000000"/>
                    <w:sz w:val="20"/>
                    <w:szCs w:val="20"/>
                  </w:rPr>
                  <m:t xml:space="preserve">Dân số Tỉnh B</m:t>
                </m:r>
                <m:r>
                  <w:rPr>
                    <w:rFonts w:ascii="Times New Roman" w:cs="Times New Roman" w:eastAsia="Times New Roman" w:hAnsi="Times New Roman"/>
                    <w:color w:val="000000"/>
                    <w:sz w:val="20"/>
                    <w:szCs w:val="20"/>
                  </w:rPr>
                  <m:t>×</m:t>
                </m:r>
                <m:r>
                  <w:rPr>
                    <w:rFonts w:ascii="Times New Roman" w:cs="Times New Roman" w:eastAsia="Times New Roman" w:hAnsi="Times New Roman"/>
                    <w:color w:val="000000"/>
                    <w:sz w:val="20"/>
                    <w:szCs w:val="20"/>
                  </w:rPr>
                  <m:t xml:space="preserve">Thu nhập Tỉnh B</m:t>
                </m:r>
              </m:e>
            </m:d>
          </m:num>
          <m:den>
            <m:r>
              <w:rPr>
                <w:rFonts w:ascii="Times New Roman" w:cs="Times New Roman" w:eastAsia="Times New Roman" w:hAnsi="Times New Roman"/>
                <w:color w:val="000000"/>
                <w:sz w:val="20"/>
                <w:szCs w:val="20"/>
              </w:rPr>
              <m:t xml:space="preserve">Dân số Tỉnh A</m:t>
            </m:r>
            <m:r>
              <w:rPr>
                <w:rFonts w:ascii="Cambria Math" w:cs="Cambria Math" w:eastAsia="Cambria Math" w:hAnsi="Cambria Math"/>
                <w:color w:val="000000"/>
                <w:sz w:val="20"/>
                <w:szCs w:val="20"/>
              </w:rPr>
              <m:t xml:space="preserve">+</m:t>
            </m:r>
            <m:r>
              <w:rPr>
                <w:rFonts w:ascii="Times New Roman" w:cs="Times New Roman" w:eastAsia="Times New Roman" w:hAnsi="Times New Roman"/>
                <w:color w:val="000000"/>
                <w:sz w:val="20"/>
                <w:szCs w:val="20"/>
              </w:rPr>
              <m:t xml:space="preserve">Dân số Tỉnh B</m:t>
            </m:r>
          </m:den>
        </m:f>
      </m:oMath>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Ý nghĩa kinh doanh</w:t>
      </w:r>
    </w:p>
    <w:p w:rsidR="00000000" w:rsidDel="00000000" w:rsidP="00000000" w:rsidRDefault="00000000" w:rsidRPr="00000000" w14:paraId="0000004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Nếu dữ liệu dân số cung cấp quy mô, thì thu nhập bình quân đại diện cho sức mua và khả năng chi trả của khách hàng tại từng tỉnh. </w:t>
      </w:r>
    </w:p>
    <w:p w:rsidR="00000000" w:rsidDel="00000000" w:rsidP="00000000" w:rsidRDefault="00000000" w:rsidRPr="00000000" w14:paraId="0000004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Việc áp dụng tỷ lệ thâm nhập của nhóm tỉnh cao nhất cho toàn quốc có thể gây ra sai lệch kỳ vọng (áp chỉ tiêu quá cao cho các tỉnh nghèo). Dữ liệu thu nhập được sử dụng làm trọng số để chiết khấu lại số contract tiềm năng, giúp việc phân bổ KPI từ tỉnh xuống shop bám sát vào năng lực tài chính thực tế của địa phương đó. </w:t>
      </w:r>
    </w:p>
    <w:p w:rsidR="00000000" w:rsidDel="00000000" w:rsidP="00000000" w:rsidRDefault="00000000" w:rsidRPr="00000000" w14:paraId="0000004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Giúp đối chiếu chéo với tỷ lệ thâm nhập hiện tại. Tỉnh có thu nhập cao nhưng thâm nhập thấp sẽ được đánh dấu là vùng ưu tiên mở rộng mạng lưới kinh doanh hoặc tăng cường nguồn lực cho các shop lớn.</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Giả định, hạn chế và sai lệch</w:t>
      </w:r>
    </w:p>
    <w:p w:rsidR="00000000" w:rsidDel="00000000" w:rsidP="00000000" w:rsidRDefault="00000000" w:rsidRPr="00000000" w14:paraId="0000004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Hạn chế: Số liệu thu nhập của Tổng cục Thống kê là trung bình cộng, dễ bị kéo lệch lên bởi một nhóm nhỏ cá nhân có thu nhập cực cao. Nó không phản ánh chính xác số đông bằng mức thu nhập trung vị. Khảo sát thống kê nhà nước thường khó bóc tách và thu thập đầy đủ dòng tiền từ khu vực kinh tế phi chính thức (tiểu thương, lao động tự do, nông nghiệp nhỏ lẻ bằng tiền mặt). </w:t>
      </w:r>
    </w:p>
    <w:p w:rsidR="00000000" w:rsidDel="00000000" w:rsidP="00000000" w:rsidRDefault="00000000" w:rsidRPr="00000000" w14:paraId="0000004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 lệch: Tại các tỉnh/thành phố có sự phân hóa giàu nghèo lớn (như TP.HCM, Hà Nội), thu nhập bình quân trông rất cao nhưng thực tế tập khách hàng đại chúng có thể không đạt mức này. Điều này làm chỉ tiêu phân bổ cho các shop ở đây có thể bị ép lên quá cao so với sức mua thực của tập khách hàng mục tiêu. Thu nhập tại các tỉnh nông thôn, vùng ven thường bị thống kê thấp hơn thực tế. Nếu dùng trực tiếp con số này làm trọng số, các shop ở tỉnh lẻ sẽ được giao chỉ tiêu quá thấp, dẫn đến việc doanh nghiệp bỏ lỡ tiềm năng khai thác.</w:t>
      </w:r>
    </w:p>
    <w:p w:rsidR="00000000" w:rsidDel="00000000" w:rsidP="00000000" w:rsidRDefault="00000000" w:rsidRPr="00000000" w14:paraId="0000004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Giả định: Nhóm giả định rằng thu nhập bình quân tuyến tính với tỷ lệ thâm nhập hợp đồng (thu nhập cao -&gt; khả năng duyệt/trả nợ cao), đồng thời bỏ qua yếu tố chênh lệch chi phí sinh hoạt giữa các vùng miền.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dữ liệu 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Tổng mức bán lẻ hàng hóa và doanh thu dịch vụ tiêu dùng theo giá hiện hành phân theo địa phương [sheet: Tổng mức bán lẻ và doanh thu]</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Nguồn dữ liệu và thời gian báo cáo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dữ liệu: Cục thống kê quốc gia (cục thống kê – tài chính), Mục Kinh tế, Thương mại và du lịch – Bảng tổng mức bán lẻ hàng hóa và doanh thu dịch vụ tiêu dùng theo giá hiện hành phân theo địa phương.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w:t>
      </w:r>
      <w:hyperlink r:id="rId13">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Tổng mức bán lẻ hàng hóa và doanh thu dịch vụ tiêu dùng theo giá hiện hành phân theo địa phương</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báo cáo: Sơ bộ năm 2025.</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Phạm vi địa lý và độ chi tiết</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địa lý: 63 tỉnh thành trước khi sát nhập</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344"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 chi tiết: cấp tỉnh/ thành. Đơn vị đo: Tỷ đồng (tổng mức bán).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Phương pháp ghép nối</w:t>
      </w:r>
    </w:p>
    <w:p w:rsidR="00000000" w:rsidDel="00000000" w:rsidP="00000000" w:rsidRDefault="00000000" w:rsidRPr="00000000" w14:paraId="0000005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Khóa liên kết: Ghép nối qua cột </w:t>
      </w:r>
      <w:r w:rsidDel="00000000" w:rsidR="00000000" w:rsidRPr="00000000">
        <w:rPr>
          <w:rFonts w:ascii="Times New Roman" w:cs="Times New Roman" w:eastAsia="Times New Roman" w:hAnsi="Times New Roman"/>
          <w:i w:val="1"/>
          <w:iCs w:val="1"/>
          <w:color w:val="000000"/>
          <w:sz w:val="28"/>
          <w:szCs w:val="28"/>
          <w:rtl w:val="0"/>
        </w:rPr>
        <w:t xml:space="preserve">province_before </w:t>
      </w:r>
      <w:r w:rsidDel="00000000" w:rsidR="00000000" w:rsidRPr="00000000">
        <w:rPr>
          <w:rFonts w:ascii="Times New Roman" w:cs="Times New Roman" w:eastAsia="Times New Roman" w:hAnsi="Times New Roman"/>
          <w:color w:val="000000"/>
          <w:sz w:val="28"/>
          <w:szCs w:val="28"/>
          <w:rtl w:val="0"/>
        </w:rPr>
        <w:t xml:space="preserve">để tham chiếu với cột </w:t>
      </w:r>
      <w:r w:rsidDel="00000000" w:rsidR="00000000" w:rsidRPr="00000000">
        <w:rPr>
          <w:rFonts w:ascii="Times New Roman" w:cs="Times New Roman" w:eastAsia="Times New Roman" w:hAnsi="Times New Roman"/>
          <w:i w:val="1"/>
          <w:iCs w:val="1"/>
          <w:color w:val="000000"/>
          <w:sz w:val="28"/>
          <w:szCs w:val="28"/>
          <w:rtl w:val="0"/>
        </w:rPr>
        <w:t xml:space="preserve">province_after </w:t>
      </w:r>
      <w:r w:rsidDel="00000000" w:rsidR="00000000" w:rsidRPr="00000000">
        <w:rPr>
          <w:rFonts w:ascii="Times New Roman" w:cs="Times New Roman" w:eastAsia="Times New Roman" w:hAnsi="Times New Roman"/>
          <w:color w:val="000000"/>
          <w:sz w:val="28"/>
          <w:szCs w:val="28"/>
          <w:rtl w:val="0"/>
        </w:rPr>
        <w:t xml:space="preserve">của bộ dữ liệu. </w:t>
      </w:r>
    </w:p>
    <w:p w:rsidR="00000000" w:rsidDel="00000000" w:rsidP="00000000" w:rsidRDefault="00000000" w:rsidRPr="00000000" w14:paraId="0000005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Kỹ thuật ghép nối: dùng các hàm tiêu chuẩn trong excel để tham chiếu với các tỉnh thành sau khi sát nhập.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Ý nghĩa kinh doanh</w:t>
      </w:r>
    </w:p>
    <w:p w:rsidR="00000000" w:rsidDel="00000000" w:rsidP="00000000" w:rsidRDefault="00000000" w:rsidRPr="00000000" w14:paraId="0000005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Chỉ số này phản ánh trực tiếp sức mua thực tế của thị trường địa phương. Các hợp đồng thường gắn liền với hành vi mua sắm hàng hóa (điện thoại, xe máy, điện máy...). Do đó, tổng mức bán lẻ là biến số có độ tương quan tuyến tính rất mạnh với nhu cầu ký kết hợp đồng. </w:t>
      </w:r>
    </w:p>
    <w:p w:rsidR="00000000" w:rsidDel="00000000" w:rsidP="00000000" w:rsidRDefault="00000000" w:rsidRPr="00000000" w14:paraId="0000005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hợp với tỷ lệ thâm nhập, dữ liệu này giúp đánh giá hiệu quả vận hành của shop. Nếu một tỉnh có Tổng mức bán lẻ rất cao nhưng tỷ lệ thâm nhập hợp đồng của shop lại thấp, điều này cho thấy shop đang để mất thị phần vào tay đối thủ cạnh tranh, chứ không phải do thị trường thiếu nhu cầu. </w:t>
      </w:r>
    </w:p>
    <w:p w:rsidR="00000000" w:rsidDel="00000000" w:rsidP="00000000" w:rsidRDefault="00000000" w:rsidRPr="00000000" w14:paraId="0000005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hợp cùng dân số và thu nhập, tổng mức bán lẻ giúp tạo ra một bộ trọng số toàn diện hơn để chiết khấu chỉ tiêu từ “Tỉnh chuẩn" xuống các tỉnh khác, đảm bảo Shop ở vùng có sức mua thực tế cao sẽ nhận chỉ tiêu tương xứng.</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Giả định, hạn chế và sai lệch</w:t>
      </w:r>
    </w:p>
    <w:p w:rsidR="00000000" w:rsidDel="00000000" w:rsidP="00000000" w:rsidRDefault="00000000" w:rsidRPr="00000000" w14:paraId="0000005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Hạn chế: Tổng mức bán lẻ được thống kê dựa trên doanh thu của các cơ sở kinh doanh tại địa phương, bao gồm cả tiền chi tiêu của khách du lịch, khách công tác và người dân tỉnh khác đến mua sắm. Dữ liệu bán lẻ của Cục Thống kê bao gồm cả những mặt hàng không sinh ra hợp đồng tiêu dùng (như lương thực thực phẩm thiết yếu, xăng dầu, vật liệu xây dựng).</w:t>
      </w:r>
    </w:p>
    <w:p w:rsidR="00000000" w:rsidDel="00000000" w:rsidP="00000000" w:rsidRDefault="00000000" w:rsidRPr="00000000" w14:paraId="0000005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Sai lệch: Tại các tỉnh/thành phố mạnh về du lịch (như Đà Nẵng, Khánh Hòa, Quảng Ninh, Kiên Giang) hoặc các trung tâm thương mại lớn, tổng mức bán lẻ sẽ cao đột biến so với quy mô dân số thực tế của tỉnh đó. Tuy nhiên, khách du lịch mang tiền đến chi tiêu nhưng họ sẽ không ký hợp đồng tại địa phương đó. Điều này dẫn đến việc hệ thống đánh giá quá cao tiềm năng của thị trường nội tỉnh, kéo theo rủi ro giao chỉ tiêu vượt quá sức chịu đựng của các Shop tại các khu vực du lịch. Ở một số tỉnh, doanh thu bán lẻ cao có thể xuất phát từ việc giá cả hàng hóa thiết yếu tăng hoặc đặc thù vùng miền tiêu thụ nhiều một loại vật tư nhất định, chứ không phản ánh việc người dân mua sắm các mặt hàng có giá trị cao (nhóm sinh ra contract). Tuy nhiên, sai số này được xem là mang tính hệ thống và được chấp nhận do giới hạn bóc tách dữ liệu vĩ mô.</w:t>
      </w:r>
    </w:p>
    <w:p w:rsidR="00000000" w:rsidDel="00000000" w:rsidP="00000000" w:rsidRDefault="00000000" w:rsidRPr="00000000" w14:paraId="0000006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Giả định: Nhóm nghiên cứu giả định rằng quy mô bán lẻ của một tỉnh tỷ lệ thuận với nhu cầu sử dụng dịch vụ/ký hợp đồng của công ty. Nghĩa là nơi nào người dân mua sắm nhiều, nơi đó có nhu cầu mở hợp đồng cao.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69"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Tổng hợp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[sheet: tổng hợp]</w:t>
      </w:r>
    </w:p>
    <w:p w:rsidR="00000000" w:rsidDel="00000000" w:rsidP="00000000" w:rsidRDefault="00000000" w:rsidRPr="00000000" w14:paraId="0000006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Tổng hợp các số liệu của 5 bộ dữ liệu trên theo 34 tỉnh/thành với các trường dữ liệu như sau:</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1"/>
        <w:gridCol w:w="4497"/>
        <w:gridCol w:w="2692"/>
        <w:tblGridChange w:id="0">
          <w:tblGrid>
            <w:gridCol w:w="2161"/>
            <w:gridCol w:w="4497"/>
            <w:gridCol w:w="2692"/>
          </w:tblGrid>
        </w:tblGridChange>
      </w:tblGrid>
      <w:tr>
        <w:trPr>
          <w:cantSplit w:val="0"/>
          <w:tblHeader w:val="0"/>
        </w:trPr>
        <w:tc>
          <w:tcPr/>
          <w:p w:rsidR="00000000" w:rsidDel="00000000" w:rsidP="00000000" w:rsidRDefault="00000000" w:rsidRPr="00000000" w14:paraId="0000006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Trường dữ liệu</w:t>
            </w:r>
          </w:p>
        </w:tc>
        <w:tc>
          <w:tcPr/>
          <w:p w:rsidR="00000000" w:rsidDel="00000000" w:rsidP="00000000" w:rsidRDefault="00000000" w:rsidRPr="00000000" w14:paraId="0000006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w:t>
            </w:r>
          </w:p>
        </w:tc>
        <w:tc>
          <w:tcPr/>
          <w:p w:rsidR="00000000" w:rsidDel="00000000" w:rsidP="00000000" w:rsidRDefault="00000000" w:rsidRPr="00000000" w14:paraId="0000006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Đơn vị</w:t>
            </w:r>
          </w:p>
        </w:tc>
      </w:tr>
      <w:tr>
        <w:trPr>
          <w:cantSplit w:val="0"/>
          <w:tblHeader w:val="0"/>
        </w:trPr>
        <w:tc>
          <w:tcPr/>
          <w:p w:rsidR="00000000" w:rsidDel="00000000" w:rsidP="00000000" w:rsidRDefault="00000000" w:rsidRPr="00000000" w14:paraId="0000006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province</w:t>
            </w:r>
          </w:p>
        </w:tc>
        <w:tc>
          <w:tcPr/>
          <w:p w:rsidR="00000000" w:rsidDel="00000000" w:rsidP="00000000" w:rsidRDefault="00000000" w:rsidRPr="00000000" w14:paraId="0000006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 tỉnh/ thành sau sát nhập</w:t>
            </w:r>
          </w:p>
        </w:tc>
        <w:tc>
          <w:tcPr/>
          <w:p w:rsidR="00000000" w:rsidDel="00000000" w:rsidP="00000000" w:rsidRDefault="00000000" w:rsidRPr="00000000" w14:paraId="00000068">
            <w:pPr>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6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year</w:t>
            </w:r>
          </w:p>
        </w:tc>
        <w:tc>
          <w:tcPr/>
          <w:p w:rsidR="00000000" w:rsidDel="00000000" w:rsidP="00000000" w:rsidRDefault="00000000" w:rsidRPr="00000000" w14:paraId="0000006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Năm khảo sát</w:t>
            </w:r>
          </w:p>
        </w:tc>
        <w:tc>
          <w:tcPr/>
          <w:p w:rsidR="00000000" w:rsidDel="00000000" w:rsidP="00000000" w:rsidRDefault="00000000" w:rsidRPr="00000000" w14:paraId="0000006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Năm</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area </w:t>
            </w:r>
          </w:p>
        </w:tc>
        <w:tc>
          <w:tcPr/>
          <w:p w:rsidR="00000000" w:rsidDel="00000000" w:rsidP="00000000" w:rsidRDefault="00000000" w:rsidRPr="00000000" w14:paraId="0000006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Diện tích </w:t>
            </w:r>
          </w:p>
        </w:tc>
        <w:tc>
          <w:tcPr/>
          <w:p w:rsidR="00000000" w:rsidDel="00000000" w:rsidP="00000000" w:rsidRDefault="00000000" w:rsidRPr="00000000" w14:paraId="0000006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Km2</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population</w:t>
            </w:r>
          </w:p>
        </w:tc>
        <w:tc>
          <w:tcPr/>
          <w:p w:rsidR="00000000" w:rsidDel="00000000" w:rsidP="00000000" w:rsidRDefault="00000000" w:rsidRPr="00000000" w14:paraId="0000007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Trung bình dân số </w:t>
            </w:r>
          </w:p>
        </w:tc>
        <w:tc>
          <w:tcPr/>
          <w:p w:rsidR="00000000" w:rsidDel="00000000" w:rsidP="00000000" w:rsidRDefault="00000000" w:rsidRPr="00000000" w14:paraId="0000007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Nghìn người</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density</w:t>
            </w:r>
          </w:p>
        </w:tc>
        <w:tc>
          <w:tcPr/>
          <w:p w:rsidR="00000000" w:rsidDel="00000000" w:rsidP="00000000" w:rsidRDefault="00000000" w:rsidRPr="00000000" w14:paraId="0000007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Mật độ dân số </w:t>
            </w:r>
          </w:p>
        </w:tc>
        <w:tc>
          <w:tcPr/>
          <w:p w:rsidR="00000000" w:rsidDel="00000000" w:rsidP="00000000" w:rsidRDefault="00000000" w:rsidRPr="00000000" w14:paraId="0000007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Người/km2</w:t>
            </w:r>
          </w:p>
        </w:tc>
      </w:tr>
      <w:tr>
        <w:trPr>
          <w:cantSplit w:val="0"/>
          <w:tblHeader w:val="0"/>
        </w:trPr>
        <w:tc>
          <w:tcPr/>
          <w:p w:rsidR="00000000" w:rsidDel="00000000" w:rsidP="00000000" w:rsidRDefault="00000000" w:rsidRPr="00000000" w14:paraId="0000007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work_population</w:t>
            </w:r>
          </w:p>
        </w:tc>
        <w:tc>
          <w:tcPr/>
          <w:p w:rsidR="00000000" w:rsidDel="00000000" w:rsidP="00000000" w:rsidRDefault="00000000" w:rsidRPr="00000000" w14:paraId="000000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Dân số thuộc độ tuổi lao động </w:t>
            </w:r>
          </w:p>
        </w:tc>
        <w:tc>
          <w:tcPr/>
          <w:p w:rsidR="00000000" w:rsidDel="00000000" w:rsidP="00000000" w:rsidRDefault="00000000" w:rsidRPr="00000000" w14:paraId="0000007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Nghìn người</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retail</w:t>
            </w:r>
          </w:p>
        </w:tc>
        <w:tc>
          <w:tcPr/>
          <w:p w:rsidR="00000000" w:rsidDel="00000000" w:rsidP="00000000" w:rsidRDefault="00000000" w:rsidRPr="00000000" w14:paraId="0000007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Tổng mức bán lẻ và doanh thu hàng tiêu dùng dịch vụ </w:t>
            </w:r>
          </w:p>
        </w:tc>
        <w:tc>
          <w:tcPr/>
          <w:p w:rsidR="00000000" w:rsidDel="00000000" w:rsidP="00000000" w:rsidRDefault="00000000" w:rsidRPr="00000000" w14:paraId="0000007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Tỷ đồng</w:t>
            </w:r>
          </w:p>
        </w:tc>
      </w:tr>
      <w:tr>
        <w:trPr>
          <w:cantSplit w:val="0"/>
          <w:tblHeader w:val="0"/>
        </w:trPr>
        <w:tc>
          <w:tcPr/>
          <w:p w:rsidR="00000000" w:rsidDel="00000000" w:rsidP="00000000" w:rsidRDefault="00000000" w:rsidRPr="00000000" w14:paraId="0000007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income</w:t>
            </w:r>
          </w:p>
        </w:tc>
        <w:tc>
          <w:tcPr/>
          <w:p w:rsidR="00000000" w:rsidDel="00000000" w:rsidP="00000000" w:rsidRDefault="00000000" w:rsidRPr="00000000" w14:paraId="0000007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Thu nhập bình quân đầu người</w:t>
            </w:r>
          </w:p>
        </w:tc>
        <w:tc>
          <w:tcPr/>
          <w:p w:rsidR="00000000" w:rsidDel="00000000" w:rsidP="00000000" w:rsidRDefault="00000000" w:rsidRPr="00000000" w14:paraId="0000007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Nghìn đồng/ người</w:t>
            </w:r>
          </w:p>
        </w:tc>
      </w:tr>
    </w:tbl>
    <w:p w:rsidR="00000000" w:rsidDel="00000000" w:rsidP="00000000" w:rsidRDefault="00000000" w:rsidRPr="00000000" w14:paraId="0000007E">
      <w:pPr>
        <w:rPr>
          <w:rFonts w:ascii="Times New Roman" w:cs="Times New Roman" w:eastAsia="Times New Roman" w:hAnsi="Times New Roman"/>
          <w:color w:val="000000"/>
          <w:sz w:val="28"/>
          <w:szCs w:val="28"/>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quy định của Bộ luật Lao động 2019, độ tuổi lao động tại Việt Nam được tính từ đủ 15 tuổi trở lên và không giới hạn độ tuổi tối đa. </w:t>
      </w:r>
      <w:hyperlink r:id="rId1">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Quy định về độ tuổi lao động của người lao động hiện nay</w:t>
        </w:r>
      </w:hyperlink>
      <w:r w:rsidDel="00000000" w:rsidR="00000000" w:rsidRPr="00000000">
        <w:rPr>
          <w:rtl w:val="0"/>
        </w:rPr>
      </w:r>
    </w:p>
  </w:footnote>
  <w:footnote w:id="1">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Độ tuổi được vay tiền - Home Credit - Ngày đăng 21/10/2026</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KDL Ú vjp pro 123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94" w:hanging="360"/>
      </w:pPr>
      <w:rPr>
        <w:rFonts w:ascii="Times New Roman" w:cs="Times New Roman" w:eastAsia="Times New Roman" w:hAnsi="Times New Roman"/>
      </w:rPr>
    </w:lvl>
    <w:lvl w:ilvl="2">
      <w:start w:val="1"/>
      <w:numFmt w:val="lowerLetter"/>
      <w:lvlText w:val="%3."/>
      <w:lvlJc w:val="right"/>
      <w:pPr>
        <w:ind w:left="1456"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color w:val="000000"/>
      </w:rPr>
    </w:lvl>
    <w:lvl w:ilvl="5">
      <w:start w:val="1"/>
      <w:numFmt w:val="lowerRoman"/>
      <w:lvlText w:val="%6."/>
      <w:lvlJc w:val="right"/>
      <w:pPr>
        <w:ind w:left="4320" w:hanging="180"/>
      </w:pPr>
      <w:rPr/>
    </w:lvl>
    <w:lvl w:ilvl="6">
      <w:start w:val="1"/>
      <w:numFmt w:val="bullet"/>
      <w:lvlText w:val="♦"/>
      <w:lvlJc w:val="left"/>
      <w:pPr>
        <w:ind w:left="5040" w:hanging="360"/>
      </w:pPr>
      <w:rPr>
        <w:rFonts w:ascii="Noto Sans Symbols" w:cs="Noto Sans Symbols" w:eastAsia="Noto Sans Symbols" w:hAnsi="Noto Sans Symbols"/>
        <w:color w:val="000000"/>
      </w:rPr>
    </w:lvl>
    <w:lvl w:ilvl="7">
      <w:start w:val="1"/>
      <w:numFmt w:val="bullet"/>
      <w:lvlText w:val="◊"/>
      <w:lvlJc w:val="left"/>
      <w:pPr>
        <w:ind w:left="5760" w:hanging="360"/>
      </w:pPr>
      <w:rPr>
        <w:rFonts w:ascii="Noto Sans Symbols" w:cs="Noto Sans Symbols" w:eastAsia="Noto Sans Symbols" w:hAnsi="Noto Sans Symbols"/>
        <w:color w:val="000000"/>
      </w:rPr>
    </w:lvl>
    <w:lvl w:ilvl="8">
      <w:start w:val="1"/>
      <w:numFmt w:val="bullet"/>
      <w:lvlText w:val="⇒"/>
      <w:lvlJc w:val="left"/>
      <w:pPr>
        <w:ind w:left="6480" w:hanging="180"/>
      </w:pPr>
      <w:rPr>
        <w:rFonts w:ascii="Noto Sans Symbols" w:cs="Noto Sans Symbols" w:eastAsia="Noto Sans Symbols" w:hAnsi="Noto Sans Symbols"/>
        <w:color w:val="000000"/>
      </w:rPr>
    </w:lvl>
  </w:abstractNum>
  <w:abstractNum w:abstractNumId="2">
    <w:lvl w:ilvl="0">
      <w:start w:val="1"/>
      <w:numFmt w:val="decimal"/>
      <w:lvlText w:val="%1."/>
      <w:lvlJc w:val="left"/>
      <w:pPr>
        <w:ind w:left="1069" w:hanging="360"/>
      </w:pPr>
      <w:rPr/>
    </w:lvl>
    <w:lvl w:ilvl="1">
      <w:start w:val="1"/>
      <w:numFmt w:val="lowerLetter"/>
      <w:lvlText w:val="%2."/>
      <w:lvlJc w:val="left"/>
      <w:pPr>
        <w:ind w:left="1157" w:hanging="360"/>
      </w:pPr>
      <w:rPr/>
    </w:lvl>
    <w:lvl w:ilvl="2">
      <w:start w:val="1"/>
      <w:numFmt w:val="lowerRoman"/>
      <w:lvlText w:val="%3."/>
      <w:lvlJc w:val="right"/>
      <w:pPr>
        <w:ind w:left="1877" w:hanging="180"/>
      </w:pPr>
      <w:rPr/>
    </w:lvl>
    <w:lvl w:ilvl="3">
      <w:start w:val="1"/>
      <w:numFmt w:val="decimal"/>
      <w:lvlText w:val="%4."/>
      <w:lvlJc w:val="left"/>
      <w:pPr>
        <w:ind w:left="2597" w:hanging="360"/>
      </w:pPr>
      <w:rPr/>
    </w:lvl>
    <w:lvl w:ilvl="4">
      <w:start w:val="1"/>
      <w:numFmt w:val="lowerLetter"/>
      <w:lvlText w:val="%5."/>
      <w:lvlJc w:val="left"/>
      <w:pPr>
        <w:ind w:left="3317" w:hanging="360"/>
      </w:pPr>
      <w:rPr/>
    </w:lvl>
    <w:lvl w:ilvl="5">
      <w:start w:val="1"/>
      <w:numFmt w:val="lowerRoman"/>
      <w:lvlText w:val="%6."/>
      <w:lvlJc w:val="right"/>
      <w:pPr>
        <w:ind w:left="4037" w:hanging="180"/>
      </w:pPr>
      <w:rPr/>
    </w:lvl>
    <w:lvl w:ilvl="6">
      <w:start w:val="1"/>
      <w:numFmt w:val="decimal"/>
      <w:lvlText w:val="%7."/>
      <w:lvlJc w:val="left"/>
      <w:pPr>
        <w:ind w:left="4757" w:hanging="360"/>
      </w:pPr>
      <w:rPr/>
    </w:lvl>
    <w:lvl w:ilvl="7">
      <w:start w:val="1"/>
      <w:numFmt w:val="lowerLetter"/>
      <w:lvlText w:val="%8."/>
      <w:lvlJc w:val="left"/>
      <w:pPr>
        <w:ind w:left="5477" w:hanging="360"/>
      </w:pPr>
      <w:rPr/>
    </w:lvl>
    <w:lvl w:ilvl="8">
      <w:start w:val="1"/>
      <w:numFmt w:val="lowerRoman"/>
      <w:lvlText w:val="%9."/>
      <w:lvlJc w:val="right"/>
      <w:pPr>
        <w:ind w:left="6197" w:hanging="180"/>
      </w:pPr>
      <w:rPr/>
    </w:lvl>
  </w:abstractNum>
  <w:abstractNum w:abstractNumId="3">
    <w:lvl w:ilvl="0">
      <w:start w:val="1"/>
      <w:numFmt w:val="bullet"/>
      <w:lvlText w:val="-"/>
      <w:lvlJc w:val="left"/>
      <w:pPr>
        <w:ind w:left="2344" w:hanging="360"/>
      </w:pPr>
      <w:rPr>
        <w:rFonts w:ascii="Times New Roman" w:cs="Times New Roman" w:eastAsia="Times New Roman" w:hAnsi="Times New Roman"/>
      </w:rPr>
    </w:lvl>
    <w:lvl w:ilvl="1">
      <w:start w:val="1"/>
      <w:numFmt w:val="bullet"/>
      <w:lvlText w:val="o"/>
      <w:lvlJc w:val="left"/>
      <w:pPr>
        <w:ind w:left="3060" w:hanging="360"/>
      </w:pPr>
      <w:rPr>
        <w:rFonts w:ascii="Courier New" w:cs="Courier New" w:eastAsia="Courier New" w:hAnsi="Courier New"/>
      </w:rPr>
    </w:lvl>
    <w:lvl w:ilvl="2">
      <w:start w:val="1"/>
      <w:numFmt w:val="bullet"/>
      <w:lvlText w:val="▪"/>
      <w:lvlJc w:val="left"/>
      <w:pPr>
        <w:ind w:left="3780" w:hanging="360"/>
      </w:pPr>
      <w:rPr>
        <w:rFonts w:ascii="Noto Sans Symbols" w:cs="Noto Sans Symbols" w:eastAsia="Noto Sans Symbols" w:hAnsi="Noto Sans Symbols"/>
      </w:rPr>
    </w:lvl>
    <w:lvl w:ilvl="3">
      <w:start w:val="1"/>
      <w:numFmt w:val="bullet"/>
      <w:lvlText w:val="●"/>
      <w:lvlJc w:val="left"/>
      <w:pPr>
        <w:ind w:left="4500" w:hanging="360"/>
      </w:pPr>
      <w:rPr>
        <w:rFonts w:ascii="Noto Sans Symbols" w:cs="Noto Sans Symbols" w:eastAsia="Noto Sans Symbols" w:hAnsi="Noto Sans Symbols"/>
      </w:rPr>
    </w:lvl>
    <w:lvl w:ilvl="4">
      <w:start w:val="1"/>
      <w:numFmt w:val="bullet"/>
      <w:lvlText w:val="o"/>
      <w:lvlJc w:val="left"/>
      <w:pPr>
        <w:ind w:left="5220" w:hanging="360"/>
      </w:pPr>
      <w:rPr>
        <w:rFonts w:ascii="Courier New" w:cs="Courier New" w:eastAsia="Courier New" w:hAnsi="Courier New"/>
      </w:rPr>
    </w:lvl>
    <w:lvl w:ilvl="5">
      <w:start w:val="1"/>
      <w:numFmt w:val="bullet"/>
      <w:lvlText w:val="▪"/>
      <w:lvlJc w:val="left"/>
      <w:pPr>
        <w:ind w:left="5940" w:hanging="360"/>
      </w:pPr>
      <w:rPr>
        <w:rFonts w:ascii="Noto Sans Symbols" w:cs="Noto Sans Symbols" w:eastAsia="Noto Sans Symbols" w:hAnsi="Noto Sans Symbols"/>
      </w:rPr>
    </w:lvl>
    <w:lvl w:ilvl="6">
      <w:start w:val="1"/>
      <w:numFmt w:val="bullet"/>
      <w:lvlText w:val="●"/>
      <w:lvlJc w:val="left"/>
      <w:pPr>
        <w:ind w:left="6660" w:hanging="360"/>
      </w:pPr>
      <w:rPr>
        <w:rFonts w:ascii="Noto Sans Symbols" w:cs="Noto Sans Symbols" w:eastAsia="Noto Sans Symbols" w:hAnsi="Noto Sans Symbols"/>
      </w:rPr>
    </w:lvl>
    <w:lvl w:ilvl="7">
      <w:start w:val="1"/>
      <w:numFmt w:val="bullet"/>
      <w:lvlText w:val="o"/>
      <w:lvlJc w:val="left"/>
      <w:pPr>
        <w:ind w:left="7380" w:hanging="360"/>
      </w:pPr>
      <w:rPr>
        <w:rFonts w:ascii="Courier New" w:cs="Courier New" w:eastAsia="Courier New" w:hAnsi="Courier New"/>
      </w:rPr>
    </w:lvl>
    <w:lvl w:ilvl="8">
      <w:start w:val="1"/>
      <w:numFmt w:val="bullet"/>
      <w:lvlText w:val="▪"/>
      <w:lvlJc w:val="left"/>
      <w:pPr>
        <w:ind w:left="8100" w:hanging="360"/>
      </w:pPr>
      <w:rPr>
        <w:rFonts w:ascii="Noto Sans Symbols" w:cs="Noto Sans Symbols" w:eastAsia="Noto Sans Symbols" w:hAnsi="Noto Sans Symbols"/>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C1F0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C1F0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C1F0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QG" w:customStyle="1">
    <w:name w:val="QG"/>
    <w:uiPriority w:val="99"/>
    <w:rsid w:val="00D226C7"/>
    <w:pPr>
      <w:numPr>
        <w:numId w:val="1"/>
      </w:numPr>
    </w:pPr>
  </w:style>
  <w:style w:type="numbering" w:styleId="Style1" w:customStyle="1">
    <w:name w:val="Style1"/>
    <w:uiPriority w:val="99"/>
    <w:rsid w:val="008535B9"/>
    <w:pPr>
      <w:numPr>
        <w:numId w:val="2"/>
      </w:numPr>
    </w:pPr>
  </w:style>
  <w:style w:type="character" w:styleId="Heading1Char" w:customStyle="1">
    <w:name w:val="Heading 1 Char"/>
    <w:basedOn w:val="DefaultParagraphFont"/>
    <w:link w:val="Heading1"/>
    <w:uiPriority w:val="9"/>
    <w:rsid w:val="002C1F0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C1F0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C1F0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C1F0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C1F0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C1F0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C1F0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C1F0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C1F0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C1F0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C1F0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C1F0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C1F00"/>
    <w:rPr>
      <w:i w:val="1"/>
      <w:iCs w:val="1"/>
      <w:color w:val="404040" w:themeColor="text1" w:themeTint="0000BF"/>
    </w:rPr>
  </w:style>
  <w:style w:type="paragraph" w:styleId="ListParagraph">
    <w:name w:val="List Paragraph"/>
    <w:basedOn w:val="Normal"/>
    <w:uiPriority w:val="34"/>
    <w:qFormat w:val="1"/>
    <w:rsid w:val="002C1F00"/>
    <w:pPr>
      <w:ind w:left="720"/>
      <w:contextualSpacing w:val="1"/>
    </w:pPr>
  </w:style>
  <w:style w:type="character" w:styleId="IntenseEmphasis">
    <w:name w:val="Intense Emphasis"/>
    <w:basedOn w:val="DefaultParagraphFont"/>
    <w:uiPriority w:val="21"/>
    <w:qFormat w:val="1"/>
    <w:rsid w:val="002C1F00"/>
    <w:rPr>
      <w:i w:val="1"/>
      <w:iCs w:val="1"/>
      <w:color w:val="0f4761" w:themeColor="accent1" w:themeShade="0000BF"/>
    </w:rPr>
  </w:style>
  <w:style w:type="paragraph" w:styleId="IntenseQuote">
    <w:name w:val="Intense Quote"/>
    <w:basedOn w:val="Normal"/>
    <w:next w:val="Normal"/>
    <w:link w:val="IntenseQuoteChar"/>
    <w:uiPriority w:val="30"/>
    <w:qFormat w:val="1"/>
    <w:rsid w:val="002C1F0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C1F00"/>
    <w:rPr>
      <w:i w:val="1"/>
      <w:iCs w:val="1"/>
      <w:color w:val="0f4761" w:themeColor="accent1" w:themeShade="0000BF"/>
    </w:rPr>
  </w:style>
  <w:style w:type="character" w:styleId="IntenseReference">
    <w:name w:val="Intense Reference"/>
    <w:basedOn w:val="DefaultParagraphFont"/>
    <w:uiPriority w:val="32"/>
    <w:qFormat w:val="1"/>
    <w:rsid w:val="002C1F00"/>
    <w:rPr>
      <w:b w:val="1"/>
      <w:bCs w:val="1"/>
      <w:smallCaps w:val="1"/>
      <w:color w:val="0f4761" w:themeColor="accent1" w:themeShade="0000BF"/>
      <w:spacing w:val="5"/>
    </w:rPr>
  </w:style>
  <w:style w:type="paragraph" w:styleId="NoSpacing">
    <w:name w:val="No Spacing"/>
    <w:uiPriority w:val="1"/>
    <w:qFormat w:val="1"/>
    <w:rsid w:val="00891CEC"/>
    <w:pPr>
      <w:spacing w:after="0" w:line="240" w:lineRule="auto"/>
    </w:pPr>
  </w:style>
  <w:style w:type="character" w:styleId="Hyperlink">
    <w:name w:val="Hyperlink"/>
    <w:basedOn w:val="DefaultParagraphFont"/>
    <w:uiPriority w:val="99"/>
    <w:unhideWhenUsed w:val="1"/>
    <w:rsid w:val="00891CEC"/>
    <w:rPr>
      <w:color w:val="467886" w:themeColor="hyperlink"/>
      <w:u w:val="single"/>
    </w:rPr>
  </w:style>
  <w:style w:type="character" w:styleId="UnresolvedMention">
    <w:name w:val="Unresolved Mention"/>
    <w:basedOn w:val="DefaultParagraphFont"/>
    <w:uiPriority w:val="99"/>
    <w:semiHidden w:val="1"/>
    <w:unhideWhenUsed w:val="1"/>
    <w:rsid w:val="00891CEC"/>
    <w:rPr>
      <w:color w:val="605e5c"/>
      <w:shd w:color="auto" w:fill="e1dfdd" w:val="clear"/>
    </w:rPr>
  </w:style>
  <w:style w:type="character" w:styleId="FollowedHyperlink">
    <w:name w:val="FollowedHyperlink"/>
    <w:basedOn w:val="DefaultParagraphFont"/>
    <w:uiPriority w:val="99"/>
    <w:semiHidden w:val="1"/>
    <w:unhideWhenUsed w:val="1"/>
    <w:rsid w:val="00891CEC"/>
    <w:rPr>
      <w:color w:val="96607d" w:themeColor="followedHyperlink"/>
      <w:u w:val="single"/>
    </w:rPr>
  </w:style>
  <w:style w:type="paragraph" w:styleId="NormalWeb">
    <w:name w:val="Normal (Web)"/>
    <w:basedOn w:val="Normal"/>
    <w:uiPriority w:val="99"/>
    <w:semiHidden w:val="1"/>
    <w:unhideWhenUsed w:val="1"/>
    <w:rsid w:val="00133003"/>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133003"/>
    <w:rPr>
      <w:b w:val="1"/>
      <w:bCs w:val="1"/>
    </w:rPr>
  </w:style>
  <w:style w:type="character" w:styleId="HTMLCode">
    <w:name w:val="HTML Code"/>
    <w:basedOn w:val="DefaultParagraphFont"/>
    <w:uiPriority w:val="99"/>
    <w:semiHidden w:val="1"/>
    <w:unhideWhenUsed w:val="1"/>
    <w:rsid w:val="00133003"/>
    <w:rPr>
      <w:rFonts w:ascii="Courier New" w:cs="Courier New" w:eastAsia="Times New Roman" w:hAnsi="Courier New"/>
      <w:sz w:val="20"/>
      <w:szCs w:val="20"/>
    </w:rPr>
  </w:style>
  <w:style w:type="paragraph" w:styleId="FootnoteText">
    <w:name w:val="footnote text"/>
    <w:basedOn w:val="Normal"/>
    <w:link w:val="FootnoteTextChar"/>
    <w:uiPriority w:val="99"/>
    <w:semiHidden w:val="1"/>
    <w:unhideWhenUsed w:val="1"/>
    <w:rsid w:val="00FD172B"/>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FD172B"/>
    <w:rPr>
      <w:sz w:val="20"/>
      <w:szCs w:val="20"/>
    </w:rPr>
  </w:style>
  <w:style w:type="character" w:styleId="FootnoteReference">
    <w:name w:val="footnote reference"/>
    <w:basedOn w:val="DefaultParagraphFont"/>
    <w:uiPriority w:val="99"/>
    <w:semiHidden w:val="1"/>
    <w:unhideWhenUsed w:val="1"/>
    <w:rsid w:val="00FD172B"/>
    <w:rPr>
      <w:vertAlign w:val="superscript"/>
    </w:rPr>
  </w:style>
  <w:style w:type="character" w:styleId="PlaceholderText">
    <w:name w:val="Placeholder Text"/>
    <w:basedOn w:val="DefaultParagraphFont"/>
    <w:uiPriority w:val="99"/>
    <w:semiHidden w:val="1"/>
    <w:rsid w:val="00620328"/>
    <w:rPr>
      <w:color w:val="666666"/>
    </w:rPr>
  </w:style>
  <w:style w:type="table" w:styleId="TableGrid">
    <w:name w:val="Table Grid"/>
    <w:basedOn w:val="TableNormal"/>
    <w:uiPriority w:val="39"/>
    <w:rsid w:val="000B78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56D55"/>
    <w:pPr>
      <w:tabs>
        <w:tab w:val="center" w:pos="4680"/>
        <w:tab w:val="right" w:pos="9360"/>
      </w:tabs>
      <w:spacing w:after="0" w:line="240" w:lineRule="auto"/>
    </w:pPr>
  </w:style>
  <w:style w:type="character" w:styleId="HeaderChar" w:customStyle="1">
    <w:name w:val="Header Char"/>
    <w:basedOn w:val="DefaultParagraphFont"/>
    <w:link w:val="Header"/>
    <w:uiPriority w:val="99"/>
    <w:rsid w:val="00256D55"/>
  </w:style>
  <w:style w:type="paragraph" w:styleId="Footer">
    <w:name w:val="footer"/>
    <w:basedOn w:val="Normal"/>
    <w:link w:val="FooterChar"/>
    <w:uiPriority w:val="99"/>
    <w:unhideWhenUsed w:val="1"/>
    <w:rsid w:val="00256D55"/>
    <w:pPr>
      <w:tabs>
        <w:tab w:val="center" w:pos="4680"/>
        <w:tab w:val="right" w:pos="9360"/>
      </w:tabs>
      <w:spacing w:after="0" w:line="240" w:lineRule="auto"/>
    </w:pPr>
  </w:style>
  <w:style w:type="character" w:styleId="FooterChar" w:customStyle="1">
    <w:name w:val="Footer Char"/>
    <w:basedOn w:val="DefaultParagraphFont"/>
    <w:link w:val="Footer"/>
    <w:uiPriority w:val="99"/>
    <w:rsid w:val="00256D55"/>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xweb.nso.gov.vn:443/sq/c9e06d35-e351-4a80-8122-e27b68988af4" TargetMode="External"/><Relationship Id="rId10" Type="http://schemas.openxmlformats.org/officeDocument/2006/relationships/hyperlink" Target="https://pxweb.nso.gov.vn/sq/8bde56c8-414f-4c2b-ad5a-1618890f3411" TargetMode="External"/><Relationship Id="rId13" Type="http://schemas.openxmlformats.org/officeDocument/2006/relationships/hyperlink" Target="https://pxweb.nso.gov.vn:443/sq/ee34506c-b545-46f7-b87e-dc2492a9dba7" TargetMode="External"/><Relationship Id="rId12" Type="http://schemas.openxmlformats.org/officeDocument/2006/relationships/hyperlink" Target="https://pxweb.nso.gov.vn:443/sq/f4d50d24-ab0c-4a0f-84ce-239d5cb8a0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xweb.nso.gov.vn/sq/8bde56c8-414f-4c2b-ad5a-1618890f3411"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xaydungchinhsach.chinhphu.vn/chi-tiet-34-don-vi-hanh-chinh-cap-tinh-tu-12-6-2025-119250612141845533.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chinh-sach-phap-luat-moi/vn/ho-tro-phap-luat/tu-van-phap-luat/43713/quy-dinh-ve-do-tuoi-lao-dong-cua-nguoi-lao-dong-hien-nay" TargetMode="External"/><Relationship Id="rId2" Type="http://schemas.openxmlformats.org/officeDocument/2006/relationships/hyperlink" Target="https://www.homecredit.vn/blog/do-tuoi-duoc-vay-tien-cl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2ac/8H+8AWLZg+ZjBchr4LaNw==">CgMxLjA4AHIhMV9SV05XX0pPV0RGR2tyR2tqTmF4VEFfS2VmQ2RVY2tX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2026-10-21T15:37:00Z</dcterms:created>
  <dc:creator>TRƯƠNG THỊ QUỲNH GIANG</dc:creator>
</cp:coreProperties>
</file>