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 xml:space="preserve">Comprehensive Report: Raman and EEM Soft-Sensor Modelling for Monosaccharide Concentrations</w:t>
      </w:r>
    </w:p>
    <w:p>
      <w:r>
        <w:rPr>
          <w:i/>
        </w:rPr>
        <w:t xml:space="preserve">Prepared from the current project data, processing pipeline, and supervised calibration results.</w:t>
      </w:r>
    </w:p>
    <w:p>
      <w:r>
        <w:rPr>
          <w:b/>
        </w:rPr>
        <w:t xml:space="preserve">Scope note: current supervised modelling uses standards and known spikes parsed from treatment labels. True culture-sample validation remains blocked until quantitative HPLC monosaccharide concentrations are merged.</w:t>
      </w:r>
    </w:p>
    <w:p>
      <w:pPr>
        <w:pStyle w:val="Heading1"/>
      </w:pPr>
      <w:r>
        <w:t xml:space="preserve">1. Executive Summary</w:t>
      </w:r>
    </w:p>
    <w:p>
      <w:r>
        <w:t xml:space="preserve">The current pipeline has progressed from raw spectroscopy inventory to a reproducible soft-sensor workflow for rhamnose, xylose, and glucose. Raman and EEM files are aligned by experiment, plate, well, replicate, and treatment labels. EEM matrices are represented both as interpretable fluorescence summaries and unfolded matrices; Raman spectra are represented as interpretable carbohydrate windows, full-spectrum features, and baseline-corrected preprocessed features. The best project-level models currently achieve RMSE values of 0.7043 g/L for rhamnose, 0.5359 g/L for xylose, and 0.5589 g/L for glucose on standards/spikes. A later Raman preprocessing and PARAFAC extension improves glucose further to 0.5094 g/L, an 8.8 percent improvement over the latest glucose baseline, but it does not improve rhamnose or xylose.</w:t>
      </w:r>
    </w:p>
    <w:p>
      <w:r>
        <w:drawing>
          <wp:inline distT="0" distB="0" distL="0" distR="0">
            <wp:extent cx="6583680" cy="1737360"/>
            <wp:docPr id="102" name="pipeline_overview"/>
            <a:graphic xmlns:a="http://schemas.openxmlformats.org/drawingml/2006/main">
              <a:graphicData uri="http://schemas.openxmlformats.org/drawingml/2006/picture">
                <pic:pic xmlns:pic="http://schemas.openxmlformats.org/drawingml/2006/picture">
                  <pic:nvPicPr>
                    <pic:cNvPr id="0" name="pipeline_overview.svg"/>
                    <pic:cNvPicPr/>
                  </pic:nvPicPr>
                  <pic:blipFill>
                    <a:blip r:embed="rId1"/>
                    <a:stretch>
                      <a:fillRect/>
                    </a:stretch>
                  </pic:blipFill>
                  <pic:spPr>
                    <a:xfrm>
                      <a:off x="0" y="0"/>
                      <a:ext cx="6583680" cy="1737360"/>
                    </a:xfrm>
                    <a:prstGeom prst="rect"/>
                  </pic:spPr>
                </pic:pic>
              </a:graphicData>
            </a:graphic>
          </wp:inline>
        </w:drawing>
      </w:r>
    </w:p>
    <w:p>
      <w:r>
        <w:br w:type="page"/>
      </w:r>
    </w:p>
    <w:p>
      <w:pPr>
        <w:pStyle w:val="Heading1"/>
      </w:pPr>
      <w:r>
        <w:t xml:space="preserve">2. Data Context and Biological Interpretation</w:t>
      </w:r>
    </w:p>
    <w:p>
      <w:r>
        <w:t xml:space="preserve">The biological problem is to estimate extracellular monosaccharide concentrations from spectroscopic signals. In this system, Raman spectroscopy is the more direct chemical probe for rhamnose, xylose, and glucose because carbohydrate ring, C-C, C-O, and C-O-C vibrations produce structured signals in the measured 500-2000 cm-1 range. EEM fluorescence is biologically useful but less direct for these sugars because monosaccharides are weakly fluorescent. EEM therefore acts mainly as an indirect process-state sensor, capturing matrix effects, culture background, fluorophores, and metabolic state. This is scientifically important: the most defensible soft sensor is not EEM alone, but a fusion model where Raman provides direct sugar chemistry and EEM contributes biological/process context.</w:t>
      </w:r>
    </w:p>
    <w:tbl>
      <w:tblPr>
        <w:tblStyle w:val="TableGrid"/>
        <w:tblW w:w="0" w:type="auto"/>
      </w:tblPr>
      <w:tr>
        <w:tc>
          <w:tcPr>
            <w:shd w:fill="EEF3F8"/>
          </w:tcPr>
          <w:p>
            <w:r>
              <w:rPr>
                <w:b/>
              </w:rPr>
              <w:t xml:space="preserve">Target</w:t>
            </w:r>
          </w:p>
        </w:tc>
        <w:tc>
          <w:tcPr>
            <w:shd w:fill="EEF3F8"/>
          </w:tcPr>
          <w:p>
            <w:r>
              <w:rPr>
                <w:b/>
              </w:rPr>
              <w:t xml:space="preserve">Labelled rows</w:t>
            </w:r>
          </w:p>
        </w:tc>
        <w:tc>
          <w:tcPr>
            <w:shd w:fill="EEF3F8"/>
          </w:tcPr>
          <w:p>
            <w:r>
              <w:rPr>
                <w:b/>
              </w:rPr>
              <w:t xml:space="preserve">Non-zero rows</w:t>
            </w:r>
          </w:p>
        </w:tc>
        <w:tc>
          <w:tcPr>
            <w:shd w:fill="EEF3F8"/>
          </w:tcPr>
          <w:p>
            <w:r>
              <w:rPr>
                <w:b/>
              </w:rPr>
              <w:t xml:space="preserve">Range in current calibration</w:t>
            </w:r>
          </w:p>
        </w:tc>
      </w:tr>
      <w:tr>
        <w:tc>
          <w:tcPr/>
          <w:p>
            <w:r>
              <w:rPr/>
              <w:t xml:space="preserve">Rhamnose</w:t>
            </w:r>
          </w:p>
        </w:tc>
        <w:tc>
          <w:tcPr/>
          <w:p>
            <w:r>
              <w:rPr/>
              <w:t xml:space="preserve">153</w:t>
            </w:r>
          </w:p>
        </w:tc>
        <w:tc>
          <w:tcPr/>
          <w:p>
            <w:r>
              <w:rPr/>
              <w:t xml:space="preserve">78</w:t>
            </w:r>
          </w:p>
        </w:tc>
        <w:tc>
          <w:tcPr/>
          <w:p>
            <w:r>
              <w:rPr/>
              <w:t xml:space="preserve">0 to 5 g/L</w:t>
            </w:r>
          </w:p>
        </w:tc>
      </w:tr>
      <w:tr>
        <w:tc>
          <w:tcPr/>
          <w:p>
            <w:r>
              <w:rPr/>
              <w:t xml:space="preserve">Xylose</w:t>
            </w:r>
          </w:p>
        </w:tc>
        <w:tc>
          <w:tcPr/>
          <w:p>
            <w:r>
              <w:rPr/>
              <w:t xml:space="preserve">144</w:t>
            </w:r>
          </w:p>
        </w:tc>
        <w:tc>
          <w:tcPr/>
          <w:p>
            <w:r>
              <w:rPr/>
              <w:t xml:space="preserve">60</w:t>
            </w:r>
          </w:p>
        </w:tc>
        <w:tc>
          <w:tcPr/>
          <w:p>
            <w:r>
              <w:rPr/>
              <w:t xml:space="preserve">0 to 5 g/L</w:t>
            </w:r>
          </w:p>
        </w:tc>
      </w:tr>
      <w:tr>
        <w:tc>
          <w:tcPr/>
          <w:p>
            <w:r>
              <w:rPr/>
              <w:t xml:space="preserve">Glucose</w:t>
            </w:r>
          </w:p>
        </w:tc>
        <w:tc>
          <w:tcPr/>
          <w:p>
            <w:r>
              <w:rPr/>
              <w:t xml:space="preserve">144</w:t>
            </w:r>
          </w:p>
        </w:tc>
        <w:tc>
          <w:tcPr/>
          <w:p>
            <w:r>
              <w:rPr/>
              <w:t xml:space="preserve">60</w:t>
            </w:r>
          </w:p>
        </w:tc>
        <w:tc>
          <w:tcPr/>
          <w:p>
            <w:r>
              <w:rPr/>
              <w:t xml:space="preserve">0 to 5 g/L</w:t>
            </w:r>
          </w:p>
        </w:tc>
      </w:tr>
    </w:tbl>
    <w:p>
      <w:pPr>
        <w:pStyle w:val="Heading1"/>
      </w:pPr>
      <w:r>
        <w:t xml:space="preserve">3. Processing and Feature Engineering Pipeline</w:t>
      </w:r>
    </w:p>
    <w:p>
      <w:r>
        <w:t xml:space="preserve">The pipeline starts with raw EEM matrices and Raman spectra copied into the repository. The inventory builder joins raw files with metadata workbooks and treatment legends. Feature export then creates compact interpretable features and high-dimensional spectral matrices. Recent preprocessing additions make the Raman branch more chemically defensible and the EEM branch more suitable for component interpretation.</w:t>
      </w:r>
    </w:p>
    <w:tbl>
      <w:tblPr>
        <w:tblStyle w:val="TableGrid"/>
        <w:tblW w:w="0" w:type="auto"/>
      </w:tblPr>
      <w:tr>
        <w:tc>
          <w:tcPr>
            <w:shd w:fill="EEF3F8"/>
          </w:tcPr>
          <w:p>
            <w:r>
              <w:rPr>
                <w:b/>
              </w:rPr>
              <w:t xml:space="preserve">Feature group</w:t>
            </w:r>
          </w:p>
        </w:tc>
        <w:tc>
          <w:tcPr>
            <w:shd w:fill="EEF3F8"/>
          </w:tcPr>
          <w:p>
            <w:r>
              <w:rPr>
                <w:b/>
              </w:rPr>
              <w:t xml:space="preserve">Input</w:t>
            </w:r>
          </w:p>
        </w:tc>
        <w:tc>
          <w:tcPr>
            <w:shd w:fill="EEF3F8"/>
          </w:tcPr>
          <w:p>
            <w:r>
              <w:rPr>
                <w:b/>
              </w:rPr>
              <w:t xml:space="preserve">Processing</w:t>
            </w:r>
          </w:p>
        </w:tc>
        <w:tc>
          <w:tcPr>
            <w:shd w:fill="EEF3F8"/>
          </w:tcPr>
          <w:p>
            <w:r>
              <w:rPr>
                <w:b/>
              </w:rPr>
              <w:t xml:space="preserve">Model output role</w:t>
            </w:r>
          </w:p>
        </w:tc>
      </w:tr>
      <w:tr>
        <w:tc>
          <w:tcPr/>
          <w:p>
            <w:r>
              <w:rPr/>
              <w:t xml:space="preserve">Raman windows</w:t>
            </w:r>
          </w:p>
        </w:tc>
        <w:tc>
          <w:tcPr/>
          <w:p>
            <w:r>
              <w:rPr/>
              <w:t xml:space="preserve">Raw Raman spectra</w:t>
            </w:r>
          </w:p>
        </w:tc>
        <w:tc>
          <w:tcPr/>
          <w:p>
            <w:r>
              <w:rPr/>
              <w:t xml:space="preserve">Crop to 500-2000 cm-1 and summarize key bands</w:t>
            </w:r>
          </w:p>
        </w:tc>
        <w:tc>
          <w:tcPr/>
          <w:p>
            <w:r>
              <w:rPr/>
              <w:t xml:space="preserve">Explainable direct sugar features</w:t>
            </w:r>
          </w:p>
        </w:tc>
      </w:tr>
      <w:tr>
        <w:tc>
          <w:tcPr/>
          <w:p>
            <w:r>
              <w:rPr/>
              <w:t xml:space="preserve">Preprocessed Raman</w:t>
            </w:r>
          </w:p>
        </w:tc>
        <w:tc>
          <w:tcPr/>
          <w:p>
            <w:r>
              <w:rPr/>
              <w:t xml:space="preserve">Raw Raman spectra</w:t>
            </w:r>
          </w:p>
        </w:tc>
        <w:tc>
          <w:tcPr/>
          <w:p>
            <w:r>
              <w:rPr/>
              <w:t xml:space="preserve">Cosmic spike removal, ALS baseline correction, Savitzky-Golay smoothing/derivatives, SNV, optional area normalization</w:t>
            </w:r>
          </w:p>
        </w:tc>
        <w:tc>
          <w:tcPr/>
          <w:p>
            <w:r>
              <w:rPr/>
              <w:t xml:space="preserve">Improved direct-signal feature set; best for glucose extension</w:t>
            </w:r>
          </w:p>
        </w:tc>
      </w:tr>
      <w:tr>
        <w:tc>
          <w:tcPr/>
          <w:p>
            <w:r>
              <w:rPr/>
              <w:t xml:space="preserve">EEM unfolded</w:t>
            </w:r>
          </w:p>
        </w:tc>
        <w:tc>
          <w:tcPr/>
          <w:p>
            <w:r>
              <w:rPr/>
              <w:t xml:space="preserve">15 x 19 EEM matrices</w:t>
            </w:r>
          </w:p>
        </w:tc>
        <w:tc>
          <w:tcPr/>
          <w:p>
            <w:r>
              <w:rPr/>
              <w:t xml:space="preserve">Handle saturated cells and flatten excitation-emission cells</w:t>
            </w:r>
          </w:p>
        </w:tc>
        <w:tc>
          <w:tcPr/>
          <w:p>
            <w:r>
              <w:rPr/>
              <w:t xml:space="preserve">Predictive EEM baseline; best current xylose model</w:t>
            </w:r>
          </w:p>
        </w:tc>
      </w:tr>
      <w:tr>
        <w:tc>
          <w:tcPr/>
          <w:p>
            <w:r>
              <w:rPr/>
              <w:t xml:space="preserve">EEM PARAFAC</w:t>
            </w:r>
          </w:p>
        </w:tc>
        <w:tc>
          <w:tcPr/>
          <w:p>
            <w:r>
              <w:rPr/>
              <w:t xml:space="preserve">Cleaned EEM cube</w:t>
            </w:r>
          </w:p>
        </w:tc>
        <w:tc>
          <w:tcPr/>
          <w:p>
            <w:r>
              <w:rPr/>
              <w:t xml:space="preserve">Mask OVER and near-diagonal scatter regions; fit ranks 2-8; export selected scores/loadings</w:t>
            </w:r>
          </w:p>
        </w:tc>
        <w:tc>
          <w:tcPr/>
          <w:p>
            <w:r>
              <w:rPr/>
              <w:t xml:space="preserve">Interpretable fluorescence components</w:t>
            </w:r>
          </w:p>
        </w:tc>
      </w:tr>
      <w:tr>
        <w:tc>
          <w:tcPr/>
          <w:p>
            <w:r>
              <w:rPr/>
              <w:t xml:space="preserve">Fusion</w:t>
            </w:r>
          </w:p>
        </w:tc>
        <w:tc>
          <w:tcPr/>
          <w:p>
            <w:r>
              <w:rPr/>
              <w:t xml:space="preserve">Aligned Raman and EEM features</w:t>
            </w:r>
          </w:p>
        </w:tc>
        <w:tc>
          <w:tcPr/>
          <w:p>
            <w:r>
              <w:rPr/>
              <w:t xml:space="preserve">Join by experiment, plate, well, replicate, and treatment</w:t>
            </w:r>
          </w:p>
        </w:tc>
        <w:tc>
          <w:tcPr/>
          <w:p>
            <w:r>
              <w:rPr/>
              <w:t xml:space="preserve">Combines chemical and biological/process signals</w:t>
            </w:r>
          </w:p>
        </w:tc>
      </w:tr>
    </w:tbl>
    <w:p>
      <w:r>
        <w:br w:type="page"/>
      </w:r>
    </w:p>
    <w:p>
      <w:pPr>
        <w:pStyle w:val="Heading1"/>
      </w:pPr>
      <w:r>
        <w:t xml:space="preserve">4. Current Modelling Methods</w:t>
      </w:r>
    </w:p>
    <w:p>
      <w:r>
        <w:t xml:space="preserve">The modelling stack is intentionally dependency-light and reproducible in the current environment. The main script evaluates pure-NumPy ridge regression, PCR, PLS1, weighted k-nearest neighbours, and kernel ridge regression. Repeated grouped train/test splits are used so that replicate structure is partly respected. Target-focused cohorts are also tested so that each monosaccharide model can emphasize samples where that target is biologically relevant.</w:t>
      </w:r>
    </w:p>
    <w:p>
      <w:r>
        <w:t xml:space="preserve">Four modelling families are represented. Model 1 is interpretable EEM or PARAFAC scores followed by regression. Model 2 is unfolded EEM plus regression as a robust baseline. Model 3 uses nonlinear models on spectral features. Model 4 uses Raman and EEM fusion, either through full features or mid-level PARAFAC/Raman feature concatenation.</w:t>
      </w:r>
    </w:p>
    <w:p>
      <w:pPr>
        <w:pStyle w:val="Heading1"/>
      </w:pPr>
      <w:r>
        <w:t xml:space="preserve">5. Main Results</w:t>
      </w:r>
    </w:p>
    <w:tbl>
      <w:tblPr>
        <w:tblStyle w:val="TableGrid"/>
        <w:tblW w:w="0" w:type="auto"/>
      </w:tblPr>
      <w:tr>
        <w:tc>
          <w:tcPr>
            <w:shd w:fill="EEF3F8"/>
          </w:tcPr>
          <w:p>
            <w:r>
              <w:rPr>
                <w:b/>
              </w:rPr>
              <w:t xml:space="preserve">Target</w:t>
            </w:r>
          </w:p>
        </w:tc>
        <w:tc>
          <w:tcPr>
            <w:shd w:fill="EEF3F8"/>
          </w:tcPr>
          <w:p>
            <w:r>
              <w:rPr>
                <w:b/>
              </w:rPr>
              <w:t xml:space="preserve">Best feature set</w:t>
            </w:r>
          </w:p>
        </w:tc>
        <w:tc>
          <w:tcPr>
            <w:shd w:fill="EEF3F8"/>
          </w:tcPr>
          <w:p>
            <w:r>
              <w:rPr>
                <w:b/>
              </w:rPr>
              <w:t xml:space="preserve">Model</w:t>
            </w:r>
          </w:p>
        </w:tc>
        <w:tc>
          <w:tcPr>
            <w:shd w:fill="EEF3F8"/>
          </w:tcPr>
          <w:p>
            <w:r>
              <w:rPr>
                <w:b/>
              </w:rPr>
              <w:t xml:space="preserve">RMSE</w:t>
            </w:r>
          </w:p>
        </w:tc>
        <w:tc>
          <w:tcPr>
            <w:shd w:fill="EEF3F8"/>
          </w:tcPr>
          <w:p>
            <w:r>
              <w:rPr>
                <w:b/>
              </w:rPr>
              <w:t xml:space="preserve">MAE</w:t>
            </w:r>
          </w:p>
        </w:tc>
        <w:tc>
          <w:tcPr>
            <w:shd w:fill="EEF3F8"/>
          </w:tcPr>
          <w:p>
            <w:r>
              <w:rPr>
                <w:b/>
              </w:rPr>
              <w:t xml:space="preserve">R2</w:t>
            </w:r>
          </w:p>
        </w:tc>
        <w:tc>
          <w:tcPr>
            <w:shd w:fill="EEF3F8"/>
          </w:tcPr>
          <w:p>
            <w:r>
              <w:rPr>
                <w:b/>
              </w:rPr>
              <w:t xml:space="preserve">Interpretation</w:t>
            </w:r>
          </w:p>
        </w:tc>
      </w:tr>
      <w:tr>
        <w:tc>
          <w:tcPr/>
          <w:p>
            <w:r>
              <w:rPr/>
              <w:t xml:space="preserve">Glucose</w:t>
            </w:r>
          </w:p>
        </w:tc>
        <w:tc>
          <w:tcPr/>
          <w:p>
            <w:r>
              <w:rPr/>
              <w:t xml:space="preserve">eem_interpretable</w:t>
            </w:r>
          </w:p>
        </w:tc>
        <w:tc>
          <w:tcPr/>
          <w:p>
            <w:r>
              <w:rPr/>
              <w:t xml:space="preserve">knn</w:t>
            </w:r>
          </w:p>
        </w:tc>
        <w:tc>
          <w:tcPr/>
          <w:p>
            <w:r>
              <w:rPr/>
              <w:t xml:space="preserve">0.5589</w:t>
            </w:r>
          </w:p>
        </w:tc>
        <w:tc>
          <w:tcPr/>
          <w:p>
            <w:r>
              <w:rPr/>
              <w:t xml:space="preserve">0.3524</w:t>
            </w:r>
          </w:p>
        </w:tc>
        <w:tc>
          <w:tcPr/>
          <w:p>
            <w:r>
              <w:rPr/>
              <w:t xml:space="preserve">-0.387</w:t>
            </w:r>
          </w:p>
        </w:tc>
        <w:tc>
          <w:tcPr/>
          <w:p>
            <w:r>
              <w:rPr/>
              <w:t xml:space="preserve">Best preprocessed Raman extension beats this baseline, but R2 is still weak.</w:t>
            </w:r>
          </w:p>
        </w:tc>
      </w:tr>
      <w:tr>
        <w:tc>
          <w:tcPr/>
          <w:p>
            <w:r>
              <w:rPr/>
              <w:t xml:space="preserve">Rhamnose</w:t>
            </w:r>
          </w:p>
        </w:tc>
        <w:tc>
          <w:tcPr/>
          <w:p>
            <w:r>
              <w:rPr/>
              <w:t xml:space="preserve">fusion_full</w:t>
            </w:r>
          </w:p>
        </w:tc>
        <w:tc>
          <w:tcPr/>
          <w:p>
            <w:r>
              <w:rPr/>
              <w:t xml:space="preserve">knn</w:t>
            </w:r>
          </w:p>
        </w:tc>
        <w:tc>
          <w:tcPr/>
          <w:p>
            <w:r>
              <w:rPr/>
              <w:t xml:space="preserve">0.7043</w:t>
            </w:r>
          </w:p>
        </w:tc>
        <w:tc>
          <w:tcPr/>
          <w:p>
            <w:r>
              <w:rPr/>
              <w:t xml:space="preserve">0.4185</w:t>
            </w:r>
          </w:p>
        </w:tc>
        <w:tc>
          <w:tcPr/>
          <w:p>
            <w:r>
              <w:rPr/>
              <w:t xml:space="preserve">-0.108</w:t>
            </w:r>
          </w:p>
        </w:tc>
        <w:tc>
          <w:tcPr/>
          <w:p>
            <w:r>
              <w:rPr/>
              <w:t xml:space="preserve">Fusion helps, but residual error remains high.</w:t>
            </w:r>
          </w:p>
        </w:tc>
      </w:tr>
      <w:tr>
        <w:tc>
          <w:tcPr/>
          <w:p>
            <w:r>
              <w:rPr/>
              <w:t xml:space="preserve">Xylose</w:t>
            </w:r>
          </w:p>
        </w:tc>
        <w:tc>
          <w:tcPr/>
          <w:p>
            <w:r>
              <w:rPr/>
              <w:t xml:space="preserve">eem_full</w:t>
            </w:r>
          </w:p>
        </w:tc>
        <w:tc>
          <w:tcPr/>
          <w:p>
            <w:r>
              <w:rPr/>
              <w:t xml:space="preserve">krr</w:t>
            </w:r>
          </w:p>
        </w:tc>
        <w:tc>
          <w:tcPr/>
          <w:p>
            <w:r>
              <w:rPr/>
              <w:t xml:space="preserve">0.5359</w:t>
            </w:r>
          </w:p>
        </w:tc>
        <w:tc>
          <w:tcPr/>
          <w:p>
            <w:r>
              <w:rPr/>
              <w:t xml:space="preserve">0.2262</w:t>
            </w:r>
          </w:p>
        </w:tc>
        <w:tc>
          <w:tcPr/>
          <w:p>
            <w:r>
              <w:rPr/>
              <w:t xml:space="preserve">0.226</w:t>
            </w:r>
          </w:p>
        </w:tc>
        <w:tc>
          <w:tcPr/>
          <w:p>
            <w:r>
              <w:rPr/>
              <w:t xml:space="preserve">Best relative performance; EEM full matrix appears informative.</w:t>
            </w:r>
          </w:p>
        </w:tc>
      </w:tr>
    </w:tbl>
    <w:p>
      <w:r>
        <w:drawing>
          <wp:inline distT="0" distB="0" distL="0" distR="0">
            <wp:extent cx="6400800" cy="2743200"/>
            <wp:docPr id="103" name="rmse_bars"/>
            <a:graphic xmlns:a="http://schemas.openxmlformats.org/drawingml/2006/main">
              <a:graphicData uri="http://schemas.openxmlformats.org/drawingml/2006/picture">
                <pic:pic xmlns:pic="http://schemas.openxmlformats.org/drawingml/2006/picture">
                  <pic:nvPicPr>
                    <pic:cNvPr id="0" name="rmse_bars.svg"/>
                    <pic:cNvPicPr/>
                  </pic:nvPicPr>
                  <pic:blipFill>
                    <a:blip r:embed="rId2"/>
                    <a:stretch>
                      <a:fillRect/>
                    </a:stretch>
                  </pic:blipFill>
                  <pic:spPr>
                    <a:xfrm>
                      <a:off x="0" y="0"/>
                      <a:ext cx="6400800" cy="2743200"/>
                    </a:xfrm>
                    <a:prstGeom prst="rect"/>
                  </pic:spPr>
                </pic:pic>
              </a:graphicData>
            </a:graphic>
          </wp:inline>
        </w:drawing>
      </w:r>
    </w:p>
    <w:p>
      <w:r>
        <w:t xml:space="preserve">The current project-level best models are not identical across targets, which is biologically plausible. Rhamnose benefits most from Raman + EEM full fusion, suggesting that direct Raman sugar information and EEM matrix-state information are both useful. Xylose is best with full EEM features and Laplacian kernel ridge regression, possibly reflecting strong covariance with fluorescence/process-state patterns in the standards/spikes. Glucose is best in the original search with compact EEM interpretable features, but the later preprocessed Raman kernel-ridge model improves glucose RMSE to 0.5094 g/L.</w:t>
      </w:r>
    </w:p>
    <w:p>
      <w:r>
        <w:drawing>
          <wp:inline distT="0" distB="0" distL="0" distR="0">
            <wp:extent cx="6583680" cy="2286000"/>
            <wp:docPr id="104" name="scatter_best"/>
            <a:graphic xmlns:a="http://schemas.openxmlformats.org/drawingml/2006/main">
              <a:graphicData uri="http://schemas.openxmlformats.org/drawingml/2006/picture">
                <pic:pic xmlns:pic="http://schemas.openxmlformats.org/drawingml/2006/picture">
                  <pic:nvPicPr>
                    <pic:cNvPr id="0" name="scatter_best.svg"/>
                    <pic:cNvPicPr/>
                  </pic:nvPicPr>
                  <pic:blipFill>
                    <a:blip r:embed="rId3"/>
                    <a:stretch>
                      <a:fillRect/>
                    </a:stretch>
                  </pic:blipFill>
                  <pic:spPr>
                    <a:xfrm>
                      <a:off x="0" y="0"/>
                      <a:ext cx="6583680" cy="2286000"/>
                    </a:xfrm>
                    <a:prstGeom prst="rect"/>
                  </pic:spPr>
                </pic:pic>
              </a:graphicData>
            </a:graphic>
          </wp:inline>
        </w:drawing>
      </w:r>
    </w:p>
    <w:p>
      <w:r>
        <w:br w:type="page"/>
      </w:r>
    </w:p>
    <w:p>
      <w:pPr>
        <w:pStyle w:val="Heading1"/>
      </w:pPr>
      <w:r>
        <w:t xml:space="preserve">6. Raman Preprocessing and EEM PARAFAC Extension</w:t>
      </w:r>
    </w:p>
    <w:p>
      <w:r>
        <w:t xml:space="preserve">The extension added a more spectroscopy-aware Raman preprocessing path and interpretable EEM PARAFAC components. Raman preprocessing records each model's preprocessing_config, so performance can be traced to the exact sequence of cosmic-spike removal, ALS baseline correction, smoothing/derivative choice, SNV, and optional area normalization. The EEM PARAFAC script fits ranks 2-8 and selects the rank by reconstruction error, split-half stability, and prediction performance.</w:t>
      </w:r>
    </w:p>
    <w:tbl>
      <w:tblPr>
        <w:tblStyle w:val="TableGrid"/>
        <w:tblW w:w="0" w:type="auto"/>
      </w:tblPr>
      <w:tr>
        <w:tc>
          <w:tcPr>
            <w:shd w:fill="EEF3F8"/>
          </w:tcPr>
          <w:p>
            <w:r>
              <w:rPr>
                <w:b/>
              </w:rPr>
              <w:t xml:space="preserve">Target</w:t>
            </w:r>
          </w:p>
        </w:tc>
        <w:tc>
          <w:tcPr>
            <w:shd w:fill="EEF3F8"/>
          </w:tcPr>
          <w:p>
            <w:r>
              <w:rPr>
                <w:b/>
              </w:rPr>
              <w:t xml:space="preserve">Best extension feature set</w:t>
            </w:r>
          </w:p>
        </w:tc>
        <w:tc>
          <w:tcPr>
            <w:shd w:fill="EEF3F8"/>
          </w:tcPr>
          <w:p>
            <w:r>
              <w:rPr>
                <w:b/>
              </w:rPr>
              <w:t xml:space="preserve">Model</w:t>
            </w:r>
          </w:p>
        </w:tc>
        <w:tc>
          <w:tcPr>
            <w:shd w:fill="EEF3F8"/>
          </w:tcPr>
          <w:p>
            <w:r>
              <w:rPr>
                <w:b/>
              </w:rPr>
              <w:t xml:space="preserve">RMSE</w:t>
            </w:r>
          </w:p>
        </w:tc>
        <w:tc>
          <w:tcPr>
            <w:shd w:fill="EEF3F8"/>
          </w:tcPr>
          <w:p>
            <w:r>
              <w:rPr>
                <w:b/>
              </w:rPr>
              <w:t xml:space="preserve">Latest baseline RMSE</w:t>
            </w:r>
          </w:p>
        </w:tc>
        <w:tc>
          <w:tcPr>
            <w:shd w:fill="EEF3F8"/>
          </w:tcPr>
          <w:p>
            <w:r>
              <w:rPr>
                <w:b/>
              </w:rPr>
              <w:t xml:space="preserve">Improvement</w:t>
            </w:r>
          </w:p>
        </w:tc>
        <w:tc>
          <w:tcPr>
            <w:shd w:fill="EEF3F8"/>
          </w:tcPr>
          <w:p>
            <w:r>
              <w:rPr>
                <w:b/>
              </w:rPr>
              <w:t xml:space="preserve">Met 5 percent</w:t>
            </w:r>
          </w:p>
        </w:tc>
      </w:tr>
      <w:tr>
        <w:tc>
          <w:tcPr/>
          <w:p>
            <w:r>
              <w:rPr/>
              <w:t xml:space="preserve">Rhamnose</w:t>
            </w:r>
          </w:p>
        </w:tc>
        <w:tc>
          <w:tcPr/>
          <w:p>
            <w:r>
              <w:rPr/>
              <w:t xml:space="preserve">parafac_raman_fusion_als_sg0_snv_area</w:t>
            </w:r>
          </w:p>
        </w:tc>
        <w:tc>
          <w:tcPr/>
          <w:p>
            <w:r>
              <w:rPr/>
              <w:t xml:space="preserve">weighted_knn</w:t>
            </w:r>
          </w:p>
        </w:tc>
        <w:tc>
          <w:tcPr/>
          <w:p>
            <w:r>
              <w:rPr/>
              <w:t xml:space="preserve">0.8001</w:t>
            </w:r>
          </w:p>
        </w:tc>
        <w:tc>
          <w:tcPr/>
          <w:p>
            <w:r>
              <w:rPr/>
              <w:t xml:space="preserve">0.7043</w:t>
            </w:r>
          </w:p>
        </w:tc>
        <w:tc>
          <w:tcPr/>
          <w:p>
            <w:r>
              <w:rPr/>
              <w:t xml:space="preserve">-13.6%</w:t>
            </w:r>
          </w:p>
        </w:tc>
        <w:tc>
          <w:tcPr/>
          <w:p>
            <w:r>
              <w:rPr/>
              <w:t xml:space="preserve">False</w:t>
            </w:r>
          </w:p>
        </w:tc>
      </w:tr>
      <w:tr>
        <w:tc>
          <w:tcPr/>
          <w:p>
            <w:r>
              <w:rPr/>
              <w:t xml:space="preserve">Xylose</w:t>
            </w:r>
          </w:p>
        </w:tc>
        <w:tc>
          <w:tcPr/>
          <w:p>
            <w:r>
              <w:rPr/>
              <w:t xml:space="preserve">raman_preprocessed_als_sg2_snv</w:t>
            </w:r>
          </w:p>
        </w:tc>
        <w:tc>
          <w:tcPr/>
          <w:p>
            <w:r>
              <w:rPr/>
              <w:t xml:space="preserve">weighted_knn</w:t>
            </w:r>
          </w:p>
        </w:tc>
        <w:tc>
          <w:tcPr/>
          <w:p>
            <w:r>
              <w:rPr/>
              <w:t xml:space="preserve">0.6050</w:t>
            </w:r>
          </w:p>
        </w:tc>
        <w:tc>
          <w:tcPr/>
          <w:p>
            <w:r>
              <w:rPr/>
              <w:t xml:space="preserve">0.5359</w:t>
            </w:r>
          </w:p>
        </w:tc>
        <w:tc>
          <w:tcPr/>
          <w:p>
            <w:r>
              <w:rPr/>
              <w:t xml:space="preserve">-12.9%</w:t>
            </w:r>
          </w:p>
        </w:tc>
        <w:tc>
          <w:tcPr/>
          <w:p>
            <w:r>
              <w:rPr/>
              <w:t xml:space="preserve">False</w:t>
            </w:r>
          </w:p>
        </w:tc>
      </w:tr>
      <w:tr>
        <w:tc>
          <w:tcPr/>
          <w:p>
            <w:r>
              <w:rPr/>
              <w:t xml:space="preserve">Glucose</w:t>
            </w:r>
          </w:p>
        </w:tc>
        <w:tc>
          <w:tcPr/>
          <w:p>
            <w:r>
              <w:rPr/>
              <w:t xml:space="preserve">raman_preprocessed_als_sg2_snv</w:t>
            </w:r>
          </w:p>
        </w:tc>
        <w:tc>
          <w:tcPr/>
          <w:p>
            <w:r>
              <w:rPr/>
              <w:t xml:space="preserve">krr</w:t>
            </w:r>
          </w:p>
        </w:tc>
        <w:tc>
          <w:tcPr/>
          <w:p>
            <w:r>
              <w:rPr/>
              <w:t xml:space="preserve">0.5094</w:t>
            </w:r>
          </w:p>
        </w:tc>
        <w:tc>
          <w:tcPr/>
          <w:p>
            <w:r>
              <w:rPr/>
              <w:t xml:space="preserve">0.5589</w:t>
            </w:r>
          </w:p>
        </w:tc>
        <w:tc>
          <w:tcPr/>
          <w:p>
            <w:r>
              <w:rPr/>
              <w:t xml:space="preserve">8.8%</w:t>
            </w:r>
          </w:p>
        </w:tc>
        <w:tc>
          <w:tcPr/>
          <w:p>
            <w:r>
              <w:rPr/>
              <w:t xml:space="preserve">True</w:t>
            </w:r>
          </w:p>
        </w:tc>
      </w:tr>
    </w:tbl>
    <w:p>
      <w:r>
        <w:drawing>
          <wp:inline distT="0" distB="0" distL="0" distR="0">
            <wp:extent cx="6217920" cy="2468880"/>
            <wp:docPr id="105" name="improvement_extension"/>
            <a:graphic xmlns:a="http://schemas.openxmlformats.org/drawingml/2006/main">
              <a:graphicData uri="http://schemas.openxmlformats.org/drawingml/2006/picture">
                <pic:pic xmlns:pic="http://schemas.openxmlformats.org/drawingml/2006/picture">
                  <pic:nvPicPr>
                    <pic:cNvPr id="0" name="improvement_extension.svg"/>
                    <pic:cNvPicPr/>
                  </pic:nvPicPr>
                  <pic:blipFill>
                    <a:blip r:embed="rId4"/>
                    <a:stretch>
                      <a:fillRect/>
                    </a:stretch>
                  </pic:blipFill>
                  <pic:spPr>
                    <a:xfrm>
                      <a:off x="0" y="0"/>
                      <a:ext cx="6217920" cy="2468880"/>
                    </a:xfrm>
                    <a:prstGeom prst="rect"/>
                  </pic:spPr>
                </pic:pic>
              </a:graphicData>
            </a:graphic>
          </wp:inline>
        </w:drawing>
      </w:r>
    </w:p>
    <w:tbl>
      <w:tblPr>
        <w:tblStyle w:val="TableGrid"/>
        <w:tblW w:w="0" w:type="auto"/>
      </w:tblPr>
      <w:tr>
        <w:tc>
          <w:tcPr>
            <w:shd w:fill="EEF3F8"/>
          </w:tcPr>
          <w:p>
            <w:r>
              <w:rPr>
                <w:b/>
              </w:rPr>
              <w:t xml:space="preserve">Rank</w:t>
            </w:r>
          </w:p>
        </w:tc>
        <w:tc>
          <w:tcPr>
            <w:shd w:fill="EEF3F8"/>
          </w:tcPr>
          <w:p>
            <w:r>
              <w:rPr>
                <w:b/>
              </w:rPr>
              <w:t xml:space="preserve">Reconstruction error</w:t>
            </w:r>
          </w:p>
        </w:tc>
        <w:tc>
          <w:tcPr>
            <w:shd w:fill="EEF3F8"/>
          </w:tcPr>
          <w:p>
            <w:r>
              <w:rPr>
                <w:b/>
              </w:rPr>
              <w:t xml:space="preserve">Split-half stability</w:t>
            </w:r>
          </w:p>
        </w:tc>
        <w:tc>
          <w:tcPr>
            <w:shd w:fill="EEF3F8"/>
          </w:tcPr>
          <w:p>
            <w:r>
              <w:rPr>
                <w:b/>
              </w:rPr>
              <w:t xml:space="preserve">Prediction RMSE mean</w:t>
            </w:r>
          </w:p>
        </w:tc>
        <w:tc>
          <w:tcPr>
            <w:shd w:fill="EEF3F8"/>
          </w:tcPr>
          <w:p>
            <w:r>
              <w:rPr>
                <w:b/>
              </w:rPr>
              <w:t xml:space="preserve">Selected</w:t>
            </w:r>
          </w:p>
        </w:tc>
      </w:tr>
      <w:tr>
        <w:tc>
          <w:tcPr/>
          <w:p>
            <w:r>
              <w:rPr/>
              <w:t xml:space="preserve">2</w:t>
            </w:r>
          </w:p>
        </w:tc>
        <w:tc>
          <w:tcPr/>
          <w:p>
            <w:r>
              <w:rPr/>
              <w:t xml:space="preserve">3.2474793</w:t>
            </w:r>
          </w:p>
        </w:tc>
        <w:tc>
          <w:tcPr/>
          <w:p>
            <w:r>
              <w:rPr/>
              <w:t xml:space="preserve">0.49863092</w:t>
            </w:r>
          </w:p>
        </w:tc>
        <w:tc>
          <w:tcPr/>
          <w:p>
            <w:r>
              <w:rPr/>
              <w:t xml:space="preserve">0.89937927</w:t>
            </w:r>
          </w:p>
        </w:tc>
        <w:tc>
          <w:tcPr/>
          <w:p>
            <w:r>
              <w:rPr/>
              <w:t xml:space="preserve">True</w:t>
            </w:r>
          </w:p>
        </w:tc>
      </w:tr>
      <w:tr>
        <w:tc>
          <w:tcPr/>
          <w:p>
            <w:r>
              <w:rPr/>
              <w:t xml:space="preserve">3</w:t>
            </w:r>
          </w:p>
        </w:tc>
        <w:tc>
          <w:tcPr/>
          <w:p>
            <w:r>
              <w:rPr/>
              <w:t xml:space="preserve">3.2474793</w:t>
            </w:r>
          </w:p>
        </w:tc>
        <w:tc>
          <w:tcPr/>
          <w:p>
            <w:r>
              <w:rPr/>
              <w:t xml:space="preserve">0.33242061</w:t>
            </w:r>
          </w:p>
        </w:tc>
        <w:tc>
          <w:tcPr/>
          <w:p>
            <w:r>
              <w:rPr/>
              <w:t xml:space="preserve">0.89937927</w:t>
            </w:r>
          </w:p>
        </w:tc>
        <w:tc>
          <w:tcPr/>
          <w:p>
            <w:r>
              <w:rPr/>
              <w:t xml:space="preserve">False</w:t>
            </w:r>
          </w:p>
        </w:tc>
      </w:tr>
      <w:tr>
        <w:tc>
          <w:tcPr/>
          <w:p>
            <w:r>
              <w:rPr/>
              <w:t xml:space="preserve">4</w:t>
            </w:r>
          </w:p>
        </w:tc>
        <w:tc>
          <w:tcPr/>
          <w:p>
            <w:r>
              <w:rPr/>
              <w:t xml:space="preserve">3.2474793</w:t>
            </w:r>
          </w:p>
        </w:tc>
        <w:tc>
          <w:tcPr/>
          <w:p>
            <w:r>
              <w:rPr/>
              <w:t xml:space="preserve">0.24931546</w:t>
            </w:r>
          </w:p>
        </w:tc>
        <w:tc>
          <w:tcPr/>
          <w:p>
            <w:r>
              <w:rPr/>
              <w:t xml:space="preserve">0.89937927</w:t>
            </w:r>
          </w:p>
        </w:tc>
        <w:tc>
          <w:tcPr/>
          <w:p>
            <w:r>
              <w:rPr/>
              <w:t xml:space="preserve">False</w:t>
            </w:r>
          </w:p>
        </w:tc>
      </w:tr>
      <w:tr>
        <w:tc>
          <w:tcPr/>
          <w:p>
            <w:r>
              <w:rPr/>
              <w:t xml:space="preserve">5</w:t>
            </w:r>
          </w:p>
        </w:tc>
        <w:tc>
          <w:tcPr/>
          <w:p>
            <w:r>
              <w:rPr/>
              <w:t xml:space="preserve">3.2474793</w:t>
            </w:r>
          </w:p>
        </w:tc>
        <w:tc>
          <w:tcPr/>
          <w:p>
            <w:r>
              <w:rPr/>
              <w:t xml:space="preserve">0.19945237</w:t>
            </w:r>
          </w:p>
        </w:tc>
        <w:tc>
          <w:tcPr/>
          <w:p>
            <w:r>
              <w:rPr/>
              <w:t xml:space="preserve">0.89937927</w:t>
            </w:r>
          </w:p>
        </w:tc>
        <w:tc>
          <w:tcPr/>
          <w:p>
            <w:r>
              <w:rPr/>
              <w:t xml:space="preserve">False</w:t>
            </w:r>
          </w:p>
        </w:tc>
      </w:tr>
      <w:tr>
        <w:tc>
          <w:tcPr/>
          <w:p>
            <w:r>
              <w:rPr/>
              <w:t xml:space="preserve">6</w:t>
            </w:r>
          </w:p>
        </w:tc>
        <w:tc>
          <w:tcPr/>
          <w:p>
            <w:r>
              <w:rPr/>
              <w:t xml:space="preserve">3.2474793</w:t>
            </w:r>
          </w:p>
        </w:tc>
        <w:tc>
          <w:tcPr/>
          <w:p>
            <w:r>
              <w:rPr/>
              <w:t xml:space="preserve">0.33190375</w:t>
            </w:r>
          </w:p>
        </w:tc>
        <w:tc>
          <w:tcPr/>
          <w:p>
            <w:r>
              <w:rPr/>
              <w:t xml:space="preserve">0.89937927</w:t>
            </w:r>
          </w:p>
        </w:tc>
        <w:tc>
          <w:tcPr/>
          <w:p>
            <w:r>
              <w:rPr/>
              <w:t xml:space="preserve">False</w:t>
            </w:r>
          </w:p>
        </w:tc>
      </w:tr>
      <w:tr>
        <w:tc>
          <w:tcPr/>
          <w:p>
            <w:r>
              <w:rPr/>
              <w:t xml:space="preserve">7</w:t>
            </w:r>
          </w:p>
        </w:tc>
        <w:tc>
          <w:tcPr/>
          <w:p>
            <w:r>
              <w:rPr/>
              <w:t xml:space="preserve">3.2474793</w:t>
            </w:r>
          </w:p>
        </w:tc>
        <w:tc>
          <w:tcPr/>
          <w:p>
            <w:r>
              <w:rPr/>
              <w:t xml:space="preserve">0.14246598</w:t>
            </w:r>
          </w:p>
        </w:tc>
        <w:tc>
          <w:tcPr/>
          <w:p>
            <w:r>
              <w:rPr/>
              <w:t xml:space="preserve">0.89937927</w:t>
            </w:r>
          </w:p>
        </w:tc>
        <w:tc>
          <w:tcPr/>
          <w:p>
            <w:r>
              <w:rPr/>
              <w:t xml:space="preserve">False</w:t>
            </w:r>
          </w:p>
        </w:tc>
      </w:tr>
      <w:tr>
        <w:tc>
          <w:tcPr/>
          <w:p>
            <w:r>
              <w:rPr/>
              <w:t xml:space="preserve">8</w:t>
            </w:r>
          </w:p>
        </w:tc>
        <w:tc>
          <w:tcPr/>
          <w:p>
            <w:r>
              <w:rPr/>
              <w:t xml:space="preserve">3.2474793</w:t>
            </w:r>
          </w:p>
        </w:tc>
        <w:tc>
          <w:tcPr/>
          <w:p>
            <w:r>
              <w:rPr/>
              <w:t xml:space="preserve">0.12465773</w:t>
            </w:r>
          </w:p>
        </w:tc>
        <w:tc>
          <w:tcPr/>
          <w:p>
            <w:r>
              <w:rPr/>
              <w:t xml:space="preserve">0.89937927</w:t>
            </w:r>
          </w:p>
        </w:tc>
        <w:tc>
          <w:tcPr/>
          <w:p>
            <w:r>
              <w:rPr/>
              <w:t xml:space="preserve">False</w:t>
            </w:r>
          </w:p>
        </w:tc>
      </w:tr>
    </w:tbl>
    <w:p>
      <w:r>
        <w:drawing>
          <wp:inline distT="0" distB="0" distL="0" distR="0">
            <wp:extent cx="5394960" cy="2834640"/>
            <wp:docPr id="106" name="parafac_excitation_loadings"/>
            <a:graphic xmlns:a="http://schemas.openxmlformats.org/drawingml/2006/main">
              <a:graphicData uri="http://schemas.openxmlformats.org/drawingml/2006/picture">
                <pic:pic xmlns:pic="http://schemas.openxmlformats.org/drawingml/2006/picture">
                  <pic:nvPicPr>
                    <pic:cNvPr id="0" name="parafac_excitation_loadings.svg"/>
                    <pic:cNvPicPr/>
                  </pic:nvPicPr>
                  <pic:blipFill>
                    <a:blip r:embed="rId5"/>
                    <a:stretch>
                      <a:fillRect/>
                    </a:stretch>
                  </pic:blipFill>
                  <pic:spPr>
                    <a:xfrm>
                      <a:off x="0" y="0"/>
                      <a:ext cx="5394960" cy="2834640"/>
                    </a:xfrm>
                    <a:prstGeom prst="rect"/>
                  </pic:spPr>
                </pic:pic>
              </a:graphicData>
            </a:graphic>
          </wp:inline>
        </w:drawing>
      </w:r>
    </w:p>
    <w:p>
      <w:r>
        <w:drawing>
          <wp:inline distT="0" distB="0" distL="0" distR="0">
            <wp:extent cx="5394960" cy="2834640"/>
            <wp:docPr id="107" name="parafac_emission_loadings"/>
            <a:graphic xmlns:a="http://schemas.openxmlformats.org/drawingml/2006/main">
              <a:graphicData uri="http://schemas.openxmlformats.org/drawingml/2006/picture">
                <pic:pic xmlns:pic="http://schemas.openxmlformats.org/drawingml/2006/picture">
                  <pic:nvPicPr>
                    <pic:cNvPr id="0" name="parafac_emission_loadings.svg"/>
                    <pic:cNvPicPr/>
                  </pic:nvPicPr>
                  <pic:blipFill>
                    <a:blip r:embed="rId6"/>
                    <a:stretch>
                      <a:fillRect/>
                    </a:stretch>
                  </pic:blipFill>
                  <pic:spPr>
                    <a:xfrm>
                      <a:off x="0" y="0"/>
                      <a:ext cx="5394960" cy="2834640"/>
                    </a:xfrm>
                    <a:prstGeom prst="rect"/>
                  </pic:spPr>
                </pic:pic>
              </a:graphicData>
            </a:graphic>
          </wp:inline>
        </w:drawing>
      </w:r>
    </w:p>
    <w:p>
      <w:r>
        <w:drawing>
          <wp:inline distT="0" distB="0" distL="0" distR="0">
            <wp:extent cx="5394960" cy="2834640"/>
            <wp:docPr id="108" name="parafac_component1"/>
            <a:graphic xmlns:a="http://schemas.openxmlformats.org/drawingml/2006/main">
              <a:graphicData uri="http://schemas.openxmlformats.org/drawingml/2006/picture">
                <pic:pic xmlns:pic="http://schemas.openxmlformats.org/drawingml/2006/picture">
                  <pic:nvPicPr>
                    <pic:cNvPr id="0" name="parafac_component1.svg"/>
                    <pic:cNvPicPr/>
                  </pic:nvPicPr>
                  <pic:blipFill>
                    <a:blip r:embed="rId7"/>
                    <a:stretch>
                      <a:fillRect/>
                    </a:stretch>
                  </pic:blipFill>
                  <pic:spPr>
                    <a:xfrm>
                      <a:off x="0" y="0"/>
                      <a:ext cx="5394960" cy="2834640"/>
                    </a:xfrm>
                    <a:prstGeom prst="rect"/>
                  </pic:spPr>
                </pic:pic>
              </a:graphicData>
            </a:graphic>
          </wp:inline>
        </w:drawing>
      </w:r>
    </w:p>
    <w:p>
      <w:r>
        <w:drawing>
          <wp:inline distT="0" distB="0" distL="0" distR="0">
            <wp:extent cx="5394960" cy="2834640"/>
            <wp:docPr id="109" name="parafac_component2"/>
            <a:graphic xmlns:a="http://schemas.openxmlformats.org/drawingml/2006/main">
              <a:graphicData uri="http://schemas.openxmlformats.org/drawingml/2006/picture">
                <pic:pic xmlns:pic="http://schemas.openxmlformats.org/drawingml/2006/picture">
                  <pic:nvPicPr>
                    <pic:cNvPr id="0" name="parafac_component2.svg"/>
                    <pic:cNvPicPr/>
                  </pic:nvPicPr>
                  <pic:blipFill>
                    <a:blip r:embed="rId8"/>
                    <a:stretch>
                      <a:fillRect/>
                    </a:stretch>
                  </pic:blipFill>
                  <pic:spPr>
                    <a:xfrm>
                      <a:off x="0" y="0"/>
                      <a:ext cx="5394960" cy="2834640"/>
                    </a:xfrm>
                    <a:prstGeom prst="rect"/>
                  </pic:spPr>
                </pic:pic>
              </a:graphicData>
            </a:graphic>
          </wp:inline>
        </w:drawing>
      </w:r>
    </w:p>
    <w:p>
      <w:r>
        <w:br w:type="page"/>
      </w:r>
    </w:p>
    <w:p>
      <w:pPr>
        <w:pStyle w:val="Heading1"/>
      </w:pPr>
      <w:r>
        <w:t xml:space="preserve">7. Strengths of the Current Method</w:t>
      </w:r>
    </w:p>
    <w:p>
      <w:pPr>
        <w:pStyle w:val="ListBullet"/>
      </w:pPr>
      <w:r>
        <w:t xml:space="preserve">The pipeline is reproducible and self-contained; it avoids undeclared dependencies and writes all major intermediate artifacts.</w:t>
      </w:r>
    </w:p>
    <w:p>
      <w:pPr>
        <w:pStyle w:val="ListBullet"/>
      </w:pPr>
      <w:r>
        <w:t xml:space="preserve">The modelling design is scientifically defensible: Raman is treated as the direct monosaccharide signal and EEM as indirect biological/process context.</w:t>
      </w:r>
    </w:p>
    <w:p>
      <w:pPr>
        <w:pStyle w:val="ListBullet"/>
      </w:pPr>
      <w:r>
        <w:t xml:space="preserve">Multiple feature representations are compared rather than assuming one modality or one model is best.</w:t>
      </w:r>
    </w:p>
    <w:p>
      <w:pPr>
        <w:pStyle w:val="ListBullet"/>
      </w:pPr>
      <w:r>
        <w:t xml:space="preserve">The report includes visual diagnostics, predicted-vs-true plots, residual behaviour, PARAFAC component maps, and traceable preprocessing configuration labels.</w:t>
      </w:r>
    </w:p>
    <w:p>
      <w:pPr>
        <w:pStyle w:val="ListBullet"/>
      </w:pPr>
      <w:r>
        <w:t xml:space="preserve">The fusion result for rhamnose supports the original biological hypothesis that Raman + EEM can outperform either signal family alone when the target is not fully captured by one modality.</w:t>
      </w:r>
    </w:p>
    <w:p>
      <w:r>
        <w:br w:type="page"/>
      </w:r>
    </w:p>
    <w:p>
      <w:pPr>
        <w:pStyle w:val="Heading1"/>
      </w:pPr>
      <w:r>
        <w:t xml:space="preserve">8. Weaknesses and Risks</w:t>
      </w:r>
    </w:p>
    <w:p>
      <w:pPr>
        <w:pStyle w:val="ListBullet"/>
      </w:pPr>
      <w:r>
        <w:t xml:space="preserve">The strongest limitation is target quality: culture-sample HPLC monosaccharide concentrations are not yet merged, so current supervised results are calibration/spike results rather than final biological culture predictions.</w:t>
      </w:r>
    </w:p>
    <w:p>
      <w:pPr>
        <w:pStyle w:val="ListBullet"/>
      </w:pPr>
      <w:r>
        <w:t xml:space="preserve">Some RMSE values improve, but R2 is weak or negative for rhamnose and glucose in the best project-level models. This means the models can reduce absolute error in some settings but do not yet explain variance robustly across grouped splits.</w:t>
      </w:r>
    </w:p>
    <w:p>
      <w:pPr>
        <w:pStyle w:val="ListBullet"/>
      </w:pPr>
      <w:r>
        <w:t xml:space="preserve">The sample structure is small relative to the feature dimension. High-dimensional EEM/Raman matrices create overfitting risk, especially for nonlinear models and nearest-neighbour methods.</w:t>
      </w:r>
    </w:p>
    <w:p>
      <w:pPr>
        <w:pStyle w:val="ListBullet"/>
      </w:pPr>
      <w:r>
        <w:t xml:space="preserve">The PARAFAC implementation is dependency-light and useful for exploration, but a publication-grade component analysis should be repeated with a tested chemometrics library and stronger split-half validation.</w:t>
      </w:r>
    </w:p>
    <w:p>
      <w:pPr>
        <w:pStyle w:val="ListBullet"/>
      </w:pPr>
      <w:r>
        <w:t xml:space="preserve">The current preprocessing/PARAFAC extension improves glucose only. Rhamnose and xylose become worse than their previous best models, so preprocessing should not be treated as universally beneficial.</w:t>
      </w:r>
    </w:p>
    <w:p>
      <w:pPr>
        <w:pStyle w:val="ListBullet"/>
      </w:pPr>
      <w:r>
        <w:t xml:space="preserve">External spectral assignment is not yet fully referenced. Raman band interpretations should be strengthened with literature assignments before publication.</w:t>
      </w:r>
    </w:p>
    <w:p>
      <w:pPr>
        <w:pStyle w:val="Heading1"/>
      </w:pPr>
      <w:r>
        <w:t xml:space="preserve">9. Recommended Next Steps</w:t>
      </w:r>
    </w:p>
    <w:p>
      <w:r>
        <w:t xml:space="preserve">The next scientifically important step is to merge quantitative HPLC monosaccharide concentrations for culture samples and rerun the full training workflow. Once culture targets are available, validation should be grouped by biological batch or experiment to estimate performance on genuinely unseen culture conditions. The current standards/spikes are valuable for calibration, but they cannot substitute for culture-level biological validation.</w:t>
      </w:r>
    </w:p>
    <w:p>
      <w:pPr>
        <w:pStyle w:val="ListBullet"/>
      </w:pPr>
      <w:r>
        <w:t xml:space="preserve">Merge HPLC concentration targets and confirm units, dilution factors, and sample-code mapping.</w:t>
      </w:r>
    </w:p>
    <w:p>
      <w:pPr>
        <w:pStyle w:val="ListBullet"/>
      </w:pPr>
      <w:r>
        <w:t xml:space="preserve">Re-run feature export and supervised training with culture samples included.</w:t>
      </w:r>
    </w:p>
    <w:p>
      <w:pPr>
        <w:pStyle w:val="ListBullet"/>
      </w:pPr>
      <w:r>
        <w:t xml:space="preserve">Use the current best models as baselines, but separately report standards/spikes and true culture validation.</w:t>
      </w:r>
    </w:p>
    <w:p>
      <w:pPr>
        <w:pStyle w:val="ListBullet"/>
      </w:pPr>
      <w:r>
        <w:t xml:space="preserve">If dependencies are allowed, benchmark scikit-learn PLSR/SVR, TensorLy PARAFAC, and gradient boosting against the pure-NumPy results.</w:t>
      </w:r>
    </w:p>
    <w:p>
      <w:pPr>
        <w:pStyle w:val="ListBullet"/>
      </w:pPr>
      <w:r>
        <w:t xml:space="preserve">Strengthen interpretability by linking Raman windows and PARAFAC loadings to biochemical assignments and culture-state metadata.</w:t>
      </w:r>
    </w:p>
    <w:p>
      <w:pPr>
        <w:pStyle w:val="Heading1"/>
      </w:pPr>
      <w:r>
        <w:t xml:space="preserve">Conclusion</w:t>
      </w:r>
    </w:p>
    <w:p>
      <w:r>
        <w:t xml:space="preserve">The current project has a complete working soft-sensor prototype with traceable processing, model comparison, and visual reporting. The best evidence so far supports a Raman + EEM fusion strategy, with Raman providing direct carbohydrate chemistry and EEM providing indirect biological state information. The method is promising but not yet final: culture-target HPLC data and stronger validation are required before the model can be claimed as a deployable biological soft sensor.</w:t>
      </w:r>
    </w:p>
    <w:sectPr>
      <w:pgSz w:w="12240" w:h="15840"/>
      <w:pgMar w:top="720" w:right="720" w:bottom="720" w:left="720" w:header="360" w:footer="360" w:gutter="0"/>
    </w:sectPr>
  </w:body>
</w:document>
</file>

<file path=word/styles.xml><?xml version="1.0" encoding="utf-8"?>
<w:styles xmlns:w="http://schemas.openxmlformats.org/wordprocessingml/2006/main">
  <w:style w:type="paragraph" w:default="1" w:styleId="Normal">
    <w:name w:val="Normal"/>
    <w:rPr>
      <w:sz w:val="22"/>
    </w:rPr>
    <w:pPr>
      <w:spacing w:after="120"/>
    </w:pPr>
  </w:style>
  <w:style w:type="paragraph" w:styleId="Title">
    <w:name w:val="Title"/>
    <w:rPr>
      <w:b/>
      <w:sz w:val="36"/>
    </w:rPr>
    <w:pPr>
      <w:spacing w:after="240"/>
    </w:pPr>
  </w:style>
  <w:style w:type="paragraph" w:styleId="Heading1">
    <w:name w:val="heading 1"/>
    <w:basedOn w:val="Normal"/>
    <w:rPr>
      <w:b/>
      <w:sz w:val="30"/>
    </w:rPr>
    <w:pPr>
      <w:spacing w:before="260" w:after="140"/>
    </w:pPr>
  </w:style>
  <w:style w:type="paragraph" w:styleId="Heading2">
    <w:name w:val="heading 2"/>
    <w:basedOn w:val="Normal"/>
    <w:rPr>
      <w:b/>
      <w:sz w:val="26"/>
    </w:rPr>
    <w:pPr>
      <w:spacing w:before="180" w:after="100"/>
    </w:pPr>
  </w:style>
  <w:style w:type="paragraph" w:styleId="ListBullet">
    <w:name w:val="List Bullet"/>
    <w:basedOn w:val="Normal"/>
    <w:pPr>
      <w:ind w:left="360" w:hanging="180"/>
    </w:pPr>
  </w:style>
  <w:style w:type="table" w:styleId="TableGrid">
    <w:name w:val="Table Grid"/>
    <w:tblPr>
      <w:tblBorders>
        <w:top w:val="single" w:sz="4" w:color="D6DDE5"/>
        <w:left w:val="single" w:sz="4" w:color="D6DDE5"/>
        <w:bottom w:val="single" w:sz="4" w:color="D6DDE5"/>
        <w:right w:val="single" w:sz="4" w:color="D6DDE5"/>
        <w:insideH w:val="single" w:sz="4" w:color="D6DDE5"/>
        <w:insideV w:val="single" w:sz="4" w:color="D6DDE5"/>
      </w:tblBorders>
    </w:tblPr>
  </w:style>
</w:styles>
</file>

<file path=word/_rels/document.xml.rels><?xml version="1.0" encoding="UTF-8" standalone="yes"?>
<Relationships xmlns="http://schemas.openxmlformats.org/package/2006/relationships">
<Relationship Id="rStyles" Type="http://schemas.openxmlformats.org/officeDocument/2006/relationships/styles" Target="styles.xml"/>
<Relationship Id="rId1" Type="http://schemas.openxmlformats.org/officeDocument/2006/relationships/image" Target="media/pipeline_overview.svg"/><Relationship Id="rId2" Type="http://schemas.openxmlformats.org/officeDocument/2006/relationships/image" Target="media/rmse_bars.svg"/><Relationship Id="rId3" Type="http://schemas.openxmlformats.org/officeDocument/2006/relationships/image" Target="media/scatter_best.svg"/><Relationship Id="rId4" Type="http://schemas.openxmlformats.org/officeDocument/2006/relationships/image" Target="media/improvement_extension.svg"/><Relationship Id="rId5" Type="http://schemas.openxmlformats.org/officeDocument/2006/relationships/image" Target="media/parafac_excitation_loadings.svg"/><Relationship Id="rId6" Type="http://schemas.openxmlformats.org/officeDocument/2006/relationships/image" Target="media/parafac_emission_loadings.svg"/><Relationship Id="rId7" Type="http://schemas.openxmlformats.org/officeDocument/2006/relationships/image" Target="media/parafac_component1.svg"/><Relationship Id="rId8" Type="http://schemas.openxmlformats.org/officeDocument/2006/relationships/image" Target="media/parafac_component2.svg"/>
</Relationships>
</file>