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0C9E02" w14:textId="77777777" w:rsidR="004D62AA" w:rsidRPr="00E62EF5" w:rsidRDefault="004D62AA" w:rsidP="0079085D">
      <w:pPr>
        <w:pStyle w:val="Title"/>
        <w:bidi w:val="0"/>
        <w:jc w:val="center"/>
        <w:rPr>
          <w:rFonts w:asciiTheme="minorBidi" w:hAnsiTheme="minorBidi" w:cstheme="minorBidi"/>
          <w:sz w:val="72"/>
          <w:szCs w:val="72"/>
        </w:rPr>
      </w:pPr>
      <w:r w:rsidRPr="00E62EF5">
        <w:rPr>
          <w:rFonts w:asciiTheme="minorBidi" w:hAnsiTheme="minorBidi" w:cstheme="minorBidi"/>
          <w:sz w:val="72"/>
          <w:szCs w:val="72"/>
        </w:rPr>
        <w:t>HR Analytics: Workforce Performance, Risk Assessment, and Strategic Recommendations</w:t>
      </w:r>
    </w:p>
    <w:p w14:paraId="5C165DCF" w14:textId="77777777" w:rsidR="004D62AA" w:rsidRPr="007A400E" w:rsidRDefault="004D62AA" w:rsidP="004D4D1E">
      <w:pPr>
        <w:pStyle w:val="Heading1"/>
        <w:bidi w:val="0"/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</w:pPr>
      <w:r w:rsidRPr="007A400E"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  <w:t>1. Executive Summary</w:t>
      </w:r>
    </w:p>
    <w:p w14:paraId="6119B90C" w14:textId="77777777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 xml:space="preserve">This report presents a comprehensive analysis of workforce performance, engagement, and attrition risk spanning the years </w:t>
      </w:r>
      <w:r w:rsidRPr="007A400E">
        <w:rPr>
          <w:rFonts w:asciiTheme="minorBidi" w:hAnsiTheme="minorBidi" w:cstheme="minorBidi"/>
          <w:b/>
          <w:bCs/>
        </w:rPr>
        <w:t>2013 to 2022</w:t>
      </w:r>
      <w:r w:rsidRPr="007A400E">
        <w:rPr>
          <w:rFonts w:asciiTheme="minorBidi" w:hAnsiTheme="minorBidi" w:cstheme="minorBidi"/>
        </w:rPr>
        <w:t xml:space="preserve">. The solution is built upon a robust data architecture and a </w:t>
      </w:r>
      <w:r w:rsidRPr="007A400E">
        <w:rPr>
          <w:rFonts w:asciiTheme="minorBidi" w:hAnsiTheme="minorBidi" w:cstheme="minorBidi"/>
          <w:b/>
          <w:bCs/>
        </w:rPr>
        <w:t>Machine Learning (ML) Predictive Model</w:t>
      </w:r>
      <w:r w:rsidRPr="007A400E">
        <w:rPr>
          <w:rFonts w:asciiTheme="minorBidi" w:hAnsiTheme="minorBidi" w:cstheme="minorBidi"/>
        </w:rPr>
        <w:t xml:space="preserve"> designed to identify and prioritize employees most likely to leave the organization.</w:t>
      </w:r>
    </w:p>
    <w:p w14:paraId="32DCE76A" w14:textId="3FA1DFDD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 xml:space="preserve">The primary finding is that while the historical </w:t>
      </w:r>
      <w:r w:rsidRPr="007A400E">
        <w:rPr>
          <w:rFonts w:asciiTheme="minorBidi" w:hAnsiTheme="minorBidi" w:cstheme="minorBidi"/>
          <w:b/>
          <w:bCs/>
        </w:rPr>
        <w:t>Attrition Rate is 16.12%</w:t>
      </w:r>
      <w:r w:rsidRPr="007A400E">
        <w:rPr>
          <w:rFonts w:asciiTheme="minorBidi" w:hAnsiTheme="minorBidi" w:cstheme="minorBidi"/>
        </w:rPr>
        <w:t xml:space="preserve">, the current predictive model flags </w:t>
      </w:r>
      <w:r w:rsidRPr="007A400E">
        <w:rPr>
          <w:rFonts w:asciiTheme="minorBidi" w:hAnsiTheme="minorBidi" w:cstheme="minorBidi"/>
          <w:b/>
          <w:bCs/>
        </w:rPr>
        <w:t>208 employees</w:t>
      </w:r>
      <w:r w:rsidRPr="007A400E">
        <w:rPr>
          <w:rFonts w:asciiTheme="minorBidi" w:hAnsiTheme="minorBidi" w:cstheme="minorBidi"/>
        </w:rPr>
        <w:t xml:space="preserve"> (14% of the workforce) as </w:t>
      </w:r>
      <w:r w:rsidRPr="007A400E">
        <w:rPr>
          <w:rFonts w:asciiTheme="minorBidi" w:hAnsiTheme="minorBidi" w:cstheme="minorBidi"/>
          <w:b/>
          <w:bCs/>
        </w:rPr>
        <w:t>High-Risk</w:t>
      </w:r>
      <w:r w:rsidRPr="007A400E">
        <w:rPr>
          <w:rFonts w:asciiTheme="minorBidi" w:hAnsiTheme="minorBidi" w:cstheme="minorBidi"/>
        </w:rPr>
        <w:t xml:space="preserve"> (attrition probability</w:t>
      </w:r>
      <w:r w:rsidR="001F7665" w:rsidRPr="007A400E">
        <w:rPr>
          <w:rFonts w:asciiTheme="minorBidi" w:hAnsiTheme="minorBidi" w:cstheme="minorBidi"/>
        </w:rPr>
        <w:t xml:space="preserve"> ≥</w:t>
      </w:r>
      <w:r w:rsidRPr="007A400E">
        <w:rPr>
          <w:rStyle w:val="math-inline"/>
          <w:rFonts w:asciiTheme="minorBidi" w:hAnsiTheme="minorBidi" w:cstheme="minorBidi"/>
        </w:rPr>
        <w:t xml:space="preserve"> 80</w:t>
      </w:r>
      <w:r w:rsidRPr="007A400E">
        <w:rPr>
          <w:rFonts w:asciiTheme="minorBidi" w:hAnsiTheme="minorBidi" w:cstheme="minorBidi"/>
        </w:rPr>
        <w:t xml:space="preserve">). The highest risk is concentrated among </w:t>
      </w:r>
      <w:r w:rsidRPr="007A400E">
        <w:rPr>
          <w:rFonts w:asciiTheme="minorBidi" w:hAnsiTheme="minorBidi" w:cstheme="minorBidi"/>
          <w:b/>
          <w:bCs/>
        </w:rPr>
        <w:t>early-tenure employees (0-2 years)</w:t>
      </w:r>
      <w:r w:rsidRPr="007A400E">
        <w:rPr>
          <w:rFonts w:asciiTheme="minorBidi" w:hAnsiTheme="minorBidi" w:cstheme="minorBidi"/>
        </w:rPr>
        <w:t xml:space="preserve"> and the </w:t>
      </w:r>
      <w:r w:rsidRPr="007A400E">
        <w:rPr>
          <w:rFonts w:asciiTheme="minorBidi" w:hAnsiTheme="minorBidi" w:cstheme="minorBidi"/>
          <w:b/>
          <w:bCs/>
        </w:rPr>
        <w:t>Sales and Human Resources</w:t>
      </w:r>
      <w:r w:rsidRPr="007A400E">
        <w:rPr>
          <w:rFonts w:asciiTheme="minorBidi" w:hAnsiTheme="minorBidi" w:cstheme="minorBidi"/>
        </w:rPr>
        <w:t xml:space="preserve"> departments. Strategic intervention in these areas is immediately required to minimize costly turnover.</w:t>
      </w:r>
    </w:p>
    <w:p w14:paraId="35C55FFD" w14:textId="2BDF7183" w:rsidR="004D62AA" w:rsidRPr="007A400E" w:rsidRDefault="002B5CE3" w:rsidP="004D62AA">
      <w:pPr>
        <w:bidi w:val="0"/>
        <w:spacing w:after="0"/>
        <w:rPr>
          <w:rFonts w:asciiTheme="minorBidi" w:hAnsiTheme="minorBidi"/>
        </w:rPr>
      </w:pPr>
      <w:r>
        <w:rPr>
          <w:rFonts w:asciiTheme="minorBidi" w:hAnsiTheme="minorBidi"/>
        </w:rPr>
        <w:pict w14:anchorId="3F116BB1">
          <v:rect id="_x0000_i1025" style="width:0;height:1.5pt" o:hralign="center" o:hrstd="t" o:hr="t" fillcolor="#a0a0a0" stroked="f"/>
        </w:pict>
      </w:r>
    </w:p>
    <w:p w14:paraId="3612740D" w14:textId="7CFAD8CE" w:rsidR="00C372F0" w:rsidRPr="007A400E" w:rsidRDefault="00C372F0" w:rsidP="00C372F0">
      <w:pPr>
        <w:bidi w:val="0"/>
        <w:spacing w:after="0"/>
        <w:rPr>
          <w:rFonts w:asciiTheme="minorBidi" w:hAnsiTheme="minorBidi"/>
        </w:rPr>
      </w:pPr>
    </w:p>
    <w:p w14:paraId="17853CB8" w14:textId="0CF3CA0F" w:rsidR="00E62EF5" w:rsidRDefault="00E62EF5">
      <w:pPr>
        <w:bidi w:val="0"/>
        <w:rPr>
          <w:rFonts w:asciiTheme="minorBidi" w:hAnsiTheme="minorBidi"/>
          <w:rtl/>
        </w:rPr>
      </w:pPr>
      <w:r>
        <w:rPr>
          <w:rFonts w:asciiTheme="minorBidi" w:hAnsiTheme="minorBidi"/>
          <w:rtl/>
        </w:rPr>
        <w:br w:type="page"/>
      </w:r>
    </w:p>
    <w:p w14:paraId="51B91069" w14:textId="77777777" w:rsidR="00E62EF5" w:rsidRDefault="00E62EF5">
      <w:pPr>
        <w:bidi w:val="0"/>
        <w:rPr>
          <w:rFonts w:asciiTheme="minorBidi" w:hAnsiTheme="minorBidi"/>
          <w:rtl/>
        </w:rPr>
      </w:pPr>
    </w:p>
    <w:p w14:paraId="4B036F90" w14:textId="77777777" w:rsidR="00990A85" w:rsidRPr="007A400E" w:rsidRDefault="00990A85" w:rsidP="00990A85">
      <w:pPr>
        <w:rPr>
          <w:rFonts w:asciiTheme="minorBidi" w:hAnsiTheme="minorBidi"/>
        </w:rPr>
      </w:pPr>
    </w:p>
    <w:tbl>
      <w:tblPr>
        <w:tblStyle w:val="GridTable4-Accent2"/>
        <w:tblpPr w:leftFromText="180" w:rightFromText="180" w:horzAnchor="margin" w:tblpY="360"/>
        <w:tblW w:w="0" w:type="auto"/>
        <w:tblLook w:val="04A0" w:firstRow="1" w:lastRow="0" w:firstColumn="1" w:lastColumn="0" w:noHBand="0" w:noVBand="1"/>
      </w:tblPr>
      <w:tblGrid>
        <w:gridCol w:w="2854"/>
        <w:gridCol w:w="1916"/>
        <w:gridCol w:w="4472"/>
      </w:tblGrid>
      <w:tr w:rsidR="00F07759" w:rsidRPr="007A400E" w14:paraId="0A083045" w14:textId="77777777" w:rsidTr="007A40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BA4E10B" w14:textId="77777777" w:rsidR="00990A85" w:rsidRPr="007A400E" w:rsidRDefault="00990A85" w:rsidP="007A400E">
            <w:pPr>
              <w:bidi w:val="0"/>
              <w:spacing w:after="480"/>
              <w:jc w:val="center"/>
              <w:rPr>
                <w:rFonts w:asciiTheme="minorBidi" w:hAnsiTheme="minorBidi"/>
                <w:sz w:val="28"/>
                <w:szCs w:val="28"/>
              </w:rPr>
            </w:pPr>
            <w:r w:rsidRPr="007A400E">
              <w:rPr>
                <w:rStyle w:val="Strong"/>
                <w:rFonts w:asciiTheme="minorBidi" w:hAnsiTheme="minorBidi"/>
                <w:sz w:val="28"/>
                <w:szCs w:val="28"/>
              </w:rPr>
              <w:t>Key Performance Indicator</w:t>
            </w:r>
          </w:p>
        </w:tc>
        <w:tc>
          <w:tcPr>
            <w:tcW w:w="0" w:type="auto"/>
            <w:vAlign w:val="center"/>
            <w:hideMark/>
          </w:tcPr>
          <w:p w14:paraId="2F5A60BA" w14:textId="77777777" w:rsidR="00990A85" w:rsidRPr="007A400E" w:rsidRDefault="00990A85" w:rsidP="007A400E">
            <w:pPr>
              <w:bidi w:val="0"/>
              <w:spacing w:after="4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8"/>
                <w:szCs w:val="28"/>
              </w:rPr>
            </w:pPr>
            <w:r w:rsidRPr="007A400E">
              <w:rPr>
                <w:rStyle w:val="Strong"/>
                <w:rFonts w:asciiTheme="minorBidi" w:hAnsiTheme="minorBidi"/>
                <w:sz w:val="28"/>
                <w:szCs w:val="28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93D919E" w14:textId="77777777" w:rsidR="00990A85" w:rsidRPr="007A400E" w:rsidRDefault="00990A85" w:rsidP="007A400E">
            <w:pPr>
              <w:bidi w:val="0"/>
              <w:spacing w:after="48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  <w:sz w:val="28"/>
                <w:szCs w:val="28"/>
              </w:rPr>
            </w:pPr>
            <w:r w:rsidRPr="007A400E">
              <w:rPr>
                <w:rStyle w:val="Strong"/>
                <w:rFonts w:asciiTheme="minorBidi" w:hAnsiTheme="minorBidi"/>
                <w:sz w:val="28"/>
                <w:szCs w:val="28"/>
              </w:rPr>
              <w:t>Strategic Implication</w:t>
            </w:r>
          </w:p>
        </w:tc>
      </w:tr>
      <w:tr w:rsidR="00990A85" w:rsidRPr="007A400E" w14:paraId="1CDEE8F2" w14:textId="77777777" w:rsidTr="007A40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73080AF" w14:textId="77777777" w:rsidR="00990A85" w:rsidRPr="007A400E" w:rsidRDefault="00990A85" w:rsidP="007A400E">
            <w:pPr>
              <w:bidi w:val="0"/>
              <w:spacing w:after="480"/>
              <w:jc w:val="center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High-Risk Headcount</w:t>
            </w:r>
          </w:p>
        </w:tc>
        <w:tc>
          <w:tcPr>
            <w:tcW w:w="0" w:type="auto"/>
            <w:vAlign w:val="center"/>
            <w:hideMark/>
          </w:tcPr>
          <w:p w14:paraId="1AC5AD91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  <w:b/>
                <w:bCs/>
              </w:rPr>
              <w:t>208</w:t>
            </w:r>
            <w:r w:rsidRPr="007A400E">
              <w:rPr>
                <w:rFonts w:asciiTheme="minorBidi" w:hAnsiTheme="minorBidi"/>
              </w:rPr>
              <w:t xml:space="preserve"> (14% of workforce)</w:t>
            </w:r>
          </w:p>
        </w:tc>
        <w:tc>
          <w:tcPr>
            <w:tcW w:w="0" w:type="auto"/>
            <w:vAlign w:val="center"/>
            <w:hideMark/>
          </w:tcPr>
          <w:p w14:paraId="2CA04E0C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Immediate need for targeted retention efforts.</w:t>
            </w:r>
          </w:p>
        </w:tc>
      </w:tr>
      <w:tr w:rsidR="00990A85" w:rsidRPr="007A400E" w14:paraId="2A408381" w14:textId="77777777" w:rsidTr="007A40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9B4370" w14:textId="77777777" w:rsidR="00990A85" w:rsidRPr="007A400E" w:rsidRDefault="00990A85" w:rsidP="007A400E">
            <w:pPr>
              <w:bidi w:val="0"/>
              <w:spacing w:after="480"/>
              <w:jc w:val="center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Overall Attrition Rate</w:t>
            </w:r>
          </w:p>
        </w:tc>
        <w:tc>
          <w:tcPr>
            <w:tcW w:w="0" w:type="auto"/>
            <w:vAlign w:val="center"/>
            <w:hideMark/>
          </w:tcPr>
          <w:p w14:paraId="1576EA05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  <w:b/>
                <w:bCs/>
              </w:rPr>
              <w:t>16.12%</w:t>
            </w:r>
          </w:p>
        </w:tc>
        <w:tc>
          <w:tcPr>
            <w:tcW w:w="0" w:type="auto"/>
            <w:vAlign w:val="center"/>
            <w:hideMark/>
          </w:tcPr>
          <w:p w14:paraId="0DFC7C7D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High baseline turnover requires systemic improvements.</w:t>
            </w:r>
          </w:p>
        </w:tc>
      </w:tr>
      <w:tr w:rsidR="00990A85" w:rsidRPr="007A400E" w14:paraId="208AB675" w14:textId="77777777" w:rsidTr="007A40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801B945" w14:textId="77777777" w:rsidR="00990A85" w:rsidRPr="007A400E" w:rsidRDefault="00990A85" w:rsidP="007A400E">
            <w:pPr>
              <w:bidi w:val="0"/>
              <w:spacing w:after="480"/>
              <w:jc w:val="center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Avg Days Between Reviews</w:t>
            </w:r>
          </w:p>
        </w:tc>
        <w:tc>
          <w:tcPr>
            <w:tcW w:w="0" w:type="auto"/>
            <w:vAlign w:val="center"/>
            <w:hideMark/>
          </w:tcPr>
          <w:p w14:paraId="452D3188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  <w:b/>
                <w:bCs/>
              </w:rPr>
              <w:t>365.00</w:t>
            </w:r>
          </w:p>
        </w:tc>
        <w:tc>
          <w:tcPr>
            <w:tcW w:w="0" w:type="auto"/>
            <w:vAlign w:val="center"/>
            <w:hideMark/>
          </w:tcPr>
          <w:p w14:paraId="71D20159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Confirms a standardized annual review cycle; focus on deviations.</w:t>
            </w:r>
          </w:p>
        </w:tc>
      </w:tr>
      <w:tr w:rsidR="00990A85" w:rsidRPr="007A400E" w14:paraId="16867058" w14:textId="77777777" w:rsidTr="007A40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04867B8D" w14:textId="77777777" w:rsidR="00990A85" w:rsidRPr="007A400E" w:rsidRDefault="00990A85" w:rsidP="007A400E">
            <w:pPr>
              <w:bidi w:val="0"/>
              <w:spacing w:after="480"/>
              <w:jc w:val="center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Average Rating Alignment</w:t>
            </w:r>
          </w:p>
        </w:tc>
        <w:tc>
          <w:tcPr>
            <w:tcW w:w="0" w:type="auto"/>
            <w:vAlign w:val="center"/>
            <w:hideMark/>
          </w:tcPr>
          <w:p w14:paraId="363E89EB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  <w:b/>
                <w:bCs/>
              </w:rPr>
              <w:t>0.51</w:t>
            </w:r>
          </w:p>
        </w:tc>
        <w:tc>
          <w:tcPr>
            <w:tcW w:w="0" w:type="auto"/>
            <w:vAlign w:val="center"/>
            <w:hideMark/>
          </w:tcPr>
          <w:p w14:paraId="183DD0F8" w14:textId="77777777" w:rsidR="00990A85" w:rsidRPr="007A400E" w:rsidRDefault="00990A85" w:rsidP="007A400E">
            <w:pPr>
              <w:bidi w:val="0"/>
              <w:spacing w:after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hAnsiTheme="minorBidi"/>
              </w:rPr>
            </w:pPr>
            <w:r w:rsidRPr="007A400E">
              <w:rPr>
                <w:rFonts w:asciiTheme="minorBidi" w:hAnsiTheme="minorBidi"/>
              </w:rPr>
              <w:t>Significant gap between self-perception and manager evaluation.</w:t>
            </w:r>
          </w:p>
        </w:tc>
      </w:tr>
    </w:tbl>
    <w:p w14:paraId="0CE6DB60" w14:textId="0F7ABCBB" w:rsidR="00990A85" w:rsidRPr="007A400E" w:rsidRDefault="00990A85" w:rsidP="00990A85">
      <w:pPr>
        <w:bidi w:val="0"/>
        <w:rPr>
          <w:rFonts w:asciiTheme="minorBidi" w:hAnsiTheme="minorBidi"/>
        </w:rPr>
      </w:pPr>
    </w:p>
    <w:p w14:paraId="54C02DAB" w14:textId="25ADA7BA" w:rsidR="00990A85" w:rsidRDefault="00990A85" w:rsidP="00990A85">
      <w:pPr>
        <w:rPr>
          <w:rFonts w:asciiTheme="minorBidi" w:hAnsiTheme="minorBidi"/>
        </w:rPr>
      </w:pPr>
    </w:p>
    <w:p w14:paraId="12084851" w14:textId="77777777" w:rsidR="0079085D" w:rsidRPr="007A400E" w:rsidRDefault="0079085D" w:rsidP="00990A85">
      <w:pPr>
        <w:rPr>
          <w:rFonts w:asciiTheme="minorBidi" w:hAnsiTheme="minorBidi"/>
        </w:rPr>
      </w:pPr>
    </w:p>
    <w:p w14:paraId="70003C7B" w14:textId="7BCA6198" w:rsidR="004D62AA" w:rsidRPr="007A400E" w:rsidRDefault="004D62AA" w:rsidP="00990A85">
      <w:pPr>
        <w:pStyle w:val="Heading1"/>
        <w:bidi w:val="0"/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</w:pPr>
      <w:r w:rsidRPr="007A400E"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  <w:t>2. Methodology &amp; Predictive Layer</w:t>
      </w:r>
    </w:p>
    <w:p w14:paraId="541D3723" w14:textId="77777777" w:rsidR="004D62AA" w:rsidRPr="007A400E" w:rsidRDefault="004D62AA" w:rsidP="004D62AA">
      <w:pPr>
        <w:pStyle w:val="Heading3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Data Architecture</w:t>
      </w:r>
    </w:p>
    <w:p w14:paraId="7FD92EAD" w14:textId="77777777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analysis leverages a Star Schema data model, transforming raw data into two optimized tables:</w:t>
      </w:r>
    </w:p>
    <w:p w14:paraId="49E09171" w14:textId="77777777" w:rsidR="004D62AA" w:rsidRPr="007A400E" w:rsidRDefault="004D62AA" w:rsidP="004D62AA">
      <w:pPr>
        <w:pStyle w:val="NormalWeb"/>
        <w:numPr>
          <w:ilvl w:val="0"/>
          <w:numId w:val="8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Fact Table (</w:t>
      </w:r>
      <w:proofErr w:type="spellStart"/>
      <w:r w:rsidRPr="007A400E">
        <w:rPr>
          <w:rStyle w:val="HTMLCode"/>
          <w:rFonts w:asciiTheme="minorBidi" w:hAnsiTheme="minorBidi" w:cstheme="minorBidi"/>
          <w:b/>
          <w:bCs/>
        </w:rPr>
        <w:t>performance_fact</w:t>
      </w:r>
      <w:proofErr w:type="spellEnd"/>
      <w:r w:rsidRPr="007A400E">
        <w:rPr>
          <w:rFonts w:asciiTheme="minorBidi" w:hAnsiTheme="minorBidi" w:cstheme="minorBidi"/>
          <w:b/>
          <w:bCs/>
        </w:rPr>
        <w:t>):</w:t>
      </w:r>
      <w:r w:rsidRPr="007A400E">
        <w:rPr>
          <w:rFonts w:asciiTheme="minorBidi" w:hAnsiTheme="minorBidi" w:cstheme="minorBidi"/>
        </w:rPr>
        <w:t xml:space="preserve"> Contains time-series data, enriched with advanced lagging features like </w:t>
      </w:r>
      <w:proofErr w:type="spellStart"/>
      <w:r w:rsidRPr="007A400E">
        <w:rPr>
          <w:rStyle w:val="HTMLCode"/>
          <w:rFonts w:asciiTheme="minorBidi" w:hAnsiTheme="minorBidi" w:cstheme="minorBidi"/>
          <w:b/>
          <w:bCs/>
        </w:rPr>
        <w:t>days_since_last_review</w:t>
      </w:r>
      <w:proofErr w:type="spellEnd"/>
      <w:r w:rsidRPr="007A400E">
        <w:rPr>
          <w:rFonts w:asciiTheme="minorBidi" w:hAnsiTheme="minorBidi" w:cstheme="minorBidi"/>
        </w:rPr>
        <w:t xml:space="preserve"> and </w:t>
      </w:r>
      <w:proofErr w:type="spellStart"/>
      <w:r w:rsidRPr="007A400E">
        <w:rPr>
          <w:rStyle w:val="HTMLCode"/>
          <w:rFonts w:asciiTheme="minorBidi" w:hAnsiTheme="minorBidi" w:cstheme="minorBidi"/>
          <w:b/>
          <w:bCs/>
        </w:rPr>
        <w:t>previous_manager_rating</w:t>
      </w:r>
      <w:proofErr w:type="spellEnd"/>
      <w:r w:rsidRPr="007A400E">
        <w:rPr>
          <w:rFonts w:asciiTheme="minorBidi" w:hAnsiTheme="minorBidi" w:cstheme="minorBidi"/>
        </w:rPr>
        <w:t>.</w:t>
      </w:r>
    </w:p>
    <w:p w14:paraId="473879C9" w14:textId="77777777" w:rsidR="004D62AA" w:rsidRPr="007A400E" w:rsidRDefault="004D62AA" w:rsidP="004D62AA">
      <w:pPr>
        <w:pStyle w:val="NormalWeb"/>
        <w:numPr>
          <w:ilvl w:val="0"/>
          <w:numId w:val="8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Dimension Table (</w:t>
      </w:r>
      <w:proofErr w:type="spellStart"/>
      <w:r w:rsidRPr="007A400E">
        <w:rPr>
          <w:rStyle w:val="HTMLCode"/>
          <w:rFonts w:asciiTheme="minorBidi" w:hAnsiTheme="minorBidi" w:cstheme="minorBidi"/>
          <w:b/>
          <w:bCs/>
        </w:rPr>
        <w:t>employee_master</w:t>
      </w:r>
      <w:proofErr w:type="spellEnd"/>
      <w:r w:rsidRPr="007A400E">
        <w:rPr>
          <w:rFonts w:asciiTheme="minorBidi" w:hAnsiTheme="minorBidi" w:cstheme="minorBidi"/>
          <w:b/>
          <w:bCs/>
        </w:rPr>
        <w:t>):</w:t>
      </w:r>
      <w:r w:rsidRPr="007A400E">
        <w:rPr>
          <w:rFonts w:asciiTheme="minorBidi" w:hAnsiTheme="minorBidi" w:cstheme="minorBidi"/>
        </w:rPr>
        <w:t xml:space="preserve"> Stores static employee information.</w:t>
      </w:r>
    </w:p>
    <w:p w14:paraId="5CA4F6C6" w14:textId="77777777" w:rsidR="004D62AA" w:rsidRPr="007A400E" w:rsidRDefault="004D62AA" w:rsidP="004D62AA">
      <w:pPr>
        <w:pStyle w:val="Heading3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Machine Learning Model</w:t>
      </w:r>
    </w:p>
    <w:p w14:paraId="3F9BF334" w14:textId="77777777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 xml:space="preserve">A </w:t>
      </w:r>
      <w:r w:rsidRPr="007A400E">
        <w:rPr>
          <w:rFonts w:asciiTheme="minorBidi" w:hAnsiTheme="minorBidi" w:cstheme="minorBidi"/>
          <w:b/>
          <w:bCs/>
        </w:rPr>
        <w:t>Random Forest Classifier</w:t>
      </w:r>
      <w:r w:rsidRPr="007A400E">
        <w:rPr>
          <w:rFonts w:asciiTheme="minorBidi" w:hAnsiTheme="minorBidi" w:cstheme="minorBidi"/>
        </w:rPr>
        <w:t xml:space="preserve"> was trained on the enriched data to generate a probability of attrition for every active employee. The model achieved a high accuracy score of </w:t>
      </w:r>
      <w:r w:rsidRPr="007A400E">
        <w:rPr>
          <w:rFonts w:asciiTheme="minorBidi" w:hAnsiTheme="minorBidi" w:cstheme="minorBidi"/>
          <w:b/>
          <w:bCs/>
        </w:rPr>
        <w:t>99.5%</w:t>
      </w:r>
      <w:r w:rsidRPr="007A400E">
        <w:rPr>
          <w:rFonts w:asciiTheme="minorBidi" w:hAnsiTheme="minorBidi" w:cstheme="minorBidi"/>
        </w:rPr>
        <w:t xml:space="preserve">, confirming its ability to identify the underlying factors driving employee separation. The output is integrated into the dashboard via the </w:t>
      </w:r>
      <w:r w:rsidRPr="007A400E">
        <w:rPr>
          <w:rStyle w:val="HTMLCode"/>
          <w:rFonts w:asciiTheme="minorBidi" w:hAnsiTheme="minorBidi" w:cstheme="minorBidi"/>
          <w:b/>
          <w:bCs/>
        </w:rPr>
        <w:t>employee_predictions.csv</w:t>
      </w:r>
      <w:r w:rsidRPr="007A400E">
        <w:rPr>
          <w:rFonts w:asciiTheme="minorBidi" w:hAnsiTheme="minorBidi" w:cstheme="minorBidi"/>
        </w:rPr>
        <w:t xml:space="preserve"> file, which provides the </w:t>
      </w:r>
      <w:r w:rsidRPr="007A400E">
        <w:rPr>
          <w:rFonts w:asciiTheme="minorBidi" w:hAnsiTheme="minorBidi" w:cstheme="minorBidi"/>
          <w:b/>
          <w:bCs/>
        </w:rPr>
        <w:t>Average Attrition Risk</w:t>
      </w:r>
      <w:r w:rsidRPr="007A400E">
        <w:rPr>
          <w:rFonts w:asciiTheme="minorBidi" w:hAnsiTheme="minorBidi" w:cstheme="minorBidi"/>
        </w:rPr>
        <w:t xml:space="preserve"> score (ranging from 0% to 100%).</w:t>
      </w:r>
    </w:p>
    <w:p w14:paraId="5CCDF398" w14:textId="77777777" w:rsidR="004D62AA" w:rsidRPr="007A400E" w:rsidRDefault="002B5CE3" w:rsidP="004D62AA">
      <w:pPr>
        <w:bidi w:val="0"/>
        <w:rPr>
          <w:rFonts w:asciiTheme="minorBidi" w:hAnsiTheme="minorBidi"/>
        </w:rPr>
      </w:pPr>
      <w:r>
        <w:rPr>
          <w:rFonts w:asciiTheme="minorBidi" w:hAnsiTheme="minorBidi"/>
        </w:rPr>
        <w:lastRenderedPageBreak/>
        <w:pict w14:anchorId="1A5D4776">
          <v:rect id="_x0000_i1026" style="width:0;height:1.5pt" o:hralign="center" o:hrstd="t" o:hr="t" fillcolor="#a0a0a0" stroked="f"/>
        </w:pict>
      </w:r>
    </w:p>
    <w:p w14:paraId="64070906" w14:textId="77777777" w:rsidR="004D62AA" w:rsidRPr="007A400E" w:rsidRDefault="004D62AA" w:rsidP="00052B0D">
      <w:pPr>
        <w:pStyle w:val="Heading1"/>
        <w:bidi w:val="0"/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</w:pPr>
      <w:r w:rsidRPr="007A400E"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  <w:t>3. Key Findings: Risk Assessment and Performance Gaps</w:t>
      </w:r>
    </w:p>
    <w:p w14:paraId="2F8B5487" w14:textId="1C315421" w:rsidR="008962FB" w:rsidRPr="007A400E" w:rsidRDefault="004D62AA" w:rsidP="008962FB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3.1 Predictive Attrition Risk (Figure 1)</w:t>
      </w:r>
    </w:p>
    <w:p w14:paraId="2B7524E5" w14:textId="77777777" w:rsidR="008962FB" w:rsidRPr="007A400E" w:rsidRDefault="008962FB" w:rsidP="008962FB">
      <w:pPr>
        <w:bidi w:val="0"/>
        <w:rPr>
          <w:rFonts w:asciiTheme="minorBidi" w:hAnsiTheme="minorBidi"/>
        </w:rPr>
      </w:pPr>
    </w:p>
    <w:p w14:paraId="1578999E" w14:textId="5A815AF5" w:rsidR="000E35C5" w:rsidRPr="007A400E" w:rsidRDefault="000E35C5" w:rsidP="008962FB">
      <w:pPr>
        <w:bidi w:val="0"/>
        <w:spacing w:line="240" w:lineRule="auto"/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</w:pPr>
      <w:r w:rsidRPr="007A400E"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  <w:t>Figure 1: Predictive Retention Dashboard</w:t>
      </w:r>
    </w:p>
    <w:p w14:paraId="406CDA1B" w14:textId="77777777" w:rsidR="00865341" w:rsidRPr="007A400E" w:rsidRDefault="00454D73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noProof/>
        </w:rPr>
        <w:drawing>
          <wp:inline distT="0" distB="0" distL="0" distR="0" wp14:anchorId="3DDB8733" wp14:editId="0FB2B1E3">
            <wp:extent cx="5731510" cy="31705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A5DCB" w14:textId="3AA0937C" w:rsidR="00865341" w:rsidRPr="007A400E" w:rsidRDefault="00865341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Predictive Retention Dashboard highlighting High-Risk Headcount (208) and the concentration of risk by Department and Years at Company.</w:t>
      </w:r>
    </w:p>
    <w:p w14:paraId="5322552F" w14:textId="2AF80DE9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predictive layer identifies the highest areas of concern:</w:t>
      </w:r>
    </w:p>
    <w:p w14:paraId="672AD63F" w14:textId="77777777" w:rsidR="004D62AA" w:rsidRPr="007A400E" w:rsidRDefault="004D62AA" w:rsidP="004D62AA">
      <w:pPr>
        <w:pStyle w:val="NormalWeb"/>
        <w:numPr>
          <w:ilvl w:val="0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Risk Concentration (Headcount):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High-Risk Headcount</w:t>
      </w:r>
      <w:r w:rsidRPr="007A400E">
        <w:rPr>
          <w:rFonts w:asciiTheme="minorBidi" w:hAnsiTheme="minorBidi" w:cstheme="minorBidi"/>
        </w:rPr>
        <w:t xml:space="preserve"> stands at </w:t>
      </w:r>
      <w:r w:rsidRPr="007A400E">
        <w:rPr>
          <w:rFonts w:asciiTheme="minorBidi" w:hAnsiTheme="minorBidi" w:cstheme="minorBidi"/>
          <w:b/>
          <w:bCs/>
        </w:rPr>
        <w:t>208</w:t>
      </w:r>
      <w:r w:rsidRPr="007A400E">
        <w:rPr>
          <w:rFonts w:asciiTheme="minorBidi" w:hAnsiTheme="minorBidi" w:cstheme="minorBidi"/>
        </w:rPr>
        <w:t xml:space="preserve">, representing a </w:t>
      </w:r>
      <w:r w:rsidRPr="007A400E">
        <w:rPr>
          <w:rFonts w:asciiTheme="minorBidi" w:hAnsiTheme="minorBidi" w:cstheme="minorBidi"/>
          <w:b/>
          <w:bCs/>
        </w:rPr>
        <w:t>14% High-Risk Percentage</w:t>
      </w:r>
      <w:r w:rsidRPr="007A400E">
        <w:rPr>
          <w:rFonts w:asciiTheme="minorBidi" w:hAnsiTheme="minorBidi" w:cstheme="minorBidi"/>
        </w:rPr>
        <w:t xml:space="preserve"> of the current workforce. This group should be the primary focus of retention efforts.</w:t>
      </w:r>
    </w:p>
    <w:p w14:paraId="716A177C" w14:textId="77777777" w:rsidR="004D62AA" w:rsidRPr="007A400E" w:rsidRDefault="004D62AA" w:rsidP="004D62AA">
      <w:pPr>
        <w:pStyle w:val="NormalWeb"/>
        <w:numPr>
          <w:ilvl w:val="0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Departmental Hotspots: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Average Attrition Risk by department</w:t>
      </w:r>
      <w:r w:rsidRPr="007A400E">
        <w:rPr>
          <w:rFonts w:asciiTheme="minorBidi" w:hAnsiTheme="minorBidi" w:cstheme="minorBidi"/>
        </w:rPr>
        <w:t xml:space="preserve"> clearly shows that risk is not uniformly distributed:</w:t>
      </w:r>
    </w:p>
    <w:p w14:paraId="0E13DFC5" w14:textId="77777777" w:rsidR="004D62AA" w:rsidRPr="007A400E" w:rsidRDefault="004D62AA" w:rsidP="004D62AA">
      <w:pPr>
        <w:pStyle w:val="NormalWeb"/>
        <w:numPr>
          <w:ilvl w:val="1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Sales</w:t>
      </w:r>
      <w:r w:rsidRPr="007A400E">
        <w:rPr>
          <w:rFonts w:asciiTheme="minorBidi" w:hAnsiTheme="minorBidi" w:cstheme="minorBidi"/>
        </w:rPr>
        <w:t xml:space="preserve"> carries the highest risk at </w:t>
      </w:r>
      <w:r w:rsidRPr="007A400E">
        <w:rPr>
          <w:rFonts w:asciiTheme="minorBidi" w:hAnsiTheme="minorBidi" w:cstheme="minorBidi"/>
          <w:b/>
          <w:bCs/>
        </w:rPr>
        <w:t>20%</w:t>
      </w:r>
      <w:r w:rsidRPr="007A400E">
        <w:rPr>
          <w:rFonts w:asciiTheme="minorBidi" w:hAnsiTheme="minorBidi" w:cstheme="minorBidi"/>
        </w:rPr>
        <w:t>.</w:t>
      </w:r>
    </w:p>
    <w:p w14:paraId="2B7C3573" w14:textId="77777777" w:rsidR="004D62AA" w:rsidRPr="007A400E" w:rsidRDefault="004D62AA" w:rsidP="004D62AA">
      <w:pPr>
        <w:pStyle w:val="NormalWeb"/>
        <w:numPr>
          <w:ilvl w:val="1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Human Resources</w:t>
      </w:r>
      <w:r w:rsidRPr="007A400E">
        <w:rPr>
          <w:rFonts w:asciiTheme="minorBidi" w:hAnsiTheme="minorBidi" w:cstheme="minorBidi"/>
        </w:rPr>
        <w:t xml:space="preserve"> follows closely at </w:t>
      </w:r>
      <w:r w:rsidRPr="007A400E">
        <w:rPr>
          <w:rFonts w:asciiTheme="minorBidi" w:hAnsiTheme="minorBidi" w:cstheme="minorBidi"/>
          <w:b/>
          <w:bCs/>
        </w:rPr>
        <w:t>19%</w:t>
      </w:r>
      <w:r w:rsidRPr="007A400E">
        <w:rPr>
          <w:rFonts w:asciiTheme="minorBidi" w:hAnsiTheme="minorBidi" w:cstheme="minorBidi"/>
        </w:rPr>
        <w:t>.</w:t>
      </w:r>
    </w:p>
    <w:p w14:paraId="571B4F0C" w14:textId="77777777" w:rsidR="004D62AA" w:rsidRPr="007A400E" w:rsidRDefault="004D62AA" w:rsidP="004D62AA">
      <w:pPr>
        <w:pStyle w:val="NormalWeb"/>
        <w:numPr>
          <w:ilvl w:val="1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Technology sits significantly lower at 13%.</w:t>
      </w:r>
    </w:p>
    <w:p w14:paraId="4DB46A22" w14:textId="77777777" w:rsidR="004D62AA" w:rsidRPr="007A400E" w:rsidRDefault="004D62AA" w:rsidP="004D62AA">
      <w:pPr>
        <w:pStyle w:val="NormalWeb"/>
        <w:numPr>
          <w:ilvl w:val="0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Tenure Vulnerability: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Workforce Risk by Years at Company</w:t>
      </w:r>
      <w:r w:rsidRPr="007A400E">
        <w:rPr>
          <w:rFonts w:asciiTheme="minorBidi" w:hAnsiTheme="minorBidi" w:cstheme="minorBidi"/>
        </w:rPr>
        <w:t xml:space="preserve"> chart shows extreme vulnerability in the earliest tenure groups:</w:t>
      </w:r>
    </w:p>
    <w:p w14:paraId="1D586DF9" w14:textId="77777777" w:rsidR="004D62AA" w:rsidRPr="007A400E" w:rsidRDefault="004D62AA" w:rsidP="004D62AA">
      <w:pPr>
        <w:pStyle w:val="NormalWeb"/>
        <w:numPr>
          <w:ilvl w:val="1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Year 1 (0):</w:t>
      </w:r>
      <w:r w:rsidRPr="007A400E">
        <w:rPr>
          <w:rFonts w:asciiTheme="minorBidi" w:hAnsiTheme="minorBidi" w:cstheme="minorBidi"/>
        </w:rPr>
        <w:t xml:space="preserve"> 31% Average Attrition Risk.</w:t>
      </w:r>
    </w:p>
    <w:p w14:paraId="647FB834" w14:textId="77777777" w:rsidR="004D62AA" w:rsidRPr="007A400E" w:rsidRDefault="004D62AA" w:rsidP="004D62AA">
      <w:pPr>
        <w:pStyle w:val="NormalWeb"/>
        <w:numPr>
          <w:ilvl w:val="1"/>
          <w:numId w:val="9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Year 2 (1): 34% Average Attrition Risk.</w:t>
      </w:r>
    </w:p>
    <w:p w14:paraId="12CA9F6D" w14:textId="360B79BB" w:rsidR="004D62AA" w:rsidRPr="007A400E" w:rsidRDefault="004D62AA" w:rsidP="004D62AA">
      <w:pPr>
        <w:pStyle w:val="NormalWeb"/>
        <w:ind w:left="1440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This indicates a critical failure point in onboarding and early-career engagement.</w:t>
      </w:r>
    </w:p>
    <w:p w14:paraId="7149D405" w14:textId="3857C2E5" w:rsidR="004A47EC" w:rsidRPr="007A400E" w:rsidRDefault="004A47EC" w:rsidP="004D62AA">
      <w:pPr>
        <w:pStyle w:val="NormalWeb"/>
        <w:ind w:left="1440"/>
        <w:rPr>
          <w:rFonts w:asciiTheme="minorBidi" w:hAnsiTheme="minorBidi" w:cstheme="minorBidi"/>
        </w:rPr>
      </w:pPr>
    </w:p>
    <w:p w14:paraId="19DCA76E" w14:textId="77777777" w:rsidR="004A47EC" w:rsidRPr="007A400E" w:rsidRDefault="004A47EC" w:rsidP="004D62AA">
      <w:pPr>
        <w:pStyle w:val="NormalWeb"/>
        <w:ind w:left="1440"/>
        <w:rPr>
          <w:rFonts w:asciiTheme="minorBidi" w:hAnsiTheme="minorBidi" w:cstheme="minorBidi"/>
        </w:rPr>
      </w:pPr>
    </w:p>
    <w:p w14:paraId="333269F6" w14:textId="3017DA09" w:rsidR="0001470D" w:rsidRPr="007A400E" w:rsidRDefault="004D62AA" w:rsidP="0001470D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3.2 Performance and Management Gaps (Figure 2)</w:t>
      </w:r>
    </w:p>
    <w:p w14:paraId="029E4280" w14:textId="77777777" w:rsidR="00083367" w:rsidRPr="007A400E" w:rsidRDefault="00083367" w:rsidP="0001470D">
      <w:pPr>
        <w:bidi w:val="0"/>
        <w:spacing w:after="0" w:line="240" w:lineRule="auto"/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</w:pPr>
    </w:p>
    <w:p w14:paraId="1CAD37A4" w14:textId="13A6D74C" w:rsidR="00865341" w:rsidRPr="007A400E" w:rsidRDefault="0001470D" w:rsidP="0001470D">
      <w:pPr>
        <w:bidi w:val="0"/>
        <w:spacing w:after="0" w:line="240" w:lineRule="auto"/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</w:pPr>
      <w:r w:rsidRPr="0001470D"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  <w:t>Figure 2: Performance &amp; Satisfaction Dashboard</w:t>
      </w:r>
    </w:p>
    <w:p w14:paraId="2223B610" w14:textId="24FF290B" w:rsidR="000C08A0" w:rsidRPr="007A400E" w:rsidRDefault="008508B3" w:rsidP="000C08A0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noProof/>
        </w:rPr>
        <w:drawing>
          <wp:inline distT="0" distB="0" distL="0" distR="0" wp14:anchorId="41BB8510" wp14:editId="4CE7DA7E">
            <wp:extent cx="5731510" cy="3215640"/>
            <wp:effectExtent l="0" t="0" r="254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6638F" w14:textId="5BA52504" w:rsidR="000C08A0" w:rsidRPr="007A400E" w:rsidRDefault="000C08A0" w:rsidP="000C08A0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Performance &amp; Satisfaction Dashboard detailing the significant difference between employee self-ratings and manager ratings, alongside job satisfaction metrics.</w:t>
      </w:r>
    </w:p>
    <w:p w14:paraId="6EB9D122" w14:textId="5BA69EB7" w:rsidR="004D62AA" w:rsidRPr="007A400E" w:rsidRDefault="004D62AA" w:rsidP="004D62AA">
      <w:pPr>
        <w:pStyle w:val="NormalWeb"/>
        <w:numPr>
          <w:ilvl w:val="0"/>
          <w:numId w:val="10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Rating Alignment Deficit: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Average Rating Alignment</w:t>
      </w:r>
      <w:r w:rsidRPr="007A400E">
        <w:rPr>
          <w:rFonts w:asciiTheme="minorBidi" w:hAnsiTheme="minorBidi" w:cstheme="minorBidi"/>
        </w:rPr>
        <w:t xml:space="preserve"> metric shows a value of </w:t>
      </w:r>
      <w:r w:rsidRPr="007A400E">
        <w:rPr>
          <w:rFonts w:asciiTheme="minorBidi" w:hAnsiTheme="minorBidi" w:cstheme="minorBidi"/>
          <w:b/>
          <w:bCs/>
        </w:rPr>
        <w:t>0.51</w:t>
      </w:r>
      <w:r w:rsidRPr="007A400E">
        <w:rPr>
          <w:rFonts w:asciiTheme="minorBidi" w:hAnsiTheme="minorBidi" w:cstheme="minorBidi"/>
        </w:rPr>
        <w:t xml:space="preserve">. This significant gap arises because the </w:t>
      </w:r>
      <w:r w:rsidRPr="007A400E">
        <w:rPr>
          <w:rFonts w:asciiTheme="minorBidi" w:hAnsiTheme="minorBidi" w:cstheme="minorBidi"/>
          <w:b/>
          <w:bCs/>
        </w:rPr>
        <w:t>Average Self Rating is 3.98</w:t>
      </w:r>
      <w:r w:rsidRPr="007A400E">
        <w:rPr>
          <w:rFonts w:asciiTheme="minorBidi" w:hAnsiTheme="minorBidi" w:cstheme="minorBidi"/>
        </w:rPr>
        <w:t xml:space="preserve"> while the </w:t>
      </w:r>
      <w:r w:rsidRPr="007A400E">
        <w:rPr>
          <w:rFonts w:asciiTheme="minorBidi" w:hAnsiTheme="minorBidi" w:cstheme="minorBidi"/>
          <w:b/>
          <w:bCs/>
        </w:rPr>
        <w:t>Average Manager Rating is 3.47</w:t>
      </w:r>
      <w:r w:rsidRPr="007A400E">
        <w:rPr>
          <w:rFonts w:asciiTheme="minorBidi" w:hAnsiTheme="minorBidi" w:cstheme="minorBidi"/>
        </w:rPr>
        <w:t>. This misalignment suggests potential disillusionment when employees receive review results below their self-perception, which is a known driver of attrition.</w:t>
      </w:r>
    </w:p>
    <w:p w14:paraId="6998FB36" w14:textId="77777777" w:rsidR="004D62AA" w:rsidRPr="007A400E" w:rsidRDefault="004D62AA" w:rsidP="004D62AA">
      <w:pPr>
        <w:pStyle w:val="NormalWeb"/>
        <w:numPr>
          <w:ilvl w:val="0"/>
          <w:numId w:val="10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Management Cadence: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Average of Work-Life Balance</w:t>
      </w:r>
      <w:r w:rsidRPr="007A400E">
        <w:rPr>
          <w:rFonts w:asciiTheme="minorBidi" w:hAnsiTheme="minorBidi" w:cstheme="minorBidi"/>
        </w:rPr>
        <w:t xml:space="preserve"> is </w:t>
      </w:r>
      <w:r w:rsidRPr="007A400E">
        <w:rPr>
          <w:rFonts w:asciiTheme="minorBidi" w:hAnsiTheme="minorBidi" w:cstheme="minorBidi"/>
          <w:b/>
          <w:bCs/>
        </w:rPr>
        <w:t>3.41</w:t>
      </w:r>
      <w:r w:rsidRPr="007A400E">
        <w:rPr>
          <w:rFonts w:asciiTheme="minorBidi" w:hAnsiTheme="minorBidi" w:cstheme="minorBidi"/>
        </w:rPr>
        <w:t xml:space="preserve">. Furthermore, the engineering feature </w:t>
      </w:r>
      <w:r w:rsidRPr="007A400E">
        <w:rPr>
          <w:rFonts w:asciiTheme="minorBidi" w:hAnsiTheme="minorBidi" w:cstheme="minorBidi"/>
          <w:b/>
          <w:bCs/>
        </w:rPr>
        <w:t>Avg Days Between Reviews</w:t>
      </w:r>
      <w:r w:rsidRPr="007A400E">
        <w:rPr>
          <w:rFonts w:asciiTheme="minorBidi" w:hAnsiTheme="minorBidi" w:cstheme="minorBidi"/>
        </w:rPr>
        <w:t xml:space="preserve"> is </w:t>
      </w:r>
      <w:r w:rsidRPr="007A400E">
        <w:rPr>
          <w:rFonts w:asciiTheme="minorBidi" w:hAnsiTheme="minorBidi" w:cstheme="minorBidi"/>
          <w:b/>
          <w:bCs/>
        </w:rPr>
        <w:t>365.00</w:t>
      </w:r>
      <w:r w:rsidRPr="007A400E">
        <w:rPr>
          <w:rFonts w:asciiTheme="minorBidi" w:hAnsiTheme="minorBidi" w:cstheme="minorBidi"/>
        </w:rPr>
        <w:t>, confirming a standard annual review cycle. While this signals process consistency, the focus must shift to identifying managers who violate this standard (those with review gaps exceeding 365 days).</w:t>
      </w:r>
    </w:p>
    <w:p w14:paraId="5A33E86E" w14:textId="1FC29514" w:rsidR="002B6C6A" w:rsidRPr="007A400E" w:rsidRDefault="002B6C6A" w:rsidP="002B6C6A">
      <w:pPr>
        <w:rPr>
          <w:rFonts w:asciiTheme="minorBidi" w:hAnsiTheme="minorBidi"/>
        </w:rPr>
      </w:pPr>
    </w:p>
    <w:p w14:paraId="06DDDDEF" w14:textId="0897E01C" w:rsidR="002B6C6A" w:rsidRPr="007A400E" w:rsidRDefault="002B6C6A" w:rsidP="002B6C6A">
      <w:pPr>
        <w:rPr>
          <w:rFonts w:asciiTheme="minorBidi" w:hAnsiTheme="minorBidi"/>
        </w:rPr>
      </w:pPr>
    </w:p>
    <w:p w14:paraId="457D542F" w14:textId="741369E2" w:rsidR="002B6C6A" w:rsidRPr="007A400E" w:rsidRDefault="002B6C6A" w:rsidP="002B6C6A">
      <w:pPr>
        <w:rPr>
          <w:rFonts w:asciiTheme="minorBidi" w:hAnsiTheme="minorBidi"/>
        </w:rPr>
      </w:pPr>
    </w:p>
    <w:p w14:paraId="27D20900" w14:textId="3FB00F41" w:rsidR="002B6C6A" w:rsidRPr="007A400E" w:rsidRDefault="002B6C6A" w:rsidP="002B6C6A">
      <w:pPr>
        <w:rPr>
          <w:rFonts w:asciiTheme="minorBidi" w:hAnsiTheme="minorBidi"/>
        </w:rPr>
      </w:pPr>
    </w:p>
    <w:p w14:paraId="60460AAD" w14:textId="7A14756C" w:rsidR="002B6C6A" w:rsidRPr="007A400E" w:rsidRDefault="002B6C6A" w:rsidP="002B6C6A">
      <w:pPr>
        <w:rPr>
          <w:rFonts w:asciiTheme="minorBidi" w:hAnsiTheme="minorBidi"/>
        </w:rPr>
      </w:pPr>
    </w:p>
    <w:p w14:paraId="7DE9A39F" w14:textId="0737007A" w:rsidR="002B6C6A" w:rsidRPr="007A400E" w:rsidRDefault="002B6C6A" w:rsidP="002B6C6A">
      <w:pPr>
        <w:rPr>
          <w:rFonts w:asciiTheme="minorBidi" w:hAnsiTheme="minorBidi"/>
        </w:rPr>
      </w:pPr>
    </w:p>
    <w:p w14:paraId="641A0995" w14:textId="55EE7AFC" w:rsidR="002B6C6A" w:rsidRPr="007A400E" w:rsidRDefault="002B6C6A" w:rsidP="002B6C6A">
      <w:pPr>
        <w:rPr>
          <w:rFonts w:asciiTheme="minorBidi" w:hAnsiTheme="minorBidi"/>
        </w:rPr>
      </w:pPr>
    </w:p>
    <w:p w14:paraId="38F0F7EE" w14:textId="77777777" w:rsidR="002B6C6A" w:rsidRPr="007A400E" w:rsidRDefault="002B6C6A" w:rsidP="002B6C6A">
      <w:pPr>
        <w:rPr>
          <w:rFonts w:asciiTheme="minorBidi" w:hAnsiTheme="minorBidi"/>
        </w:rPr>
      </w:pPr>
    </w:p>
    <w:p w14:paraId="2CEA3C2E" w14:textId="08A26CC8" w:rsidR="004D62AA" w:rsidRPr="007A400E" w:rsidRDefault="004D62AA" w:rsidP="005A1B34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3.3 Historical Context and Trends (Figure 3)</w:t>
      </w:r>
    </w:p>
    <w:p w14:paraId="1ED9E453" w14:textId="77777777" w:rsidR="00680588" w:rsidRPr="007A400E" w:rsidRDefault="00680588" w:rsidP="00680588">
      <w:pPr>
        <w:bidi w:val="0"/>
        <w:spacing w:after="0" w:line="240" w:lineRule="auto"/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</w:pPr>
    </w:p>
    <w:p w14:paraId="4F263A96" w14:textId="66246F97" w:rsidR="002B6C6A" w:rsidRPr="007A400E" w:rsidRDefault="002B6C6A" w:rsidP="00680588">
      <w:pPr>
        <w:bidi w:val="0"/>
        <w:spacing w:after="0" w:line="240" w:lineRule="auto"/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</w:pPr>
      <w:r w:rsidRPr="002B6C6A">
        <w:rPr>
          <w:rFonts w:asciiTheme="minorBidi" w:eastAsiaTheme="majorEastAsia" w:hAnsiTheme="minorBidi"/>
          <w:color w:val="E36C0A" w:themeColor="accent6" w:themeShade="BF"/>
          <w:sz w:val="24"/>
          <w:szCs w:val="24"/>
        </w:rPr>
        <w:t>Figure 3: Executive Summary Dashboard</w:t>
      </w:r>
    </w:p>
    <w:p w14:paraId="456E6846" w14:textId="45D8137B" w:rsidR="006C7F8D" w:rsidRPr="007A400E" w:rsidRDefault="006C7F8D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noProof/>
        </w:rPr>
        <w:drawing>
          <wp:inline distT="0" distB="0" distL="0" distR="0" wp14:anchorId="0708F2F5" wp14:editId="16114425">
            <wp:extent cx="5731510" cy="31864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8E256" w14:textId="42F45FB1" w:rsidR="004454AA" w:rsidRPr="007A400E" w:rsidRDefault="004454AA" w:rsidP="004454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Executive Summary Dashboard providing a high-level view of key historical KPIs and the multi-year Attrition Rate Trend.</w:t>
      </w:r>
    </w:p>
    <w:p w14:paraId="3407D5E1" w14:textId="0123AC2D" w:rsidR="00D51E5A" w:rsidRPr="007A400E" w:rsidRDefault="00D51E5A" w:rsidP="004454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The historical context and trends confirm the risks identified by the predictive model and highlight operational issues:</w:t>
      </w:r>
    </w:p>
    <w:p w14:paraId="55AE7548" w14:textId="3E641F13" w:rsidR="004D62AA" w:rsidRPr="007A400E" w:rsidRDefault="004D62AA" w:rsidP="004D62AA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Volatile Attrition: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Attrition Rate Trend</w:t>
      </w:r>
      <w:r w:rsidRPr="007A400E">
        <w:rPr>
          <w:rFonts w:asciiTheme="minorBidi" w:hAnsiTheme="minorBidi" w:cstheme="minorBidi"/>
        </w:rPr>
        <w:t xml:space="preserve"> shows considerable volatility over the past decade, peaking at </w:t>
      </w:r>
      <w:r w:rsidRPr="007A400E">
        <w:rPr>
          <w:rFonts w:asciiTheme="minorBidi" w:hAnsiTheme="minorBidi" w:cstheme="minorBidi"/>
          <w:b/>
          <w:bCs/>
        </w:rPr>
        <w:t>22.0% in 2020</w:t>
      </w:r>
      <w:r w:rsidRPr="007A400E">
        <w:rPr>
          <w:rFonts w:asciiTheme="minorBidi" w:hAnsiTheme="minorBidi" w:cstheme="minorBidi"/>
        </w:rPr>
        <w:t xml:space="preserve"> and currently standing at </w:t>
      </w:r>
      <w:r w:rsidRPr="007A400E">
        <w:rPr>
          <w:rFonts w:asciiTheme="minorBidi" w:hAnsiTheme="minorBidi" w:cstheme="minorBidi"/>
          <w:b/>
          <w:bCs/>
        </w:rPr>
        <w:t>16.1%</w:t>
      </w:r>
      <w:r w:rsidRPr="007A400E">
        <w:rPr>
          <w:rFonts w:asciiTheme="minorBidi" w:hAnsiTheme="minorBidi" w:cstheme="minorBidi"/>
        </w:rPr>
        <w:t>. This volatility suggests the organization is susceptible to external market conditions or inconsistent internal HR policies.</w:t>
      </w:r>
    </w:p>
    <w:p w14:paraId="20D630E9" w14:textId="77777777" w:rsidR="004D62AA" w:rsidRPr="007A400E" w:rsidRDefault="004D62AA" w:rsidP="004D62AA">
      <w:pPr>
        <w:pStyle w:val="NormalWeb"/>
        <w:numPr>
          <w:ilvl w:val="0"/>
          <w:numId w:val="11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Demographic Risks (Historical):</w:t>
      </w:r>
      <w:r w:rsidRPr="007A400E">
        <w:rPr>
          <w:rFonts w:asciiTheme="minorBidi" w:hAnsiTheme="minorBidi" w:cstheme="minorBidi"/>
        </w:rPr>
        <w:t xml:space="preserve"> The </w:t>
      </w:r>
      <w:r w:rsidRPr="007A400E">
        <w:rPr>
          <w:rFonts w:asciiTheme="minorBidi" w:hAnsiTheme="minorBidi" w:cstheme="minorBidi"/>
          <w:b/>
          <w:bCs/>
        </w:rPr>
        <w:t>Attrition Rate by Age Group</w:t>
      </w:r>
      <w:r w:rsidRPr="007A400E">
        <w:rPr>
          <w:rFonts w:asciiTheme="minorBidi" w:hAnsiTheme="minorBidi" w:cstheme="minorBidi"/>
        </w:rPr>
        <w:t xml:space="preserve"> confirms high turnover is concentrated in the </w:t>
      </w:r>
      <w:r w:rsidRPr="007A400E">
        <w:rPr>
          <w:rFonts w:asciiTheme="minorBidi" w:hAnsiTheme="minorBidi" w:cstheme="minorBidi"/>
          <w:b/>
          <w:bCs/>
        </w:rPr>
        <w:t>20-25 age bins</w:t>
      </w:r>
      <w:r w:rsidRPr="007A400E">
        <w:rPr>
          <w:rFonts w:asciiTheme="minorBidi" w:hAnsiTheme="minorBidi" w:cstheme="minorBidi"/>
        </w:rPr>
        <w:t xml:space="preserve">, with rates over 22% in some cohorts. The </w:t>
      </w:r>
      <w:r w:rsidRPr="007A400E">
        <w:rPr>
          <w:rFonts w:asciiTheme="minorBidi" w:hAnsiTheme="minorBidi" w:cstheme="minorBidi"/>
          <w:b/>
          <w:bCs/>
        </w:rPr>
        <w:t>Attrition Rate by Tenure Group</w:t>
      </w:r>
      <w:r w:rsidRPr="007A400E">
        <w:rPr>
          <w:rFonts w:asciiTheme="minorBidi" w:hAnsiTheme="minorBidi" w:cstheme="minorBidi"/>
        </w:rPr>
        <w:t xml:space="preserve"> (shown on the Attrition &amp; Retention page) further substantiates the predictive model, showing a historical attrition rate of </w:t>
      </w:r>
      <w:r w:rsidRPr="007A400E">
        <w:rPr>
          <w:rFonts w:asciiTheme="minorBidi" w:hAnsiTheme="minorBidi" w:cstheme="minorBidi"/>
          <w:b/>
          <w:bCs/>
        </w:rPr>
        <w:t>34.46%</w:t>
      </w:r>
      <w:r w:rsidRPr="007A400E">
        <w:rPr>
          <w:rFonts w:asciiTheme="minorBidi" w:hAnsiTheme="minorBidi" w:cstheme="minorBidi"/>
        </w:rPr>
        <w:t xml:space="preserve"> in the </w:t>
      </w:r>
      <w:proofErr w:type="gramStart"/>
      <w:r w:rsidRPr="007A400E">
        <w:rPr>
          <w:rFonts w:asciiTheme="minorBidi" w:hAnsiTheme="minorBidi" w:cstheme="minorBidi"/>
        </w:rPr>
        <w:t>1-2 year</w:t>
      </w:r>
      <w:proofErr w:type="gramEnd"/>
      <w:r w:rsidRPr="007A400E">
        <w:rPr>
          <w:rFonts w:asciiTheme="minorBidi" w:hAnsiTheme="minorBidi" w:cstheme="minorBidi"/>
        </w:rPr>
        <w:t xml:space="preserve"> group.</w:t>
      </w:r>
    </w:p>
    <w:p w14:paraId="541F27BF" w14:textId="77777777" w:rsidR="004D62AA" w:rsidRPr="007A400E" w:rsidRDefault="002B5CE3" w:rsidP="004D62AA">
      <w:pPr>
        <w:bidi w:val="0"/>
        <w:rPr>
          <w:rFonts w:asciiTheme="minorBidi" w:hAnsiTheme="minorBidi"/>
        </w:rPr>
      </w:pPr>
      <w:r>
        <w:rPr>
          <w:rFonts w:asciiTheme="minorBidi" w:hAnsiTheme="minorBidi"/>
        </w:rPr>
        <w:pict w14:anchorId="078B2B66">
          <v:rect id="_x0000_i1027" style="width:0;height:1.5pt" o:hralign="center" o:hrstd="t" o:hr="t" fillcolor="#a0a0a0" stroked="f"/>
        </w:pict>
      </w:r>
    </w:p>
    <w:p w14:paraId="4A44A0B4" w14:textId="77777777" w:rsidR="004D62AA" w:rsidRPr="007A400E" w:rsidRDefault="004D62AA" w:rsidP="00052B0D">
      <w:pPr>
        <w:pStyle w:val="Heading1"/>
        <w:bidi w:val="0"/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</w:pPr>
      <w:r w:rsidRPr="007A400E">
        <w:rPr>
          <w:rFonts w:asciiTheme="minorBidi" w:hAnsiTheme="minorBidi" w:cstheme="minorBidi"/>
          <w14:textFill>
            <w14:gradFill>
              <w14:gsLst>
                <w14:gs w14:pos="0">
                  <w14:srgbClr w14:val="05071E"/>
                </w14:gs>
                <w14:gs w14:pos="45000">
                  <w14:srgbClr w14:val="3C0616"/>
                </w14:gs>
                <w14:gs w14:pos="100000">
                  <w14:srgbClr w14:val="95020A"/>
                </w14:gs>
              </w14:gsLst>
              <w14:lin w14:ang="2700000" w14:scaled="0"/>
            </w14:gradFill>
          </w14:textFill>
        </w:rPr>
        <w:lastRenderedPageBreak/>
        <w:t>4. Strategic Recommendations</w:t>
      </w:r>
    </w:p>
    <w:p w14:paraId="45D5FCD2" w14:textId="77777777" w:rsidR="004D62AA" w:rsidRPr="007A400E" w:rsidRDefault="004D62AA" w:rsidP="004D62AA">
      <w:pPr>
        <w:pStyle w:val="NormalWeb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Based on the machine learning predictions and the identified performance gaps, the following strategic actions are recommended to mitigate retention risk:</w:t>
      </w:r>
    </w:p>
    <w:p w14:paraId="3D50DF8D" w14:textId="77777777" w:rsidR="004D62AA" w:rsidRPr="007A400E" w:rsidRDefault="004D62AA" w:rsidP="005A1B34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4.1 Targeted Retention Intervention (Focus: High-Risk Group)</w:t>
      </w:r>
    </w:p>
    <w:p w14:paraId="629D0733" w14:textId="77777777" w:rsidR="004D62AA" w:rsidRPr="007A400E" w:rsidRDefault="004D62AA" w:rsidP="004D62AA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Immediate Action List:</w:t>
      </w:r>
      <w:r w:rsidRPr="007A400E">
        <w:rPr>
          <w:rFonts w:asciiTheme="minorBidi" w:hAnsiTheme="minorBidi" w:cstheme="minorBidi"/>
        </w:rPr>
        <w:t xml:space="preserve"> Human Resources must pull the </w:t>
      </w:r>
      <w:r w:rsidRPr="007A400E">
        <w:rPr>
          <w:rFonts w:asciiTheme="minorBidi" w:hAnsiTheme="minorBidi" w:cstheme="minorBidi"/>
          <w:b/>
          <w:bCs/>
        </w:rPr>
        <w:t>Top 10 High-Risk Employees</w:t>
      </w:r>
      <w:r w:rsidRPr="007A400E">
        <w:rPr>
          <w:rFonts w:asciiTheme="minorBidi" w:hAnsiTheme="minorBidi" w:cstheme="minorBidi"/>
        </w:rPr>
        <w:t xml:space="preserve"> from the dashboard table (probability </w:t>
      </w:r>
      <w:r w:rsidRPr="007A400E">
        <w:rPr>
          <w:rStyle w:val="math-inline"/>
          <w:rFonts w:asciiTheme="minorBidi" w:hAnsiTheme="minorBidi" w:cstheme="minorBidi"/>
        </w:rPr>
        <w:t>$\</w:t>
      </w:r>
      <w:proofErr w:type="spellStart"/>
      <w:r w:rsidRPr="007A400E">
        <w:rPr>
          <w:rStyle w:val="math-inline"/>
          <w:rFonts w:asciiTheme="minorBidi" w:hAnsiTheme="minorBidi" w:cstheme="minorBidi"/>
        </w:rPr>
        <w:t>ge</w:t>
      </w:r>
      <w:proofErr w:type="spellEnd"/>
      <w:r w:rsidRPr="007A400E">
        <w:rPr>
          <w:rStyle w:val="math-inline"/>
          <w:rFonts w:asciiTheme="minorBidi" w:hAnsiTheme="minorBidi" w:cstheme="minorBidi"/>
        </w:rPr>
        <w:t xml:space="preserve"> 0.80$</w:t>
      </w:r>
      <w:r w:rsidRPr="007A400E">
        <w:rPr>
          <w:rFonts w:asciiTheme="minorBidi" w:hAnsiTheme="minorBidi" w:cstheme="minorBidi"/>
        </w:rPr>
        <w:t>) and schedule proactive, confidential stay interviews.</w:t>
      </w:r>
    </w:p>
    <w:p w14:paraId="3D2A2DB5" w14:textId="71A938CB" w:rsidR="004D62AA" w:rsidRPr="007A400E" w:rsidRDefault="004D62AA" w:rsidP="004D62AA">
      <w:pPr>
        <w:pStyle w:val="NormalWeb"/>
        <w:numPr>
          <w:ilvl w:val="0"/>
          <w:numId w:val="12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Managerial Focus:</w:t>
      </w:r>
      <w:r w:rsidRPr="007A400E">
        <w:rPr>
          <w:rFonts w:asciiTheme="minorBidi" w:hAnsiTheme="minorBidi" w:cstheme="minorBidi"/>
        </w:rPr>
        <w:t xml:space="preserve"> Utilize the dashboard's filtering capabilities to isolate </w:t>
      </w:r>
      <w:r w:rsidRPr="007A400E">
        <w:rPr>
          <w:rFonts w:asciiTheme="minorBidi" w:hAnsiTheme="minorBidi" w:cstheme="minorBidi"/>
          <w:b/>
          <w:bCs/>
        </w:rPr>
        <w:t>Sales</w:t>
      </w:r>
      <w:r w:rsidRPr="007A400E">
        <w:rPr>
          <w:rFonts w:asciiTheme="minorBidi" w:hAnsiTheme="minorBidi" w:cstheme="minorBidi"/>
        </w:rPr>
        <w:t xml:space="preserve"> and </w:t>
      </w:r>
      <w:r w:rsidRPr="007A400E">
        <w:rPr>
          <w:rFonts w:asciiTheme="minorBidi" w:hAnsiTheme="minorBidi" w:cstheme="minorBidi"/>
          <w:b/>
          <w:bCs/>
        </w:rPr>
        <w:t>Human Resources</w:t>
      </w:r>
      <w:r w:rsidRPr="007A400E">
        <w:rPr>
          <w:rFonts w:asciiTheme="minorBidi" w:hAnsiTheme="minorBidi" w:cstheme="minorBidi"/>
        </w:rPr>
        <w:t xml:space="preserve"> departments to identify the specific job roles and managers most correlated with the 20% average risk.</w:t>
      </w:r>
    </w:p>
    <w:p w14:paraId="03F4B351" w14:textId="5D8FEFBC" w:rsidR="008C3CF7" w:rsidRPr="007A400E" w:rsidRDefault="008C3CF7" w:rsidP="008C3CF7">
      <w:pPr>
        <w:pStyle w:val="NormalWeb"/>
        <w:rPr>
          <w:rFonts w:asciiTheme="minorBidi" w:hAnsiTheme="minorBidi" w:cstheme="minorBidi"/>
        </w:rPr>
      </w:pPr>
    </w:p>
    <w:p w14:paraId="75ECD9CF" w14:textId="77777777" w:rsidR="008C3CF7" w:rsidRPr="007A400E" w:rsidRDefault="008C3CF7" w:rsidP="008C3CF7">
      <w:pPr>
        <w:pStyle w:val="NormalWeb"/>
        <w:rPr>
          <w:rFonts w:asciiTheme="minorBidi" w:hAnsiTheme="minorBidi" w:cstheme="minorBidi"/>
        </w:rPr>
      </w:pPr>
    </w:p>
    <w:p w14:paraId="16284E1A" w14:textId="77777777" w:rsidR="004D62AA" w:rsidRPr="007A400E" w:rsidRDefault="004D62AA" w:rsidP="005A1B34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4.2 Improve Managerial Communication and Alignment</w:t>
      </w:r>
    </w:p>
    <w:p w14:paraId="2348EAA7" w14:textId="77777777" w:rsidR="004D62AA" w:rsidRPr="007A400E" w:rsidRDefault="004D62AA" w:rsidP="004D62AA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Calibration Training:</w:t>
      </w:r>
      <w:r w:rsidRPr="007A400E">
        <w:rPr>
          <w:rFonts w:asciiTheme="minorBidi" w:hAnsiTheme="minorBidi" w:cstheme="minorBidi"/>
        </w:rPr>
        <w:t xml:space="preserve"> Mandate training for all managers focused on </w:t>
      </w:r>
      <w:r w:rsidRPr="007A400E">
        <w:rPr>
          <w:rFonts w:asciiTheme="minorBidi" w:hAnsiTheme="minorBidi" w:cstheme="minorBidi"/>
          <w:b/>
          <w:bCs/>
        </w:rPr>
        <w:t>performance rating calibration</w:t>
      </w:r>
      <w:r w:rsidRPr="007A400E">
        <w:rPr>
          <w:rFonts w:asciiTheme="minorBidi" w:hAnsiTheme="minorBidi" w:cstheme="minorBidi"/>
        </w:rPr>
        <w:t xml:space="preserve">. The goal is to close the </w:t>
      </w:r>
      <w:r w:rsidRPr="007A400E">
        <w:rPr>
          <w:rFonts w:asciiTheme="minorBidi" w:hAnsiTheme="minorBidi" w:cstheme="minorBidi"/>
          <w:b/>
          <w:bCs/>
        </w:rPr>
        <w:t>0.51 Rating Alignment gap</w:t>
      </w:r>
      <w:r w:rsidRPr="007A400E">
        <w:rPr>
          <w:rFonts w:asciiTheme="minorBidi" w:hAnsiTheme="minorBidi" w:cstheme="minorBidi"/>
        </w:rPr>
        <w:t xml:space="preserve"> by ensuring managers can accurately communicate performance expectations and feedback before the formal review date.</w:t>
      </w:r>
    </w:p>
    <w:p w14:paraId="3F5ECCC7" w14:textId="77777777" w:rsidR="004D62AA" w:rsidRPr="007A400E" w:rsidRDefault="004D62AA" w:rsidP="004D62AA">
      <w:pPr>
        <w:pStyle w:val="NormalWeb"/>
        <w:numPr>
          <w:ilvl w:val="0"/>
          <w:numId w:val="13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Process Enforcement:</w:t>
      </w:r>
      <w:r w:rsidRPr="007A400E">
        <w:rPr>
          <w:rFonts w:asciiTheme="minorBidi" w:hAnsiTheme="minorBidi" w:cstheme="minorBidi"/>
        </w:rPr>
        <w:t xml:space="preserve"> Review managers with an average review gap significantly above the </w:t>
      </w:r>
      <w:r w:rsidRPr="007A400E">
        <w:rPr>
          <w:rFonts w:asciiTheme="minorBidi" w:hAnsiTheme="minorBidi" w:cstheme="minorBidi"/>
          <w:b/>
          <w:bCs/>
        </w:rPr>
        <w:t>365-day average</w:t>
      </w:r>
      <w:r w:rsidRPr="007A400E">
        <w:rPr>
          <w:rFonts w:asciiTheme="minorBidi" w:hAnsiTheme="minorBidi" w:cstheme="minorBidi"/>
        </w:rPr>
        <w:t xml:space="preserve"> to identify and address bottlenecks in the formal review process, as delays contribute to dissatisfaction.</w:t>
      </w:r>
    </w:p>
    <w:p w14:paraId="32E2CC67" w14:textId="77777777" w:rsidR="004D62AA" w:rsidRPr="007A400E" w:rsidRDefault="004D62AA" w:rsidP="005A1B34">
      <w:pPr>
        <w:pStyle w:val="Heading2"/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</w:rPr>
        <w:t>4.3 Enhance Early-Career Engagement</w:t>
      </w:r>
    </w:p>
    <w:p w14:paraId="41C86AA7" w14:textId="77777777" w:rsidR="004D62AA" w:rsidRPr="007A400E" w:rsidRDefault="004D62AA" w:rsidP="004D62AA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Early Tenure Program:</w:t>
      </w:r>
      <w:r w:rsidRPr="007A400E">
        <w:rPr>
          <w:rFonts w:asciiTheme="minorBidi" w:hAnsiTheme="minorBidi" w:cstheme="minorBidi"/>
        </w:rPr>
        <w:t xml:space="preserve"> Given that the </w:t>
      </w:r>
      <w:proofErr w:type="gramStart"/>
      <w:r w:rsidRPr="007A400E">
        <w:rPr>
          <w:rFonts w:asciiTheme="minorBidi" w:hAnsiTheme="minorBidi" w:cstheme="minorBidi"/>
          <w:b/>
          <w:bCs/>
        </w:rPr>
        <w:t>0-2 year</w:t>
      </w:r>
      <w:proofErr w:type="gramEnd"/>
      <w:r w:rsidRPr="007A400E">
        <w:rPr>
          <w:rFonts w:asciiTheme="minorBidi" w:hAnsiTheme="minorBidi" w:cstheme="minorBidi"/>
          <w:b/>
          <w:bCs/>
        </w:rPr>
        <w:t xml:space="preserve"> tenure group</w:t>
      </w:r>
      <w:r w:rsidRPr="007A400E">
        <w:rPr>
          <w:rFonts w:asciiTheme="minorBidi" w:hAnsiTheme="minorBidi" w:cstheme="minorBidi"/>
        </w:rPr>
        <w:t xml:space="preserve"> presents the highest risk (31% to 34%), implement a formal 6-month and 12-month check-in program, focused on career pathing and mentorship, rather than waiting for the annual review cycle.</w:t>
      </w:r>
    </w:p>
    <w:p w14:paraId="40B05D56" w14:textId="77777777" w:rsidR="004D62AA" w:rsidRPr="007A400E" w:rsidRDefault="004D62AA" w:rsidP="004D62AA">
      <w:pPr>
        <w:pStyle w:val="NormalWeb"/>
        <w:numPr>
          <w:ilvl w:val="0"/>
          <w:numId w:val="14"/>
        </w:numPr>
        <w:rPr>
          <w:rFonts w:asciiTheme="minorBidi" w:hAnsiTheme="minorBidi" w:cstheme="minorBidi"/>
        </w:rPr>
      </w:pPr>
      <w:r w:rsidRPr="007A400E">
        <w:rPr>
          <w:rFonts w:asciiTheme="minorBidi" w:hAnsiTheme="minorBidi" w:cstheme="minorBidi"/>
          <w:b/>
          <w:bCs/>
        </w:rPr>
        <w:t>Training Investment Audit:</w:t>
      </w:r>
      <w:r w:rsidRPr="007A400E">
        <w:rPr>
          <w:rFonts w:asciiTheme="minorBidi" w:hAnsiTheme="minorBidi" w:cstheme="minorBidi"/>
        </w:rPr>
        <w:t xml:space="preserve"> Filter the </w:t>
      </w:r>
      <w:r w:rsidRPr="007A400E">
        <w:rPr>
          <w:rFonts w:asciiTheme="minorBidi" w:hAnsiTheme="minorBidi" w:cstheme="minorBidi"/>
          <w:b/>
          <w:bCs/>
        </w:rPr>
        <w:t>Training &amp; Development</w:t>
      </w:r>
      <w:r w:rsidRPr="007A400E">
        <w:rPr>
          <w:rFonts w:asciiTheme="minorBidi" w:hAnsiTheme="minorBidi" w:cstheme="minorBidi"/>
        </w:rPr>
        <w:t xml:space="preserve"> dashboard page by the </w:t>
      </w:r>
      <w:proofErr w:type="gramStart"/>
      <w:r w:rsidRPr="007A400E">
        <w:rPr>
          <w:rFonts w:asciiTheme="minorBidi" w:hAnsiTheme="minorBidi" w:cstheme="minorBidi"/>
        </w:rPr>
        <w:t>0-2 year</w:t>
      </w:r>
      <w:proofErr w:type="gramEnd"/>
      <w:r w:rsidRPr="007A400E">
        <w:rPr>
          <w:rFonts w:asciiTheme="minorBidi" w:hAnsiTheme="minorBidi" w:cstheme="minorBidi"/>
        </w:rPr>
        <w:t xml:space="preserve"> tenure group to ensure adequate training resources are being utilized in this critical window.</w:t>
      </w:r>
    </w:p>
    <w:p w14:paraId="0C8524C6" w14:textId="77777777" w:rsidR="002A4587" w:rsidRPr="007A400E" w:rsidRDefault="002A4587" w:rsidP="004D62AA">
      <w:pPr>
        <w:rPr>
          <w:rFonts w:asciiTheme="minorBidi" w:hAnsiTheme="minorBidi"/>
        </w:rPr>
      </w:pPr>
    </w:p>
    <w:sectPr w:rsidR="002A4587" w:rsidRPr="007A400E" w:rsidSect="00EF17E1">
      <w:headerReference w:type="default" r:id="rId10"/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28B762" w14:textId="77777777" w:rsidR="002B5CE3" w:rsidRDefault="002B5CE3" w:rsidP="000E3B7F">
      <w:pPr>
        <w:spacing w:after="0" w:line="240" w:lineRule="auto"/>
      </w:pPr>
      <w:r>
        <w:separator/>
      </w:r>
    </w:p>
  </w:endnote>
  <w:endnote w:type="continuationSeparator" w:id="0">
    <w:p w14:paraId="4946F295" w14:textId="77777777" w:rsidR="002B5CE3" w:rsidRDefault="002B5CE3" w:rsidP="000E3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B46935" w14:textId="77777777" w:rsidR="002B5CE3" w:rsidRDefault="002B5CE3" w:rsidP="000E3B7F">
      <w:pPr>
        <w:spacing w:after="0" w:line="240" w:lineRule="auto"/>
      </w:pPr>
      <w:r>
        <w:separator/>
      </w:r>
    </w:p>
  </w:footnote>
  <w:footnote w:type="continuationSeparator" w:id="0">
    <w:p w14:paraId="03C66796" w14:textId="77777777" w:rsidR="002B5CE3" w:rsidRDefault="002B5CE3" w:rsidP="000E3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8BC361" w14:textId="2E5C295A" w:rsidR="000E3B7F" w:rsidRDefault="00EA3D1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AB3458" wp14:editId="7DC1D079">
              <wp:simplePos x="0" y="0"/>
              <wp:positionH relativeFrom="column">
                <wp:posOffset>-914400</wp:posOffset>
              </wp:positionH>
              <wp:positionV relativeFrom="paragraph">
                <wp:posOffset>-457200</wp:posOffset>
              </wp:positionV>
              <wp:extent cx="7991475" cy="895350"/>
              <wp:effectExtent l="0" t="0" r="28575" b="1905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91475" cy="89535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05071E"/>
                          </a:gs>
                          <a:gs pos="46000">
                            <a:srgbClr val="3C0616"/>
                          </a:gs>
                          <a:gs pos="100000">
                            <a:srgbClr val="95020A"/>
                          </a:gs>
                        </a:gsLst>
                        <a:lin ang="2700000" scaled="1"/>
                        <a:tileRect/>
                      </a:gradFill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1B5927F" w14:textId="24526C87" w:rsidR="00EA3D14" w:rsidRDefault="00EA3D14" w:rsidP="007A400E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7FC0CF0" wp14:editId="768B95A5">
                                <wp:extent cx="778510" cy="742950"/>
                                <wp:effectExtent l="0" t="0" r="0" b="0"/>
                                <wp:docPr id="7" name="Picture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78510" cy="742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0AB3458" id="Rectangle 5" o:spid="_x0000_s1026" style="position:absolute;left:0;text-align:left;margin-left:-1in;margin-top:-36pt;width:629.25pt;height:7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oqS5wIAAE4GAAAOAAAAZHJzL2Uyb0RvYy54bWysVVtv2yAUfp+0/4B4X22ncdJYdaooXadJ&#10;VVu1nfpMMMRIGBiQ2Nmv3wE7btRFe5j24gDnfOfynUuub7pGoj2zTmhV4uwixYgpqiuhtiX+8Xr3&#10;5Qoj54mqiNSKlfjAHL5Zfv503ZqCTXStZcUsAiPKFa0pce29KZLE0Zo1xF1owxQIubYN8XC126Sy&#10;pAXrjUwmaTpLWm0rYzVlzsHrbS/Ey2ifc0b9I+eOeSRLDLH5+LXxuwnfZHlNiq0lphZ0CIP8QxQN&#10;EQqcjqZuiSdoZ8UfphpBrXaa+wuqm0RzLiiLOUA2Wfohm5eaGBZzAXKcGWly/88sfdg/WSSqEucY&#10;KdJAiZ6BNKK2kqE80NMaV4DWi3myw83BMeTacduEX8gCdZHSw0gp6zyi8DhfLLLpHGxTkF0t8ss8&#10;cp68o411/hvTDQqHElvwHpkk+3vnwSOoHlUGgqs7ISXiUkC/KOgqjKz2b8LXkS/owr4SDvAR4ZDR&#10;QFkan53dbtbSoj0JHZGn8+xryBK8bN2p9nSWpmcQl+t0ls3OIjIAnIMs8nSSrk4g0dcQnBQKAdkl&#10;nsx7OHKUSAb1yAKCFF5IFioyxGhJzB4CDnXpKxFP/iBZ0JfqmXEoKHA/6RMOo8TGlAmlTPmeIleT&#10;ivVM5DH23kkcvoCItESDwTIH1kfbg4Hztnszg36AsjiJI3jg9W/gERE9a+VHcCOUtucyk5DV4LnX&#10;P5LUUxNY8t2mA5Vw3OjqAJ0PnRM6AzlD7wQ04D1x/olY2AHwCHvNP8KHS92WWA8njGptf517D/ow&#10;miDFqIWdUmL3c0csNKj8rqADYRSmYQnFyzSfT+BiTyWbU4naNWsNTZrF6OIx6Ht5PHKrmzdYf6vg&#10;FUREUfBdYurt8bL2/a6DBUrZahXVYPEY4u/Vi6HHWQkD9tq9EWuGKfQwvw/6uH9I8WEYe91QGqVX&#10;O6+5iP35zutAPSyt2EPDgg1b8fQetd7/Bpa/AQAA//8DAFBLAwQUAAYACAAAACEAL1qWwN8AAAAM&#10;AQAADwAAAGRycy9kb3ducmV2LnhtbEyPwU7DMBBE70j8g7VI3FonJQQS4lRQwREkSj/AjbdxRLyO&#10;Yrc1f8/2BLcZ7Wj2TbNObhQnnMPgSUG+zEAgdd4M1CvYfb0tHkGEqMno0RMq+MEA6/b6qtG18Wf6&#10;xNM29oJLKNRagY1xqqUMnUWnw9JPSHw7+NnpyHbupZn1mcvdKFdZVkqnB+IPVk+4sdh9b49OwebF&#10;lNX77CvbF+aQprtdlz5elbq9Sc9PICKm+BeGCz6jQ8tMe38kE8SoYJEXBY+JrB5WLC6RPC/uQewV&#10;lFUGsm3k/xHtLwAAAP//AwBQSwECLQAUAAYACAAAACEAtoM4kv4AAADhAQAAEwAAAAAAAAAAAAAA&#10;AAAAAAAAW0NvbnRlbnRfVHlwZXNdLnhtbFBLAQItABQABgAIAAAAIQA4/SH/1gAAAJQBAAALAAAA&#10;AAAAAAAAAAAAAC8BAABfcmVscy8ucmVsc1BLAQItABQABgAIAAAAIQAgIoqS5wIAAE4GAAAOAAAA&#10;AAAAAAAAAAAAAC4CAABkcnMvZTJvRG9jLnhtbFBLAQItABQABgAIAAAAIQAvWpbA3wAAAAwBAAAP&#10;AAAAAAAAAAAAAAAAAEEFAABkcnMvZG93bnJldi54bWxQSwUGAAAAAAQABADzAAAATQYAAAAA&#10;" fillcolor="#05071e" strokecolor="#243f60 [1604]" strokeweight="2pt">
              <v:fill color2="#95020a" rotate="t" angle="45" colors="0 #05071e;30147f #3c0616;1 #95020a" focus="100%" type="gradient"/>
              <v:textbox>
                <w:txbxContent>
                  <w:p w14:paraId="11B5927F" w14:textId="24526C87" w:rsidR="00EA3D14" w:rsidRDefault="00EA3D14" w:rsidP="007A400E">
                    <w:pPr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7FC0CF0" wp14:editId="768B95A5">
                          <wp:extent cx="778510" cy="742950"/>
                          <wp:effectExtent l="0" t="0" r="0" b="0"/>
                          <wp:docPr id="7" name="Picture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78510" cy="742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13F2"/>
    <w:multiLevelType w:val="multilevel"/>
    <w:tmpl w:val="CE88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822EE1"/>
    <w:multiLevelType w:val="multilevel"/>
    <w:tmpl w:val="55144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6C350B"/>
    <w:multiLevelType w:val="multilevel"/>
    <w:tmpl w:val="31D0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A2198"/>
    <w:multiLevelType w:val="multilevel"/>
    <w:tmpl w:val="DCCE59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851BC5"/>
    <w:multiLevelType w:val="multilevel"/>
    <w:tmpl w:val="2E5C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E754FA"/>
    <w:multiLevelType w:val="multilevel"/>
    <w:tmpl w:val="85D00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D11840"/>
    <w:multiLevelType w:val="multilevel"/>
    <w:tmpl w:val="19E8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B5378"/>
    <w:multiLevelType w:val="multilevel"/>
    <w:tmpl w:val="EB60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F91077"/>
    <w:multiLevelType w:val="multilevel"/>
    <w:tmpl w:val="9690A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7E70C6"/>
    <w:multiLevelType w:val="multilevel"/>
    <w:tmpl w:val="4F7A7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EC54BA"/>
    <w:multiLevelType w:val="multilevel"/>
    <w:tmpl w:val="60A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F2714B"/>
    <w:multiLevelType w:val="multilevel"/>
    <w:tmpl w:val="2806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142578"/>
    <w:multiLevelType w:val="multilevel"/>
    <w:tmpl w:val="57E66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8B0B6E"/>
    <w:multiLevelType w:val="multilevel"/>
    <w:tmpl w:val="7C1CC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4"/>
  </w:num>
  <w:num w:numId="4">
    <w:abstractNumId w:val="9"/>
  </w:num>
  <w:num w:numId="5">
    <w:abstractNumId w:val="0"/>
  </w:num>
  <w:num w:numId="6">
    <w:abstractNumId w:val="13"/>
  </w:num>
  <w:num w:numId="7">
    <w:abstractNumId w:val="12"/>
  </w:num>
  <w:num w:numId="8">
    <w:abstractNumId w:val="10"/>
  </w:num>
  <w:num w:numId="9">
    <w:abstractNumId w:val="7"/>
  </w:num>
  <w:num w:numId="10">
    <w:abstractNumId w:val="11"/>
  </w:num>
  <w:num w:numId="11">
    <w:abstractNumId w:val="2"/>
  </w:num>
  <w:num w:numId="12">
    <w:abstractNumId w:val="1"/>
  </w:num>
  <w:num w:numId="13">
    <w:abstractNumId w:val="8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F402D"/>
    <w:rsid w:val="00004F19"/>
    <w:rsid w:val="0001470D"/>
    <w:rsid w:val="00052B0D"/>
    <w:rsid w:val="00083367"/>
    <w:rsid w:val="000C08A0"/>
    <w:rsid w:val="000D2AE0"/>
    <w:rsid w:val="000E1C74"/>
    <w:rsid w:val="000E35C5"/>
    <w:rsid w:val="000E3B7F"/>
    <w:rsid w:val="001F7665"/>
    <w:rsid w:val="00214CAB"/>
    <w:rsid w:val="00285FDC"/>
    <w:rsid w:val="002A4587"/>
    <w:rsid w:val="002B5CE3"/>
    <w:rsid w:val="002B6C6A"/>
    <w:rsid w:val="003330EF"/>
    <w:rsid w:val="004454AA"/>
    <w:rsid w:val="00454D73"/>
    <w:rsid w:val="004A47EC"/>
    <w:rsid w:val="004D4D1E"/>
    <w:rsid w:val="004D62AA"/>
    <w:rsid w:val="005A1B34"/>
    <w:rsid w:val="005D225D"/>
    <w:rsid w:val="00680588"/>
    <w:rsid w:val="006C7F8D"/>
    <w:rsid w:val="0079085D"/>
    <w:rsid w:val="0079466C"/>
    <w:rsid w:val="007A400E"/>
    <w:rsid w:val="008450DC"/>
    <w:rsid w:val="008508B3"/>
    <w:rsid w:val="00865341"/>
    <w:rsid w:val="008962FB"/>
    <w:rsid w:val="008C3CF7"/>
    <w:rsid w:val="00903D31"/>
    <w:rsid w:val="009414D5"/>
    <w:rsid w:val="00990A85"/>
    <w:rsid w:val="00A62F81"/>
    <w:rsid w:val="00C26F00"/>
    <w:rsid w:val="00C372F0"/>
    <w:rsid w:val="00C601C5"/>
    <w:rsid w:val="00CA0E56"/>
    <w:rsid w:val="00D51E5A"/>
    <w:rsid w:val="00DF402D"/>
    <w:rsid w:val="00E01A5D"/>
    <w:rsid w:val="00E62EF5"/>
    <w:rsid w:val="00EA3D14"/>
    <w:rsid w:val="00EE1453"/>
    <w:rsid w:val="00EF17E1"/>
    <w:rsid w:val="00F07759"/>
    <w:rsid w:val="00F2109B"/>
    <w:rsid w:val="00F41711"/>
    <w:rsid w:val="00FA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89E2F8"/>
  <w15:chartTrackingRefBased/>
  <w15:docId w15:val="{421E04F8-06CD-4E0B-AD8C-F4EF7833D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F81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A62F81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F81"/>
    <w:pPr>
      <w:keepNext/>
      <w:keepLines/>
      <w:bidi w:val="0"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2F81"/>
    <w:pPr>
      <w:keepNext/>
      <w:keepLines/>
      <w:bidi w:val="0"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F81"/>
    <w:pPr>
      <w:keepNext/>
      <w:keepLines/>
      <w:bidi w:val="0"/>
      <w:spacing w:before="80" w:after="0"/>
      <w:outlineLvl w:val="3"/>
    </w:pPr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F81"/>
    <w:pPr>
      <w:keepNext/>
      <w:keepLines/>
      <w:bidi w:val="0"/>
      <w:spacing w:before="40" w:after="0"/>
      <w:outlineLvl w:val="4"/>
    </w:pPr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F81"/>
    <w:pPr>
      <w:keepNext/>
      <w:keepLines/>
      <w:bidi w:val="0"/>
      <w:spacing w:before="40" w:after="0"/>
      <w:outlineLvl w:val="5"/>
    </w:pPr>
    <w:rPr>
      <w:rFonts w:asciiTheme="majorHAnsi" w:eastAsiaTheme="majorEastAsia" w:hAnsiTheme="majorHAnsi" w:cstheme="majorBidi"/>
      <w:color w:val="F79646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F81"/>
    <w:pPr>
      <w:keepNext/>
      <w:keepLines/>
      <w:bidi w:val="0"/>
      <w:spacing w:before="40" w:after="0"/>
      <w:outlineLvl w:val="6"/>
    </w:pPr>
    <w:rPr>
      <w:rFonts w:asciiTheme="majorHAnsi" w:eastAsiaTheme="majorEastAsia" w:hAnsiTheme="majorHAnsi" w:cstheme="majorBidi"/>
      <w:b/>
      <w:bCs/>
      <w:color w:val="F79646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F81"/>
    <w:pPr>
      <w:keepNext/>
      <w:keepLines/>
      <w:bidi w:val="0"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F81"/>
    <w:pPr>
      <w:keepNext/>
      <w:keepLines/>
      <w:bidi w:val="0"/>
      <w:spacing w:before="40" w:after="0"/>
      <w:outlineLvl w:val="8"/>
    </w:pPr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2F81"/>
    <w:rPr>
      <w:rFonts w:asciiTheme="majorHAnsi" w:eastAsiaTheme="majorEastAsia" w:hAnsiTheme="majorHAnsi" w:cstheme="majorBidi"/>
      <w:color w:val="E36C0A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62F81"/>
    <w:rPr>
      <w:rFonts w:asciiTheme="majorHAnsi" w:eastAsiaTheme="majorEastAsia" w:hAnsiTheme="majorHAnsi" w:cstheme="majorBidi"/>
      <w:color w:val="E36C0A" w:themeColor="accent6" w:themeShade="B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214CAB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14CA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62F81"/>
    <w:rPr>
      <w:b/>
      <w:bCs/>
    </w:rPr>
  </w:style>
  <w:style w:type="character" w:customStyle="1" w:styleId="math-inline">
    <w:name w:val="math-inline"/>
    <w:basedOn w:val="DefaultParagraphFont"/>
    <w:rsid w:val="00214CAB"/>
  </w:style>
  <w:style w:type="character" w:customStyle="1" w:styleId="Heading1Char">
    <w:name w:val="Heading 1 Char"/>
    <w:basedOn w:val="DefaultParagraphFont"/>
    <w:link w:val="Heading1"/>
    <w:uiPriority w:val="9"/>
    <w:rsid w:val="00A62F81"/>
    <w:rPr>
      <w:rFonts w:asciiTheme="majorHAnsi" w:eastAsiaTheme="majorEastAsia" w:hAnsiTheme="majorHAnsi" w:cstheme="majorBidi"/>
      <w:color w:val="E36C0A" w:themeColor="accent6" w:themeShade="BF"/>
      <w:sz w:val="40"/>
      <w:szCs w:val="40"/>
    </w:rPr>
  </w:style>
  <w:style w:type="paragraph" w:styleId="Title">
    <w:name w:val="Title"/>
    <w:basedOn w:val="Normal"/>
    <w:next w:val="Normal"/>
    <w:link w:val="TitleChar"/>
    <w:uiPriority w:val="10"/>
    <w:qFormat/>
    <w:rsid w:val="00A62F8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62F81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F81"/>
    <w:rPr>
      <w:rFonts w:asciiTheme="majorHAnsi" w:eastAsiaTheme="majorEastAsia" w:hAnsiTheme="majorHAnsi" w:cstheme="majorBidi"/>
      <w:color w:val="F79646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F81"/>
    <w:rPr>
      <w:rFonts w:asciiTheme="majorHAnsi" w:eastAsiaTheme="majorEastAsia" w:hAnsiTheme="majorHAnsi" w:cstheme="majorBidi"/>
      <w:i/>
      <w:iCs/>
      <w:color w:val="F79646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F81"/>
    <w:rPr>
      <w:rFonts w:asciiTheme="majorHAnsi" w:eastAsiaTheme="majorEastAsia" w:hAnsiTheme="majorHAnsi" w:cstheme="majorBidi"/>
      <w:color w:val="F79646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F81"/>
    <w:rPr>
      <w:rFonts w:asciiTheme="majorHAnsi" w:eastAsiaTheme="majorEastAsia" w:hAnsiTheme="majorHAnsi" w:cstheme="majorBidi"/>
      <w:b/>
      <w:bCs/>
      <w:color w:val="F79646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F81"/>
    <w:rPr>
      <w:rFonts w:asciiTheme="majorHAnsi" w:eastAsiaTheme="majorEastAsia" w:hAnsiTheme="majorHAnsi" w:cstheme="majorBidi"/>
      <w:b/>
      <w:bCs/>
      <w:i/>
      <w:iCs/>
      <w:color w:val="F79646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F81"/>
    <w:rPr>
      <w:rFonts w:asciiTheme="majorHAnsi" w:eastAsiaTheme="majorEastAsia" w:hAnsiTheme="majorHAnsi" w:cstheme="majorBidi"/>
      <w:i/>
      <w:iCs/>
      <w:color w:val="F79646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62F81"/>
    <w:pPr>
      <w:bidi w:val="0"/>
      <w:spacing w:line="240" w:lineRule="auto"/>
    </w:pPr>
    <w:rPr>
      <w:b/>
      <w:bCs/>
      <w:smallCaps/>
      <w:color w:val="595959" w:themeColor="text1" w:themeTint="A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F81"/>
    <w:pPr>
      <w:numPr>
        <w:ilvl w:val="1"/>
      </w:numPr>
      <w:bidi w:val="0"/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62F81"/>
    <w:rPr>
      <w:rFonts w:asciiTheme="majorHAnsi" w:eastAsiaTheme="majorEastAsia" w:hAnsiTheme="majorHAnsi" w:cstheme="majorBidi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A62F81"/>
    <w:rPr>
      <w:i/>
      <w:iCs/>
      <w:color w:val="F79646" w:themeColor="accent6"/>
    </w:rPr>
  </w:style>
  <w:style w:type="paragraph" w:styleId="NoSpacing">
    <w:name w:val="No Spacing"/>
    <w:uiPriority w:val="1"/>
    <w:qFormat/>
    <w:rsid w:val="00A62F8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A62F81"/>
    <w:pPr>
      <w:bidi w:val="0"/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62F81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F81"/>
    <w:pPr>
      <w:bidi w:val="0"/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F81"/>
    <w:rPr>
      <w:rFonts w:asciiTheme="majorHAnsi" w:eastAsiaTheme="majorEastAsia" w:hAnsiTheme="majorHAnsi" w:cstheme="majorBidi"/>
      <w:i/>
      <w:iCs/>
      <w:color w:val="F79646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62F81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62F81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62F81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62F81"/>
    <w:rPr>
      <w:b/>
      <w:bCs/>
      <w:smallCaps/>
      <w:color w:val="F79646" w:themeColor="accent6"/>
    </w:rPr>
  </w:style>
  <w:style w:type="character" w:styleId="BookTitle">
    <w:name w:val="Book Title"/>
    <w:basedOn w:val="DefaultParagraphFont"/>
    <w:uiPriority w:val="33"/>
    <w:qFormat/>
    <w:rsid w:val="00A62F81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62F81"/>
    <w:pPr>
      <w:bidi w:val="0"/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0E3B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B7F"/>
  </w:style>
  <w:style w:type="paragraph" w:styleId="Footer">
    <w:name w:val="footer"/>
    <w:basedOn w:val="Normal"/>
    <w:link w:val="FooterChar"/>
    <w:uiPriority w:val="99"/>
    <w:unhideWhenUsed/>
    <w:rsid w:val="000E3B7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B7F"/>
  </w:style>
  <w:style w:type="table" w:styleId="GridTable4-Accent2">
    <w:name w:val="Grid Table 4 Accent 2"/>
    <w:basedOn w:val="TableNormal"/>
    <w:uiPriority w:val="49"/>
    <w:rsid w:val="007A400E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6</Pages>
  <Words>1002</Words>
  <Characters>5715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elsayed</dc:creator>
  <cp:keywords/>
  <dc:description/>
  <cp:lastModifiedBy>mohamed elsayed</cp:lastModifiedBy>
  <cp:revision>43</cp:revision>
  <cp:lastPrinted>2025-11-30T00:52:00Z</cp:lastPrinted>
  <dcterms:created xsi:type="dcterms:W3CDTF">2025-11-27T16:58:00Z</dcterms:created>
  <dcterms:modified xsi:type="dcterms:W3CDTF">2025-11-30T01:12:00Z</dcterms:modified>
</cp:coreProperties>
</file>