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aps/>
          <w:color w:val="2E75B6"/>
          <w:sz w:val="20"/>
          <w:szCs w:val="20"/>
        </w:rPr>
        <w:t xml:space="preserve">LITERATURE REVIEW</w:t>
      </w:r>
    </w:p>
    <w:p>
      <w:pPr>
        <w:pBdr>
          <w:bottom w:val="single" w:color="2E75B6" w:sz="8" w:space="12"/>
        </w:pBdr>
        <w:spacing w:after="200" w:before="0"/>
        <w:jc w:val="center"/>
      </w:pPr>
      <w:r>
        <w:rPr>
          <w:rFonts w:ascii="Arial" w:cs="Arial" w:eastAsia="Arial" w:hAnsi="Arial"/>
          <w:b/>
          <w:bCs/>
          <w:color w:val="1F4E79"/>
          <w:sz w:val="44"/>
          <w:szCs w:val="44"/>
        </w:rPr>
        <w:t xml:space="preserve">Machine Learning-Based Customer Churn Prediction: Production MLOps and Real-Time Inference Systems</w:t>
      </w:r>
    </w:p>
    <w:p>
      <w:pPr>
        <w:spacing w:after="0" w:before="240"/>
      </w:pPr>
      <w:r>
        <w:t xml:space="preserve"/>
      </w:r>
    </w:p>
    <w:p>
      <w:pPr>
        <w:spacing w:after="80" w:before="0"/>
        <w:jc w:val="center"/>
      </w:pPr>
      <w:r>
        <w:rPr>
          <w:rFonts w:ascii="Arial" w:cs="Arial" w:eastAsia="Arial" w:hAnsi="Arial"/>
          <w:i/>
          <w:iCs/>
          <w:color w:val="595959"/>
          <w:sz w:val="26"/>
          <w:szCs w:val="26"/>
        </w:rPr>
        <w:t xml:space="preserve">A Structured Review Across Three Domains</w:t>
      </w:r>
    </w:p>
    <w:p>
      <w:pPr>
        <w:spacing w:after="0" w:before="600"/>
      </w:pPr>
      <w:r>
        <w:t xml:space="preserve"/>
      </w:r>
    </w:p>
    <w:p>
      <w:pPr>
        <w:spacing w:after="60" w:before="0"/>
        <w:jc w:val="center"/>
      </w:pPr>
      <w:r>
        <w:rPr>
          <w:rFonts w:ascii="Arial" w:cs="Arial" w:eastAsia="Arial" w:hAnsi="Arial"/>
          <w:b/>
          <w:bCs/>
          <w:color w:val="2E75B6"/>
          <w:sz w:val="22"/>
          <w:szCs w:val="22"/>
        </w:rPr>
        <w:t xml:space="preserve">Domain Coverage</w:t>
      </w:r>
    </w:p>
    <w:p>
      <w:pPr>
        <w:spacing w:after="40" w:before="0"/>
        <w:jc w:val="center"/>
      </w:pPr>
      <w:r>
        <w:rPr>
          <w:rFonts w:ascii="Arial" w:cs="Arial" w:eastAsia="Arial" w:hAnsi="Arial"/>
          <w:color w:val="333333"/>
          <w:sz w:val="22"/>
          <w:szCs w:val="22"/>
        </w:rPr>
        <w:t xml:space="preserve">I.  Churn Prediction &amp; Supervised ML</w:t>
      </w:r>
    </w:p>
    <w:p>
      <w:pPr>
        <w:spacing w:after="40" w:before="0"/>
        <w:jc w:val="center"/>
      </w:pPr>
      <w:r>
        <w:rPr>
          <w:rFonts w:ascii="Arial" w:cs="Arial" w:eastAsia="Arial" w:hAnsi="Arial"/>
          <w:color w:val="333333"/>
          <w:sz w:val="22"/>
          <w:szCs w:val="22"/>
        </w:rPr>
        <w:t xml:space="preserve">II.  Production ML Systems &amp; MLOps</w:t>
      </w:r>
    </w:p>
    <w:p>
      <w:pPr>
        <w:spacing w:after="40" w:before="0"/>
        <w:jc w:val="center"/>
      </w:pPr>
      <w:r>
        <w:rPr>
          <w:rFonts w:ascii="Arial" w:cs="Arial" w:eastAsia="Arial" w:hAnsi="Arial"/>
          <w:color w:val="333333"/>
          <w:sz w:val="22"/>
          <w:szCs w:val="22"/>
        </w:rPr>
        <w:t xml:space="preserve">III.  Streaming &amp; Real-Time Inference</w:t>
      </w:r>
    </w:p>
    <w:p>
      <w:pPr>
        <w:spacing w:after="0" w:before="80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Framing the Literature Review</w:t>
      </w:r>
    </w:p>
    <w:p>
      <w:pPr>
        <w:spacing w:after="120" w:before="60" w:line="320"/>
        <w:jc w:val="both"/>
      </w:pPr>
      <w:r>
        <w:rPr>
          <w:rFonts w:ascii="Arial" w:cs="Arial" w:eastAsia="Arial" w:hAnsi="Arial"/>
          <w:color w:val="1A1A1A"/>
          <w:sz w:val="22"/>
          <w:szCs w:val="22"/>
        </w:rPr>
        <w:t xml:space="preserve">This literature review is organized around three intersecting domains that together constitute a modern, production-grade customer churn prediction system. Rather than treating churn prediction as a static modeling exercise, this review positions the problem within a broader system lifecycle — from data ingestion and model training through continuous deployment, monitoring, and real-time inference.</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The Three Pillars</w:t>
      </w:r>
    </w:p>
    <w:p>
      <w:pPr>
        <w:pStyle w:val="Heading3"/>
        <w:spacing w:after="80" w:before="200"/>
      </w:pPr>
      <w:r>
        <w:rPr>
          <w:rFonts w:ascii="Arial" w:cs="Arial" w:eastAsia="Arial" w:hAnsi="Arial"/>
          <w:b/>
          <w:bCs/>
          <w:color w:val="404040"/>
          <w:sz w:val="24"/>
          <w:szCs w:val="24"/>
        </w:rPr>
        <w:t xml:space="preserve">Pillar A: Churn Prediction — The Core ML Problem</w:t>
      </w:r>
    </w:p>
    <w:p>
      <w:pPr>
        <w:spacing w:after="120" w:before="60" w:line="320"/>
        <w:jc w:val="both"/>
      </w:pPr>
      <w:r>
        <w:rPr>
          <w:rFonts w:ascii="Arial" w:cs="Arial" w:eastAsia="Arial" w:hAnsi="Arial"/>
          <w:color w:val="1A1A1A"/>
          <w:sz w:val="22"/>
          <w:szCs w:val="22"/>
        </w:rPr>
        <w:t xml:space="preserve">This pillar covers the supervised classification problem at the heart of the system: predicting which customers are likely to discontinue service. It encompasses class imbalance handling, tabular data modeling, feature engineering, and evaluation methodology appropriate to high-stakes binary classification.</w:t>
      </w:r>
    </w:p>
    <w:p>
      <w:pPr>
        <w:pStyle w:val="Heading3"/>
        <w:spacing w:after="80" w:before="200"/>
      </w:pPr>
      <w:r>
        <w:rPr>
          <w:rFonts w:ascii="Arial" w:cs="Arial" w:eastAsia="Arial" w:hAnsi="Arial"/>
          <w:b/>
          <w:bCs/>
          <w:color w:val="404040"/>
          <w:sz w:val="24"/>
          <w:szCs w:val="24"/>
        </w:rPr>
        <w:t xml:space="preserve">Pillar B: Production ML Systems — MLOps</w:t>
      </w:r>
    </w:p>
    <w:p>
      <w:pPr>
        <w:spacing w:after="120" w:before="60" w:line="320"/>
        <w:jc w:val="both"/>
      </w:pPr>
      <w:r>
        <w:rPr>
          <w:rFonts w:ascii="Arial" w:cs="Arial" w:eastAsia="Arial" w:hAnsi="Arial"/>
          <w:color w:val="1A1A1A"/>
          <w:sz w:val="22"/>
          <w:szCs w:val="22"/>
        </w:rPr>
        <w:t xml:space="preserve">Models trained in isolation are insufficient for real-world deployment. This pillar addresses the operational infrastructure required to sustain a machine learning system: experiment tracking, model versioning, pipeline automation, drift detection, and automated retraining. Tools such as MLflow and Azure Machine Learning are examined in the context of CI/CD for ML.</w:t>
      </w:r>
    </w:p>
    <w:p>
      <w:pPr>
        <w:pStyle w:val="Heading3"/>
        <w:spacing w:after="80" w:before="200"/>
      </w:pPr>
      <w:r>
        <w:rPr>
          <w:rFonts w:ascii="Arial" w:cs="Arial" w:eastAsia="Arial" w:hAnsi="Arial"/>
          <w:b/>
          <w:bCs/>
          <w:color w:val="404040"/>
          <w:sz w:val="24"/>
          <w:szCs w:val="24"/>
        </w:rPr>
        <w:t xml:space="preserve">Pillar C: Streaming &amp; Real-Time Systems</w:t>
      </w:r>
    </w:p>
    <w:p>
      <w:pPr>
        <w:spacing w:after="120" w:before="60" w:line="320"/>
        <w:jc w:val="both"/>
      </w:pPr>
      <w:r>
        <w:rPr>
          <w:rFonts w:ascii="Arial" w:cs="Arial" w:eastAsia="Arial" w:hAnsi="Arial"/>
          <w:color w:val="1A1A1A"/>
          <w:sz w:val="22"/>
          <w:szCs w:val="22"/>
        </w:rPr>
        <w:t xml:space="preserve">The third pillar concerns the delivery layer of the system — how predictions are served at low latency in response to live customer events. Topics include batch versus real-time inference architectures, REST API design for ML serving, containerization with Docker, and the fundamental trade-offs between latency, scalability, and cost.</w:t>
      </w:r>
    </w:p>
    <w:p>
      <w:pPr>
        <w:spacing w:after="0" w:before="80"/>
      </w:pPr>
      <w:r>
        <w:t xml:space="preserve"/>
      </w:r>
    </w:p>
    <w:p>
      <w:pPr>
        <w:pBdr>
          <w:left w:val="single" w:color="2E75B6" w:sz="18" w:space="12"/>
        </w:pBdr>
        <w:spacing w:after="120" w:before="120"/>
        <w:ind w:left="720" w:right="360"/>
      </w:pPr>
      <w:r>
        <w:rPr>
          <w:rFonts w:ascii="Arial" w:cs="Arial" w:eastAsia="Arial" w:hAnsi="Arial"/>
          <w:b/>
          <w:bCs/>
          <w:color w:val="2E75B6"/>
          <w:sz w:val="22"/>
          <w:szCs w:val="22"/>
        </w:rPr>
        <w:t xml:space="preserve">Synthesis Note: </w:t>
      </w:r>
      <w:r>
        <w:rPr>
          <w:rFonts w:ascii="Arial" w:cs="Arial" w:eastAsia="Arial" w:hAnsi="Arial"/>
          <w:i/>
          <w:iCs/>
          <w:color w:val="1A1A1A"/>
          <w:sz w:val="22"/>
          <w:szCs w:val="22"/>
        </w:rPr>
        <w:t xml:space="preserve">The three pillars are not independent silos. Data drift (Pillar B) originates in behavioral shifts captured by the streaming layer (Pillar C) and directly degrades prediction quality (Pillar A). The review highlights these cross-cutting dependencies throughout.</w:t>
      </w:r>
    </w:p>
    <w:p>
      <w:pPr>
        <w:spacing w:after="0" w:before="20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1. Customer Churn Prediction — Foundations</w:t>
      </w:r>
    </w:p>
    <w:p>
      <w:pPr>
        <w:pStyle w:val="Heading2"/>
        <w:spacing w:after="100" w:before="280"/>
      </w:pPr>
      <w:r>
        <w:rPr>
          <w:rFonts w:ascii="Arial" w:cs="Arial" w:eastAsia="Arial" w:hAnsi="Arial"/>
          <w:b/>
          <w:bCs/>
          <w:color w:val="2E75B6"/>
          <w:sz w:val="26"/>
          <w:szCs w:val="26"/>
        </w:rPr>
        <w:t xml:space="preserve">1.1 Defining Churn</w:t>
      </w:r>
    </w:p>
    <w:p>
      <w:pPr>
        <w:spacing w:after="120" w:before="60" w:line="320"/>
        <w:jc w:val="both"/>
      </w:pPr>
      <w:r>
        <w:rPr>
          <w:rFonts w:ascii="Arial" w:cs="Arial" w:eastAsia="Arial" w:hAnsi="Arial"/>
          <w:color w:val="1A1A1A"/>
          <w:sz w:val="22"/>
          <w:szCs w:val="22"/>
        </w:rPr>
        <w:t xml:space="preserve">Customer churn refers to the voluntary or involuntary termination of a customer relationship with a service provider. While the concept is universal across subscription-based industries, its precise operationalization varies by domain context.</w:t>
      </w:r>
    </w:p>
    <w:p>
      <w:pPr>
        <w:spacing w:after="120" w:before="60" w:line="320"/>
        <w:jc w:val="both"/>
      </w:pPr>
      <w:r>
        <w:rPr>
          <w:rFonts w:ascii="Arial" w:cs="Arial" w:eastAsia="Arial" w:hAnsi="Arial"/>
          <w:color w:val="1A1A1A"/>
          <w:sz w:val="22"/>
          <w:szCs w:val="22"/>
        </w:rPr>
        <w:t xml:space="preserve">In the telecommunications industry — historically the most studied domain — churn is defined as a subscriber discontinuing a contract or switching to a competing carrier. The financial impact is acute: acquiring a new customer in telecom is estimated to cost five to twenty-five times more than retaining an existing one (Reichheld &amp; Sasser, 1990). Verbeke et al. (2012) and Coussement &amp; Van den Poel (2008) established seminal benchmarks for churn prediction in this space using classical machine learning methods.</w:t>
      </w:r>
    </w:p>
    <w:p>
      <w:pPr>
        <w:spacing w:after="120" w:before="60" w:line="320"/>
        <w:jc w:val="both"/>
      </w:pPr>
      <w:r>
        <w:rPr>
          <w:rFonts w:ascii="Arial" w:cs="Arial" w:eastAsia="Arial" w:hAnsi="Arial"/>
          <w:color w:val="1A1A1A"/>
          <w:sz w:val="22"/>
          <w:szCs w:val="22"/>
        </w:rPr>
        <w:t xml:space="preserve">In the SaaS (Software-as-a-Service) context, churn is typically tracked at the subscription level and may be leading-indicated by behavioral signals such as declining feature usage, reduced login frequency, or failure to renew. Subscription economics — particularly the centrality of monthly recurring revenue (MRR) and annual recurring revenue (ARR) — make even modest improvements in retention disproportionately valuable due to the compounding nature of customer lifetime value (CLV).</w:t>
      </w:r>
    </w:p>
    <w:p>
      <w:pPr>
        <w:spacing w:after="120" w:before="60" w:line="320"/>
        <w:jc w:val="both"/>
      </w:pPr>
      <w:r>
        <w:rPr>
          <w:rFonts w:ascii="Arial" w:cs="Arial" w:eastAsia="Arial" w:hAnsi="Arial"/>
          <w:color w:val="1A1A1A"/>
          <w:sz w:val="22"/>
          <w:szCs w:val="22"/>
        </w:rPr>
        <w:t xml:space="preserve">In banking and financial services, churn (often termed attrition) includes account closure, product cancellation, or the transfer of primary banking relationships. The stakes include not only direct revenue loss but cross-sell opportunity costs and increased acquisition spend in a competitive market.</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1.2 Why Churn Prediction Matters — Business Framing</w:t>
      </w:r>
    </w:p>
    <w:p>
      <w:pPr>
        <w:spacing w:after="120" w:before="60" w:line="320"/>
        <w:jc w:val="both"/>
      </w:pPr>
      <w:r>
        <w:rPr>
          <w:rFonts w:ascii="Arial" w:cs="Arial" w:eastAsia="Arial" w:hAnsi="Arial"/>
          <w:color w:val="1A1A1A"/>
          <w:sz w:val="22"/>
          <w:szCs w:val="22"/>
        </w:rPr>
        <w:t xml:space="preserve">The academic and practitioner literature converges on a consistent economic rationale for predictive churn modeling. Customer Lifetime Value (CLV) — the net present value of all future revenues attributed to a customer — is disproportionately concentrated in long-tenure customers. Blattberg et al. (2001) formalized the mathematical relationship between retention rate and CLV, demonstrating that a 5% increase in retention can increase profitability by 25-95% depending on industry margins.</w:t>
      </w:r>
    </w:p>
    <w:p>
      <w:pPr>
        <w:spacing w:after="120" w:before="60" w:line="320"/>
        <w:jc w:val="both"/>
      </w:pPr>
      <w:r>
        <w:rPr>
          <w:rFonts w:ascii="Arial" w:cs="Arial" w:eastAsia="Arial" w:hAnsi="Arial"/>
          <w:color w:val="1A1A1A"/>
          <w:sz w:val="22"/>
          <w:szCs w:val="22"/>
        </w:rPr>
        <w:t xml:space="preserve">Predictive churn models operationalize this insight by identifying at-risk customers before they defect, enabling proactive retention interventions — targeted offers, outreach campaigns, or service escalations. The relevant objective is therefore not just accuracy but actionability: the model must produce actionable risk scores with sufficient lead time for intervention.</w:t>
      </w:r>
    </w:p>
    <w:p>
      <w:pPr>
        <w:pBdr>
          <w:left w:val="single" w:color="2E75B6" w:sz="18" w:space="12"/>
        </w:pBdr>
        <w:spacing w:after="120" w:before="120"/>
        <w:ind w:left="720" w:right="360"/>
      </w:pPr>
      <w:r>
        <w:rPr>
          <w:rFonts w:ascii="Arial" w:cs="Arial" w:eastAsia="Arial" w:hAnsi="Arial"/>
          <w:b/>
          <w:bCs/>
          <w:color w:val="2E75B6"/>
          <w:sz w:val="22"/>
          <w:szCs w:val="22"/>
        </w:rPr>
        <w:t xml:space="preserve">Key Insight: </w:t>
      </w:r>
      <w:r>
        <w:rPr>
          <w:rFonts w:ascii="Arial" w:cs="Arial" w:eastAsia="Arial" w:hAnsi="Arial"/>
          <w:i/>
          <w:iCs/>
          <w:color w:val="1A1A1A"/>
          <w:sz w:val="22"/>
          <w:szCs w:val="22"/>
        </w:rPr>
        <w:t xml:space="preserve">Churn prediction is not merely a classification problem. It is a decision-support tool whose value is determined by the cost-benefit trade-off of interventions, not by predictive accuracy in isolation.</w:t>
      </w:r>
    </w:p>
    <w:p>
      <w:pPr>
        <w:pStyle w:val="Heading2"/>
        <w:spacing w:after="100" w:before="280"/>
      </w:pPr>
      <w:r>
        <w:rPr>
          <w:rFonts w:ascii="Arial" w:cs="Arial" w:eastAsia="Arial" w:hAnsi="Arial"/>
          <w:b/>
          <w:bCs/>
          <w:color w:val="2E75B6"/>
          <w:sz w:val="26"/>
          <w:szCs w:val="26"/>
        </w:rPr>
        <w:t xml:space="preserve">1.3 Logistic Regression vs. Tree-Based Models</w:t>
      </w:r>
    </w:p>
    <w:p>
      <w:pPr>
        <w:spacing w:after="120" w:before="60" w:line="320"/>
        <w:jc w:val="both"/>
      </w:pPr>
      <w:r>
        <w:rPr>
          <w:rFonts w:ascii="Arial" w:cs="Arial" w:eastAsia="Arial" w:hAnsi="Arial"/>
          <w:color w:val="1A1A1A"/>
          <w:sz w:val="22"/>
          <w:szCs w:val="22"/>
        </w:rPr>
        <w:t xml:space="preserve">Early churn prediction literature relied predominantly on logistic regression due to its interpretability and theoretical grounding in probability estimation (Lariviere &amp; Van den Poel, 2005). Logistic regression provides calibrated probability outputs and readily accommodates regularization (L1/L2), but its linear decision boundary limits its ability to capture nonlinear interactions between features — a common characteristic of behavioral churn drivers.</w:t>
      </w:r>
    </w:p>
    <w:p>
      <w:pPr>
        <w:spacing w:after="120" w:before="60" w:line="320"/>
        <w:jc w:val="both"/>
      </w:pPr>
      <w:r>
        <w:rPr>
          <w:rFonts w:ascii="Arial" w:cs="Arial" w:eastAsia="Arial" w:hAnsi="Arial"/>
          <w:color w:val="1A1A1A"/>
          <w:sz w:val="22"/>
          <w:szCs w:val="22"/>
        </w:rPr>
        <w:t xml:space="preserve">The transition to tree-based ensemble methods represented a significant performance advance. Breiman's (2001) Random Forest introduced bagging over decision trees, achieving strong generalization through variance reduction. Decision tree ensembles naturally handle nonlinear feature interactions, categorical variables, and missing data — all common in CRM and billing datasets.</w:t>
      </w:r>
    </w:p>
    <w:p>
      <w:pPr>
        <w:spacing w:after="120" w:before="60" w:line="320"/>
        <w:jc w:val="both"/>
      </w:pPr>
      <w:r>
        <w:rPr>
          <w:rFonts w:ascii="Arial" w:cs="Arial" w:eastAsia="Arial" w:hAnsi="Arial"/>
          <w:color w:val="1A1A1A"/>
          <w:sz w:val="22"/>
          <w:szCs w:val="22"/>
        </w:rPr>
        <w:t xml:space="preserve">Comparative studies consistently demonstrate the superiority of ensemble methods over logistic regression on churn benchmark datasets. Ngai et al. (2009) conducted a systematic review of 47 data mining studies on customer churn and confirmed that ensemble methods — particularly boosting variants — achieved the highest predictive performance across diverse industry contexts.</w:t>
      </w:r>
    </w:p>
    <w:p>
      <w:pPr>
        <w:pStyle w:val="Heading2"/>
        <w:spacing w:after="100" w:before="280"/>
      </w:pPr>
      <w:r>
        <w:rPr>
          <w:rFonts w:ascii="Arial" w:cs="Arial" w:eastAsia="Arial" w:hAnsi="Arial"/>
          <w:b/>
          <w:bCs/>
          <w:color w:val="2E75B6"/>
          <w:sz w:val="26"/>
          <w:szCs w:val="26"/>
        </w:rPr>
        <w:t xml:space="preserve">1.4 The Imbalanced Nature of Churn Data</w:t>
      </w:r>
    </w:p>
    <w:p>
      <w:pPr>
        <w:spacing w:after="120" w:before="60" w:line="320"/>
        <w:jc w:val="both"/>
      </w:pPr>
      <w:r>
        <w:rPr>
          <w:rFonts w:ascii="Arial" w:cs="Arial" w:eastAsia="Arial" w:hAnsi="Arial"/>
          <w:color w:val="1A1A1A"/>
          <w:sz w:val="22"/>
          <w:szCs w:val="22"/>
        </w:rPr>
        <w:t xml:space="preserve">Churn datasets are inherently imbalanced: in most industries, churners represent between 2% and 30% of the customer base. This imbalance creates a well-known failure mode in standard classification — models trained with accuracy as the objective trivially achieve high scores by predicting the majority class (non-churn) for all instances.</w:t>
      </w:r>
    </w:p>
    <w:p>
      <w:pPr>
        <w:spacing w:after="120" w:before="60" w:line="320"/>
        <w:jc w:val="both"/>
      </w:pPr>
      <w:r>
        <w:rPr>
          <w:rFonts w:ascii="Arial" w:cs="Arial" w:eastAsia="Arial" w:hAnsi="Arial"/>
          <w:color w:val="1A1A1A"/>
          <w:sz w:val="22"/>
          <w:szCs w:val="22"/>
        </w:rPr>
        <w:t xml:space="preserve">The machine learning literature offers several canonical approaches to imbalanced classification. At the data level, SMOTE (Synthetic Minority Over-sampling Technique), introduced by Chawla et al. (2002), generates synthetic minority class instances by interpolating between existing minority samples in feature space. SMOTE remains one of the most widely cited and practically deployed resampling strategies in churn modeling pipelines.</w:t>
      </w:r>
    </w:p>
    <w:p>
      <w:pPr>
        <w:spacing w:after="120" w:before="60" w:line="320"/>
        <w:jc w:val="both"/>
      </w:pPr>
      <w:r>
        <w:rPr>
          <w:rFonts w:ascii="Arial" w:cs="Arial" w:eastAsia="Arial" w:hAnsi="Arial"/>
          <w:color w:val="1A1A1A"/>
          <w:sz w:val="22"/>
          <w:szCs w:val="22"/>
        </w:rPr>
        <w:t xml:space="preserve">At the algorithmic level, class weighting assigns higher misclassification costs to the minority class during training, biasing the model's decision boundary toward greater sensitivity to churners. Most modern frameworks — including scikit-learn and XGBoost — support class weighting natively via the class_weight and scale_pos_weight parameters respectively.</w:t>
      </w:r>
    </w:p>
    <w:p>
      <w:pPr>
        <w:spacing w:after="120" w:before="60" w:line="320"/>
        <w:jc w:val="both"/>
      </w:pPr>
      <w:r>
        <w:rPr>
          <w:rFonts w:ascii="Arial" w:cs="Arial" w:eastAsia="Arial" w:hAnsi="Arial"/>
          <w:color w:val="1A1A1A"/>
          <w:sz w:val="22"/>
          <w:szCs w:val="22"/>
        </w:rPr>
        <w:t xml:space="preserve">The choice between data-level and algorithm-level balancing depends on the model architecture and downstream evaluation requirements. Hybrid approaches, which combine resampling with cost-sensitive learning, are increasingly preferred in production settings.</w:t>
      </w:r>
    </w:p>
    <w:p>
      <w:pPr>
        <w:pStyle w:val="Heading2"/>
        <w:spacing w:after="100" w:before="280"/>
      </w:pPr>
      <w:r>
        <w:rPr>
          <w:rFonts w:ascii="Arial" w:cs="Arial" w:eastAsia="Arial" w:hAnsi="Arial"/>
          <w:b/>
          <w:bCs/>
          <w:color w:val="2E75B6"/>
          <w:sz w:val="26"/>
          <w:szCs w:val="26"/>
        </w:rPr>
        <w:t xml:space="preserve">1.5 The Time-Dependent Nature of Churn</w:t>
      </w:r>
    </w:p>
    <w:p>
      <w:pPr>
        <w:spacing w:after="120" w:before="60" w:line="320"/>
        <w:jc w:val="both"/>
      </w:pPr>
      <w:r>
        <w:rPr>
          <w:rFonts w:ascii="Arial" w:cs="Arial" w:eastAsia="Arial" w:hAnsi="Arial"/>
          <w:color w:val="1A1A1A"/>
          <w:sz w:val="22"/>
          <w:szCs w:val="22"/>
        </w:rPr>
        <w:t xml:space="preserve">A critical but sometimes underappreciated aspect of churn is its temporal structure. Customer behavior leading to churn is not static; it manifests as a trajectory of declining engagement signals over time. This has two implications for modeling.</w:t>
      </w:r>
    </w:p>
    <w:p>
      <w:pPr>
        <w:spacing w:after="120" w:before="60" w:line="320"/>
        <w:jc w:val="both"/>
      </w:pPr>
      <w:r>
        <w:rPr>
          <w:rFonts w:ascii="Arial" w:cs="Arial" w:eastAsia="Arial" w:hAnsi="Arial"/>
          <w:color w:val="1A1A1A"/>
          <w:sz w:val="22"/>
          <w:szCs w:val="22"/>
        </w:rPr>
        <w:t xml:space="preserve">First, feature engineering must incorporate temporal aggregations — recency, frequency, and trend features computed over rolling time windows — rather than relying solely on point-in-time snapshots. The RFM (Recency, Frequency, Monetary value) framework, originating in direct marketing (Hughes, 1994), provides a foundational vocabulary for these features.</w:t>
      </w:r>
    </w:p>
    <w:p>
      <w:pPr>
        <w:spacing w:after="120" w:before="60" w:line="320"/>
        <w:jc w:val="both"/>
      </w:pPr>
      <w:r>
        <w:rPr>
          <w:rFonts w:ascii="Arial" w:cs="Arial" w:eastAsia="Arial" w:hAnsi="Arial"/>
          <w:color w:val="1A1A1A"/>
          <w:sz w:val="22"/>
          <w:szCs w:val="22"/>
        </w:rPr>
        <w:t xml:space="preserve">Second, and more fundamentally, the data-generating process underlying churn evolves over time. Market conditions, product changes, competitive dynamics, and macroeconomic factors all alter the behavioral signatures of at-risk customers. This leads directly to the concept of concept drift, addressed in Section 4.</w:t>
      </w:r>
    </w:p>
    <w:p>
      <w:pPr>
        <w:spacing w:after="0" w:before="20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2. Machine Learning Models for Churn Prediction</w:t>
      </w:r>
    </w:p>
    <w:p>
      <w:pPr>
        <w:pStyle w:val="Heading2"/>
        <w:spacing w:after="100" w:before="280"/>
      </w:pPr>
      <w:r>
        <w:rPr>
          <w:rFonts w:ascii="Arial" w:cs="Arial" w:eastAsia="Arial" w:hAnsi="Arial"/>
          <w:b/>
          <w:bCs/>
          <w:color w:val="2E75B6"/>
          <w:sz w:val="26"/>
          <w:szCs w:val="26"/>
        </w:rPr>
        <w:t xml:space="preserve">2.1 Why Tree Ensembles Dominate Tabular Problems</w:t>
      </w:r>
    </w:p>
    <w:p>
      <w:pPr>
        <w:spacing w:after="120" w:before="60" w:line="320"/>
        <w:jc w:val="both"/>
      </w:pPr>
      <w:r>
        <w:rPr>
          <w:rFonts w:ascii="Arial" w:cs="Arial" w:eastAsia="Arial" w:hAnsi="Arial"/>
          <w:color w:val="1A1A1A"/>
          <w:sz w:val="22"/>
          <w:szCs w:val="22"/>
        </w:rPr>
        <w:t xml:space="preserve">The dominance of tree-based ensemble methods on tabular data is one of the most replicated empirical findings in applied machine learning. Fernandez-Delgado et al. (2014) evaluated 179 classifiers across 121 datasets and found that Random Forest performed best or near-best across the widest range of problem types — a finding that has been reproduced consistently in churn-specific benchmarks.</w:t>
      </w:r>
    </w:p>
    <w:p>
      <w:pPr>
        <w:spacing w:after="120" w:before="60" w:line="320"/>
        <w:jc w:val="both"/>
      </w:pPr>
      <w:r>
        <w:rPr>
          <w:rFonts w:ascii="Arial" w:cs="Arial" w:eastAsia="Arial" w:hAnsi="Arial"/>
          <w:color w:val="1A1A1A"/>
          <w:sz w:val="22"/>
          <w:szCs w:val="22"/>
        </w:rPr>
        <w:t xml:space="preserve">The reasons for this empirical dominance are well understood. Tabular datasets in CRM and billing systems exhibit several structural characteristics that favor tree ensembles: mixed feature types (numeric and categorical), irregular feature scales, local interaction effects, and the presence of outliers. Decision trees handle all of these naturally, without requiring the preprocessing transformations (normalization, encoding) that are critical for distance-based or gradient-based models.</w:t>
      </w:r>
    </w:p>
    <w:p>
      <w:pPr>
        <w:spacing w:after="120" w:before="60" w:line="320"/>
        <w:jc w:val="both"/>
      </w:pPr>
      <w:r>
        <w:rPr>
          <w:rFonts w:ascii="Arial" w:cs="Arial" w:eastAsia="Arial" w:hAnsi="Arial"/>
          <w:color w:val="1A1A1A"/>
          <w:sz w:val="22"/>
          <w:szCs w:val="22"/>
        </w:rPr>
        <w:t xml:space="preserve">Furthermore, tree ensembles are robust to irrelevant features — a critical property when feature sets are constructed from diverse operational data sources with variable signal quality.</w:t>
      </w:r>
    </w:p>
    <w:p>
      <w:pPr>
        <w:pStyle w:val="Heading2"/>
        <w:spacing w:after="100" w:before="280"/>
      </w:pPr>
      <w:r>
        <w:rPr>
          <w:rFonts w:ascii="Arial" w:cs="Arial" w:eastAsia="Arial" w:hAnsi="Arial"/>
          <w:b/>
          <w:bCs/>
          <w:color w:val="2E75B6"/>
          <w:sz w:val="26"/>
          <w:szCs w:val="26"/>
        </w:rPr>
        <w:t xml:space="preserve">2.2 Random Forest</w:t>
      </w:r>
    </w:p>
    <w:p>
      <w:pPr>
        <w:spacing w:after="120" w:before="60" w:line="320"/>
        <w:jc w:val="both"/>
      </w:pPr>
      <w:r>
        <w:rPr>
          <w:rFonts w:ascii="Arial" w:cs="Arial" w:eastAsia="Arial" w:hAnsi="Arial"/>
          <w:color w:val="1A1A1A"/>
          <w:sz w:val="22"/>
          <w:szCs w:val="22"/>
        </w:rPr>
        <w:t xml:space="preserve">Random Forest (Breiman, 2001) constructs an ensemble of decorrelated decision trees using two sources of randomness: bootstrap sampling of training instances (bagging) and random subspace sampling of features at each split. The ensemble prediction is the majority vote (classification) or mean (regression) across all trees.</w:t>
      </w:r>
    </w:p>
    <w:p>
      <w:pPr>
        <w:spacing w:after="120" w:before="60" w:line="320"/>
        <w:jc w:val="both"/>
      </w:pPr>
      <w:r>
        <w:rPr>
          <w:rFonts w:ascii="Arial" w:cs="Arial" w:eastAsia="Arial" w:hAnsi="Arial"/>
          <w:color w:val="1A1A1A"/>
          <w:sz w:val="22"/>
          <w:szCs w:val="22"/>
        </w:rPr>
        <w:t xml:space="preserve">The primary advantage of Random Forest in churn applications is its robustness. It is resistant to overfitting even with a large number of trees, requires minimal hyperparameter tuning, and naturally produces feature importance scores that support model interpretability and auditability — a practical requirement in regulated industries such as banking.</w:t>
      </w:r>
    </w:p>
    <w:p>
      <w:pPr>
        <w:spacing w:after="120" w:before="60" w:line="320"/>
        <w:jc w:val="both"/>
      </w:pPr>
      <w:r>
        <w:rPr>
          <w:rFonts w:ascii="Arial" w:cs="Arial" w:eastAsia="Arial" w:hAnsi="Arial"/>
          <w:color w:val="1A1A1A"/>
          <w:sz w:val="22"/>
          <w:szCs w:val="22"/>
        </w:rPr>
        <w:t xml:space="preserve">The primary limitation of Random Forest is inference speed: at prediction time, the model must traverse all trees in the ensemble. For large forests deployed in low-latency serving contexts, this can introduce unacceptable latency. Ensemble pruning and hardware-optimized inference libraries partially address this constraint.</w:t>
      </w:r>
    </w:p>
    <w:p>
      <w:pPr>
        <w:pStyle w:val="Heading2"/>
        <w:spacing w:after="100" w:before="280"/>
      </w:pPr>
      <w:r>
        <w:rPr>
          <w:rFonts w:ascii="Arial" w:cs="Arial" w:eastAsia="Arial" w:hAnsi="Arial"/>
          <w:b/>
          <w:bCs/>
          <w:color w:val="2E75B6"/>
          <w:sz w:val="26"/>
          <w:szCs w:val="26"/>
        </w:rPr>
        <w:t xml:space="preserve">2.3 Gradient Boosting and XGBoost</w:t>
      </w:r>
    </w:p>
    <w:p>
      <w:pPr>
        <w:spacing w:after="120" w:before="60" w:line="320"/>
        <w:jc w:val="both"/>
      </w:pPr>
      <w:r>
        <w:rPr>
          <w:rFonts w:ascii="Arial" w:cs="Arial" w:eastAsia="Arial" w:hAnsi="Arial"/>
          <w:color w:val="1A1A1A"/>
          <w:sz w:val="22"/>
          <w:szCs w:val="22"/>
        </w:rPr>
        <w:t xml:space="preserve">Gradient boosting (Friedman, 2001) takes a fundamentally different approach to ensemble construction: rather than building independent trees in parallel, it constructs trees sequentially, with each tree fitted to the residual errors of the preceding ensemble. This additive correction process produces models that are typically more accurate than Random Forest at the cost of greater sensitivity to hyperparameters and longer training times.</w:t>
      </w:r>
    </w:p>
    <w:p>
      <w:pPr>
        <w:spacing w:after="120" w:before="60" w:line="320"/>
        <w:jc w:val="both"/>
      </w:pPr>
      <w:r>
        <w:rPr>
          <w:rFonts w:ascii="Arial" w:cs="Arial" w:eastAsia="Arial" w:hAnsi="Arial"/>
          <w:color w:val="1A1A1A"/>
          <w:sz w:val="22"/>
          <w:szCs w:val="22"/>
        </w:rPr>
        <w:t xml:space="preserve">XGBoost (Chen &amp; Guestrin, 2016) introduced a series of algorithmic and systems-level innovations over standard gradient boosting: regularization terms in the objective function, sparsity-aware split finding for missing values, and out-of-core computation for large datasets. XGBoost became the dominant algorithm in tabular machine learning competitions and has been widely adopted in industrial churn prediction systems.</w:t>
      </w:r>
    </w:p>
    <w:p>
      <w:pPr>
        <w:spacing w:after="120" w:before="60" w:line="320"/>
        <w:jc w:val="both"/>
      </w:pPr>
      <w:r>
        <w:rPr>
          <w:rFonts w:ascii="Arial" w:cs="Arial" w:eastAsia="Arial" w:hAnsi="Arial"/>
          <w:color w:val="1A1A1A"/>
          <w:sz w:val="22"/>
          <w:szCs w:val="22"/>
        </w:rPr>
        <w:t xml:space="preserve">LightGBM (Ke et al., 2017) and CatBoost (Prokhorenkova et al., 2018) subsequently extended the gradient boosting paradigm with further efficiency gains. LightGBM's leaf-wise tree growth strategy reduces training time significantly on large datasets, while CatBoost's ordered boosting and native categorical feature handling are particularly relevant for CRM data with high-cardinality categorical features such as product type, region, or customer segment.</w:t>
      </w:r>
    </w:p>
    <w:p>
      <w:pPr>
        <w:pStyle w:val="Heading2"/>
        <w:spacing w:after="100" w:before="280"/>
      </w:pPr>
      <w:r>
        <w:rPr>
          <w:rFonts w:ascii="Arial" w:cs="Arial" w:eastAsia="Arial" w:hAnsi="Arial"/>
          <w:b/>
          <w:bCs/>
          <w:color w:val="2E75B6"/>
          <w:sz w:val="26"/>
          <w:szCs w:val="26"/>
        </w:rPr>
        <w:t xml:space="preserve">2.4 Trade-offs: Interpretability vs. Performance</w:t>
      </w:r>
    </w:p>
    <w:p>
      <w:pPr>
        <w:spacing w:after="120" w:before="60" w:line="320"/>
        <w:jc w:val="both"/>
      </w:pPr>
      <w:r>
        <w:rPr>
          <w:rFonts w:ascii="Arial" w:cs="Arial" w:eastAsia="Arial" w:hAnsi="Arial"/>
          <w:color w:val="1A1A1A"/>
          <w:sz w:val="22"/>
          <w:szCs w:val="22"/>
        </w:rPr>
        <w:t xml:space="preserve">A persistent tension in applied churn prediction — particularly in regulated domains — is the trade-off between predictive performance and model interpretability. Tree ensembles with hundreds of trees are inherently difficult to interpret directly; while feature importance scores provide aggregate attribution, they do not explain individual predictions.</w:t>
      </w:r>
    </w:p>
    <w:p>
      <w:pPr>
        <w:spacing w:after="120" w:before="60" w:line="320"/>
        <w:jc w:val="both"/>
      </w:pPr>
      <w:r>
        <w:rPr>
          <w:rFonts w:ascii="Arial" w:cs="Arial" w:eastAsia="Arial" w:hAnsi="Arial"/>
          <w:color w:val="1A1A1A"/>
          <w:sz w:val="22"/>
          <w:szCs w:val="22"/>
        </w:rPr>
        <w:t xml:space="preserve">The emergence of post-hoc interpretability methods has substantially narrowed this gap. SHAP (SHapley Additive exPlanations), introduced by Lundberg &amp; Lee (2017), provides theoretically grounded, locally accurate feature attributions for any model. TreeSHAP, a computationally efficient variant for tree ensembles, enables per-prediction explanations at scale — enabling practitioners to explain why a specific customer was flagged as high-risk without sacrificing model performance.</w:t>
      </w:r>
    </w:p>
    <w:p>
      <w:pPr>
        <w:pStyle w:val="Heading2"/>
        <w:spacing w:after="100" w:before="280"/>
      </w:pPr>
      <w:r>
        <w:rPr>
          <w:rFonts w:ascii="Arial" w:cs="Arial" w:eastAsia="Arial" w:hAnsi="Arial"/>
          <w:b/>
          <w:bCs/>
          <w:color w:val="2E75B6"/>
          <w:sz w:val="26"/>
          <w:szCs w:val="26"/>
        </w:rPr>
        <w:t xml:space="preserve">2.5 Feature Engineering</w:t>
      </w:r>
    </w:p>
    <w:p>
      <w:pPr>
        <w:spacing w:after="120" w:before="60" w:line="320"/>
        <w:jc w:val="both"/>
      </w:pPr>
      <w:r>
        <w:rPr>
          <w:rFonts w:ascii="Arial" w:cs="Arial" w:eastAsia="Arial" w:hAnsi="Arial"/>
          <w:color w:val="1A1A1A"/>
          <w:sz w:val="22"/>
          <w:szCs w:val="22"/>
        </w:rPr>
        <w:t xml:space="preserve">Predictive performance in churn modeling is as much a function of feature quality as algorithm choice. The relevant feature space typically encompasses behavioral features (usage patterns, login frequency, support interactions), contractual features (tenure, plan type, billing history), demographic features (when available and permissible), and derived aggregate features (rolling averages, trend slopes, change-point indicators).</w:t>
      </w:r>
    </w:p>
    <w:p>
      <w:pPr>
        <w:spacing w:after="120" w:before="60" w:line="320"/>
        <w:jc w:val="both"/>
      </w:pPr>
      <w:r>
        <w:rPr>
          <w:rFonts w:ascii="Arial" w:cs="Arial" w:eastAsia="Arial" w:hAnsi="Arial"/>
          <w:color w:val="1A1A1A"/>
          <w:sz w:val="22"/>
          <w:szCs w:val="22"/>
        </w:rPr>
        <w:t xml:space="preserve">Feature engineering for churn prediction must account for temporal dynamics. Features derived from a single point in time are often insufficient to capture the gradual behavioral degradation that precedes churn. Rolling window aggregations — computing statistics over the last 7, 30, and 90 days — provide richer temporal context and are consistently among the most predictive features in industrial churn models.</w:t>
      </w:r>
    </w:p>
    <w:p>
      <w:pPr>
        <w:pStyle w:val="Heading2"/>
        <w:spacing w:after="100" w:before="280"/>
      </w:pPr>
      <w:r>
        <w:rPr>
          <w:rFonts w:ascii="Arial" w:cs="Arial" w:eastAsia="Arial" w:hAnsi="Arial"/>
          <w:b/>
          <w:bCs/>
          <w:color w:val="2E75B6"/>
          <w:sz w:val="26"/>
          <w:szCs w:val="26"/>
        </w:rPr>
        <w:t xml:space="preserve">2.6 Handling Class Imbalance in Practice</w:t>
      </w:r>
    </w:p>
    <w:p>
      <w:pPr>
        <w:spacing w:after="120" w:before="60" w:line="320"/>
        <w:jc w:val="both"/>
      </w:pPr>
      <w:r>
        <w:rPr>
          <w:rFonts w:ascii="Arial" w:cs="Arial" w:eastAsia="Arial" w:hAnsi="Arial"/>
          <w:color w:val="1A1A1A"/>
          <w:sz w:val="22"/>
          <w:szCs w:val="22"/>
        </w:rPr>
        <w:t xml:space="preserve">Building on the foundational discussion in Section 1.4, this section examines practical implementation considerations for imbalance handling in tree ensemble churn models.</w:t>
      </w:r>
    </w:p>
    <w:p>
      <w:pPr>
        <w:pStyle w:val="ListParagraph"/>
        <w:numPr>
          <w:ilvl w:val="0"/>
          <w:numId w:val="2"/>
        </w:numPr>
        <w:spacing w:after="60" w:before="40"/>
      </w:pPr>
      <w:r>
        <w:rPr>
          <w:rFonts w:ascii="Arial" w:cs="Arial" w:eastAsia="Arial" w:hAnsi="Arial"/>
          <w:color w:val="1A1A1A"/>
          <w:sz w:val="22"/>
          <w:szCs w:val="22"/>
        </w:rPr>
        <w:t xml:space="preserve">SMOTE and variants (ADASYN, Borderline-SMOTE) are most effective when the minority class forms coherent clusters in feature space. When churn is driven by diverse and orthogonal behavioral patterns, over-sampling may introduce misleading synthetic samples.</w:t>
      </w:r>
    </w:p>
    <w:p>
      <w:pPr>
        <w:pStyle w:val="ListParagraph"/>
        <w:numPr>
          <w:ilvl w:val="0"/>
          <w:numId w:val="2"/>
        </w:numPr>
        <w:spacing w:after="60" w:before="40"/>
      </w:pPr>
      <w:r>
        <w:rPr>
          <w:rFonts w:ascii="Arial" w:cs="Arial" w:eastAsia="Arial" w:hAnsi="Arial"/>
          <w:color w:val="1A1A1A"/>
          <w:sz w:val="22"/>
          <w:szCs w:val="22"/>
        </w:rPr>
        <w:t xml:space="preserve">Class weighting is generally preferred for gradient boosting methods, where the scale_pos_weight parameter in XGBoost directly adjusts the contribution of minority class instances to the gradient computation.</w:t>
      </w:r>
    </w:p>
    <w:p>
      <w:pPr>
        <w:pStyle w:val="ListParagraph"/>
        <w:numPr>
          <w:ilvl w:val="0"/>
          <w:numId w:val="2"/>
        </w:numPr>
        <w:spacing w:after="60" w:before="40"/>
      </w:pPr>
      <w:r>
        <w:rPr>
          <w:rFonts w:ascii="Arial" w:cs="Arial" w:eastAsia="Arial" w:hAnsi="Arial"/>
          <w:color w:val="1A1A1A"/>
          <w:sz w:val="22"/>
          <w:szCs w:val="22"/>
        </w:rPr>
        <w:t xml:space="preserve">Threshold calibration — adjusting the classification threshold from the default 0.5 — is often more impactful than resampling in practice. By selecting a threshold that optimizes the business-relevant cost function, practitioners can directly encode intervention economics into the decision rule.</w:t>
      </w:r>
    </w:p>
    <w:p>
      <w:pPr>
        <w:spacing w:after="0" w:before="80"/>
      </w:pPr>
      <w:r>
        <w:t xml:space="preserve"/>
      </w:r>
    </w:p>
    <w:p>
      <w:pPr>
        <w:pBdr>
          <w:left w:val="single" w:color="2E75B6" w:sz="18" w:space="12"/>
        </w:pBdr>
        <w:spacing w:after="120" w:before="120"/>
        <w:ind w:left="720" w:right="360"/>
      </w:pPr>
      <w:r>
        <w:rPr>
          <w:rFonts w:ascii="Arial" w:cs="Arial" w:eastAsia="Arial" w:hAnsi="Arial"/>
          <w:b/>
          <w:bCs/>
          <w:color w:val="2E75B6"/>
          <w:sz w:val="22"/>
          <w:szCs w:val="22"/>
        </w:rPr>
        <w:t xml:space="preserve">Practical Recommendation: </w:t>
      </w:r>
      <w:r>
        <w:rPr>
          <w:rFonts w:ascii="Arial" w:cs="Arial" w:eastAsia="Arial" w:hAnsi="Arial"/>
          <w:i/>
          <w:iCs/>
          <w:color w:val="1A1A1A"/>
          <w:sz w:val="22"/>
          <w:szCs w:val="22"/>
        </w:rPr>
        <w:t xml:space="preserve">In production churn systems, class weighting during training combined with threshold calibration against a business cost matrix typically outperforms resampling approaches in both performance and operational simplicity.</w:t>
      </w:r>
    </w:p>
    <w:p>
      <w:pPr>
        <w:spacing w:after="0" w:before="20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3. Model Evaluation in Imbalanced Classification Systems</w:t>
      </w:r>
    </w:p>
    <w:p>
      <w:pPr>
        <w:pStyle w:val="Heading2"/>
        <w:spacing w:after="100" w:before="280"/>
      </w:pPr>
      <w:r>
        <w:rPr>
          <w:rFonts w:ascii="Arial" w:cs="Arial" w:eastAsia="Arial" w:hAnsi="Arial"/>
          <w:b/>
          <w:bCs/>
          <w:color w:val="2E75B6"/>
          <w:sz w:val="26"/>
          <w:szCs w:val="26"/>
        </w:rPr>
        <w:t xml:space="preserve">3.1 The Failure of Accuracy</w:t>
      </w:r>
    </w:p>
    <w:p>
      <w:pPr>
        <w:spacing w:after="120" w:before="60" w:line="320"/>
        <w:jc w:val="both"/>
      </w:pPr>
      <w:r>
        <w:rPr>
          <w:rFonts w:ascii="Arial" w:cs="Arial" w:eastAsia="Arial" w:hAnsi="Arial"/>
          <w:color w:val="1A1A1A"/>
          <w:sz w:val="22"/>
          <w:szCs w:val="22"/>
        </w:rPr>
        <w:t xml:space="preserve">In the presence of class imbalance, accuracy is a misleading performance metric. A classifier that predicts the majority class (non-churn) for every instance achieves accuracy equal to the majority class proportion — potentially 95% or higher — while providing zero predictive value. This phenomenon, sometimes called the accuracy paradox, is a fundamental pitfall in imbalanced classification and must be explicitly addressed in evaluation frameworks.</w:t>
      </w:r>
    </w:p>
    <w:p>
      <w:pPr>
        <w:spacing w:after="120" w:before="60" w:line="320"/>
        <w:jc w:val="both"/>
      </w:pPr>
      <w:r>
        <w:rPr>
          <w:rFonts w:ascii="Arial" w:cs="Arial" w:eastAsia="Arial" w:hAnsi="Arial"/>
          <w:color w:val="1A1A1A"/>
          <w:sz w:val="22"/>
          <w:szCs w:val="22"/>
        </w:rPr>
        <w:t xml:space="preserve">The literature on imbalanced learning (Japkowicz &amp; Stephen, 2002; He &amp; Garcia, 2009) establishes that appropriate evaluation requires metrics that independently assess performance on each class and that explicitly quantify the trade-off between sensitivity (recall of churners) and specificity (correct identification of non-churners).</w:t>
      </w:r>
    </w:p>
    <w:p>
      <w:pPr>
        <w:pStyle w:val="Heading2"/>
        <w:spacing w:after="100" w:before="280"/>
      </w:pPr>
      <w:r>
        <w:rPr>
          <w:rFonts w:ascii="Arial" w:cs="Arial" w:eastAsia="Arial" w:hAnsi="Arial"/>
          <w:b/>
          <w:bCs/>
          <w:color w:val="2E75B6"/>
          <w:sz w:val="26"/>
          <w:szCs w:val="26"/>
        </w:rPr>
        <w:t xml:space="preserve">3.2 ROC-AUC</w:t>
      </w:r>
    </w:p>
    <w:p>
      <w:pPr>
        <w:spacing w:after="120" w:before="60" w:line="320"/>
        <w:jc w:val="both"/>
      </w:pPr>
      <w:r>
        <w:rPr>
          <w:rFonts w:ascii="Arial" w:cs="Arial" w:eastAsia="Arial" w:hAnsi="Arial"/>
          <w:color w:val="1A1A1A"/>
          <w:sz w:val="22"/>
          <w:szCs w:val="22"/>
        </w:rPr>
        <w:t xml:space="preserve">The Receiver Operating Characteristic (ROC) curve plots the True Positive Rate (recall/sensitivity) against the False Positive Rate (1 - specificity) across all possible classification thresholds. The Area Under the ROC Curve (AUC-ROC) provides a single scalar summary of discriminative performance that is threshold-independent and invariant to class distribution.</w:t>
      </w:r>
    </w:p>
    <w:p>
      <w:pPr>
        <w:spacing w:after="120" w:before="60" w:line="320"/>
        <w:jc w:val="both"/>
      </w:pPr>
      <w:r>
        <w:rPr>
          <w:rFonts w:ascii="Arial" w:cs="Arial" w:eastAsia="Arial" w:hAnsi="Arial"/>
          <w:color w:val="1A1A1A"/>
          <w:sz w:val="22"/>
          <w:szCs w:val="22"/>
        </w:rPr>
        <w:t xml:space="preserve">ROC-AUC is the most widely reported metric in churn prediction literature, enabling comparison across studies and datasets. An AUC of 0.5 indicates random performance; values above 0.8 are generally considered good for churn prediction, with values above 0.9 considered excellent. However, ROC-AUC has a known limitation in highly imbalanced settings: because it incorporates True Negatives in the False Positive Rate denominator, it can present an optimistic picture of classifier performance when the negative class is very large.</w:t>
      </w:r>
    </w:p>
    <w:p>
      <w:pPr>
        <w:pStyle w:val="Heading2"/>
        <w:spacing w:after="100" w:before="280"/>
      </w:pPr>
      <w:r>
        <w:rPr>
          <w:rFonts w:ascii="Arial" w:cs="Arial" w:eastAsia="Arial" w:hAnsi="Arial"/>
          <w:b/>
          <w:bCs/>
          <w:color w:val="2E75B6"/>
          <w:sz w:val="26"/>
          <w:szCs w:val="26"/>
        </w:rPr>
        <w:t xml:space="preserve">3.3 Precision-Recall and the PR Curve</w:t>
      </w:r>
    </w:p>
    <w:p>
      <w:pPr>
        <w:spacing w:after="120" w:before="60" w:line="320"/>
        <w:jc w:val="both"/>
      </w:pPr>
      <w:r>
        <w:rPr>
          <w:rFonts w:ascii="Arial" w:cs="Arial" w:eastAsia="Arial" w:hAnsi="Arial"/>
          <w:color w:val="1A1A1A"/>
          <w:sz w:val="22"/>
          <w:szCs w:val="22"/>
        </w:rPr>
        <w:t xml:space="preserve">The Precision-Recall (PR) curve plots Precision (positive predictive value) against Recall (sensitivity) across thresholds. Unlike ROC curves, PR curves focus exclusively on the positive (minority) class and are therefore more informative for imbalanced problems.</w:t>
      </w:r>
    </w:p>
    <w:p>
      <w:pPr>
        <w:spacing w:after="120" w:before="60" w:line="320"/>
        <w:jc w:val="both"/>
      </w:pPr>
      <w:r>
        <w:rPr>
          <w:rFonts w:ascii="Arial" w:cs="Arial" w:eastAsia="Arial" w:hAnsi="Arial"/>
          <w:color w:val="1A1A1A"/>
          <w:sz w:val="22"/>
          <w:szCs w:val="22"/>
        </w:rPr>
        <w:t xml:space="preserve">Davis &amp; Goadrich (2006) formally demonstrated that PR curves provide a more informative picture of classifier performance than ROC curves when positive examples are rare. The Area Under the PR Curve (AUPRC) is increasingly preferred over AUC-ROC as the primary evaluation metric in imbalanced churn classification, particularly when the operational goal is to maximize recall at acceptable precision levels.</w:t>
      </w:r>
    </w:p>
    <w:p>
      <w:pPr>
        <w:pStyle w:val="Heading2"/>
        <w:spacing w:after="100" w:before="280"/>
      </w:pPr>
      <w:r>
        <w:rPr>
          <w:rFonts w:ascii="Arial" w:cs="Arial" w:eastAsia="Arial" w:hAnsi="Arial"/>
          <w:b/>
          <w:bCs/>
          <w:color w:val="2E75B6"/>
          <w:sz w:val="26"/>
          <w:szCs w:val="26"/>
        </w:rPr>
        <w:t xml:space="preserve">3.4 Business-Aware Threshold Selection</w:t>
      </w:r>
    </w:p>
    <w:p>
      <w:pPr>
        <w:spacing w:after="120" w:before="60" w:line="320"/>
        <w:jc w:val="both"/>
      </w:pPr>
      <w:r>
        <w:rPr>
          <w:rFonts w:ascii="Arial" w:cs="Arial" w:eastAsia="Arial" w:hAnsi="Arial"/>
          <w:color w:val="1A1A1A"/>
          <w:sz w:val="22"/>
          <w:szCs w:val="22"/>
        </w:rPr>
        <w:t xml:space="preserve">The binary classification threshold — the probability cutoff above which a customer is labeled as a predicted churner — is a critical operational parameter that directly determines the business impact of the system. Standard practice sets this at 0.5, but this is rarely optimal in churn applications.</w:t>
      </w:r>
    </w:p>
    <w:p>
      <w:pPr>
        <w:spacing w:after="120" w:before="60" w:line="320"/>
        <w:jc w:val="both"/>
      </w:pPr>
      <w:r>
        <w:rPr>
          <w:rFonts w:ascii="Arial" w:cs="Arial" w:eastAsia="Arial" w:hAnsi="Arial"/>
          <w:color w:val="1A1A1A"/>
          <w:sz w:val="22"/>
          <w:szCs w:val="22"/>
        </w:rPr>
        <w:t xml:space="preserve">The optimal threshold is determined by the asymmetric costs of false positives (incorrectly flagging a non-churner for intervention, wasting retention budget) and false negatives (failing to flag an actual churner, losing a customer). The cost-sensitive threshold can be derived from the Precision-Recall curve by selecting the operating point that minimizes expected cost given the intervention economics.</w:t>
      </w:r>
    </w:p>
    <w:p>
      <w:pPr>
        <w:pBdr>
          <w:left w:val="single" w:color="2E75B6" w:sz="18" w:space="12"/>
        </w:pBdr>
        <w:spacing w:after="120" w:before="120"/>
        <w:ind w:left="720" w:right="360"/>
      </w:pPr>
      <w:r>
        <w:rPr>
          <w:rFonts w:ascii="Arial" w:cs="Arial" w:eastAsia="Arial" w:hAnsi="Arial"/>
          <w:b/>
          <w:bCs/>
          <w:color w:val="2E75B6"/>
          <w:sz w:val="22"/>
          <w:szCs w:val="22"/>
        </w:rPr>
        <w:t xml:space="preserve">Critical Insight: </w:t>
      </w:r>
      <w:r>
        <w:rPr>
          <w:rFonts w:ascii="Arial" w:cs="Arial" w:eastAsia="Arial" w:hAnsi="Arial"/>
          <w:i/>
          <w:iCs/>
          <w:color w:val="1A1A1A"/>
          <w:sz w:val="22"/>
          <w:szCs w:val="22"/>
        </w:rPr>
        <w:t xml:space="preserve">In churn prediction, false negatives — missing a customer who churns — are almost always more costly than false positives — incorrectly flagging a loyal customer for intervention. The intervention cost is bounded by the offer value, while the false negative cost is the full customer lifetime value lost to churn. This asymmetry should be explicitly encoded in threshold selection.</w:t>
      </w:r>
    </w:p>
    <w:p>
      <w:pPr>
        <w:pStyle w:val="Heading2"/>
        <w:spacing w:after="100" w:before="280"/>
      </w:pPr>
      <w:r>
        <w:rPr>
          <w:rFonts w:ascii="Arial" w:cs="Arial" w:eastAsia="Arial" w:hAnsi="Arial"/>
          <w:b/>
          <w:bCs/>
          <w:color w:val="2E75B6"/>
          <w:sz w:val="26"/>
          <w:szCs w:val="26"/>
        </w:rPr>
        <w:t xml:space="preserve">3.5 Additional Metrics</w:t>
      </w:r>
    </w:p>
    <w:p>
      <w:pPr>
        <w:spacing w:after="120" w:before="60" w:line="320"/>
        <w:jc w:val="both"/>
      </w:pPr>
      <w:r>
        <w:rPr>
          <w:rFonts w:ascii="Arial" w:cs="Arial" w:eastAsia="Arial" w:hAnsi="Arial"/>
          <w:color w:val="1A1A1A"/>
          <w:sz w:val="22"/>
          <w:szCs w:val="22"/>
        </w:rPr>
        <w:t xml:space="preserve">Beyond AUC and PR metrics, operational churn prediction systems typically monitor:</w:t>
      </w:r>
    </w:p>
    <w:p>
      <w:pPr>
        <w:pStyle w:val="ListParagraph"/>
        <w:numPr>
          <w:ilvl w:val="0"/>
          <w:numId w:val="2"/>
        </w:numPr>
        <w:spacing w:after="60" w:before="40"/>
      </w:pPr>
      <w:r>
        <w:rPr>
          <w:rFonts w:ascii="Arial" w:cs="Arial" w:eastAsia="Arial" w:hAnsi="Arial"/>
          <w:color w:val="1A1A1A"/>
          <w:sz w:val="22"/>
          <w:szCs w:val="22"/>
        </w:rPr>
        <w:t xml:space="preserve">F1-Score: The harmonic mean of precision and recall, providing a balanced single-number summary. Useful for comparing models but less informative than the full PR curve.</w:t>
      </w:r>
    </w:p>
    <w:p>
      <w:pPr>
        <w:pStyle w:val="ListParagraph"/>
        <w:numPr>
          <w:ilvl w:val="0"/>
          <w:numId w:val="2"/>
        </w:numPr>
        <w:spacing w:after="60" w:before="40"/>
      </w:pPr>
      <w:r>
        <w:rPr>
          <w:rFonts w:ascii="Arial" w:cs="Arial" w:eastAsia="Arial" w:hAnsi="Arial"/>
          <w:color w:val="1A1A1A"/>
          <w:sz w:val="22"/>
          <w:szCs w:val="22"/>
        </w:rPr>
        <w:t xml:space="preserve">Lift and Gain Curves: Marketing-oriented metrics that quantify how much more efficiently the model identifies churners compared to random selection. Particularly useful for communicating model value to business stakeholders.</w:t>
      </w:r>
    </w:p>
    <w:p>
      <w:pPr>
        <w:pStyle w:val="ListParagraph"/>
        <w:numPr>
          <w:ilvl w:val="0"/>
          <w:numId w:val="2"/>
        </w:numPr>
        <w:spacing w:after="60" w:before="40"/>
      </w:pPr>
      <w:r>
        <w:rPr>
          <w:rFonts w:ascii="Arial" w:cs="Arial" w:eastAsia="Arial" w:hAnsi="Arial"/>
          <w:color w:val="1A1A1A"/>
          <w:sz w:val="22"/>
          <w:szCs w:val="22"/>
        </w:rPr>
        <w:t xml:space="preserve">Kolmogorov-Smirnov (KS) Statistic: Widely used in credit risk and churn modeling to quantify the maximum separation between the cumulative distributions of predicted scores for churners and non-churners.</w:t>
      </w:r>
    </w:p>
    <w:p>
      <w:pPr>
        <w:pStyle w:val="ListParagraph"/>
        <w:numPr>
          <w:ilvl w:val="0"/>
          <w:numId w:val="2"/>
        </w:numPr>
        <w:spacing w:after="60" w:before="40"/>
      </w:pPr>
      <w:r>
        <w:rPr>
          <w:rFonts w:ascii="Arial" w:cs="Arial" w:eastAsia="Arial" w:hAnsi="Arial"/>
          <w:color w:val="1A1A1A"/>
          <w:sz w:val="22"/>
          <w:szCs w:val="22"/>
        </w:rPr>
        <w:t xml:space="preserve">Calibration: The alignment between predicted probabilities and observed churn rates. Poorly calibrated models produce scores that are useful for ranking but not for threshold-based decisions.</w:t>
      </w:r>
    </w:p>
    <w:p>
      <w:pPr>
        <w:spacing w:after="0" w:before="20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4. Data Drift and Model Decay</w:t>
      </w:r>
    </w:p>
    <w:p>
      <w:pPr>
        <w:pStyle w:val="Heading2"/>
        <w:spacing w:after="100" w:before="280"/>
      </w:pPr>
      <w:r>
        <w:rPr>
          <w:rFonts w:ascii="Arial" w:cs="Arial" w:eastAsia="Arial" w:hAnsi="Arial"/>
          <w:b/>
          <w:bCs/>
          <w:color w:val="2E75B6"/>
          <w:sz w:val="26"/>
          <w:szCs w:val="26"/>
        </w:rPr>
        <w:t xml:space="preserve">4.1 Concept Drift — Definition and Taxonomy</w:t>
      </w:r>
    </w:p>
    <w:p>
      <w:pPr>
        <w:spacing w:after="120" w:before="60" w:line="320"/>
        <w:jc w:val="both"/>
      </w:pPr>
      <w:r>
        <w:rPr>
          <w:rFonts w:ascii="Arial" w:cs="Arial" w:eastAsia="Arial" w:hAnsi="Arial"/>
          <w:color w:val="1A1A1A"/>
          <w:sz w:val="22"/>
          <w:szCs w:val="22"/>
        </w:rPr>
        <w:t xml:space="preserve">Concept drift refers to changes in the statistical relationship between input features and the target variable over time. In the context of churn prediction, concept drift manifests as changes in the behavioral patterns that distinguish churners from non-churners — driven by product changes, competitive dynamics, macroeconomic conditions, or shifts in customer demographics.</w:t>
      </w:r>
    </w:p>
    <w:p>
      <w:pPr>
        <w:spacing w:after="120" w:before="60" w:line="320"/>
        <w:jc w:val="both"/>
      </w:pPr>
      <w:r>
        <w:rPr>
          <w:rFonts w:ascii="Arial" w:cs="Arial" w:eastAsia="Arial" w:hAnsi="Arial"/>
          <w:color w:val="1A1A1A"/>
          <w:sz w:val="22"/>
          <w:szCs w:val="22"/>
        </w:rPr>
        <w:t xml:space="preserve">Gama et al. (2014) provide a comprehensive taxonomy of drift types. Sudden drift occurs when the data distribution changes abruptly — for example, following a major price increase or a competitor product launch. Gradual drift involves a slow transition between distributions, typical of demographic shifts or evolving customer expectations. Recurring drift describes seasonal or cyclical patterns, common in subscription services with annual renewal cycles. Incremental drift is characterized by slow monotonic change in the feature-target relationship.</w:t>
      </w:r>
    </w:p>
    <w:p>
      <w:pPr>
        <w:pStyle w:val="Heading2"/>
        <w:spacing w:after="100" w:before="280"/>
      </w:pPr>
      <w:r>
        <w:rPr>
          <w:rFonts w:ascii="Arial" w:cs="Arial" w:eastAsia="Arial" w:hAnsi="Arial"/>
          <w:b/>
          <w:bCs/>
          <w:color w:val="2E75B6"/>
          <w:sz w:val="26"/>
          <w:szCs w:val="26"/>
        </w:rPr>
        <w:t xml:space="preserve">4.2 Data Drift vs. Concept Drift</w:t>
      </w:r>
    </w:p>
    <w:p>
      <w:pPr>
        <w:spacing w:after="120" w:before="60" w:line="320"/>
        <w:jc w:val="both"/>
      </w:pPr>
      <w:r>
        <w:rPr>
          <w:rFonts w:ascii="Arial" w:cs="Arial" w:eastAsia="Arial" w:hAnsi="Arial"/>
          <w:color w:val="1A1A1A"/>
          <w:sz w:val="22"/>
          <w:szCs w:val="22"/>
        </w:rPr>
        <w:t xml:space="preserve">It is important to distinguish between two related but distinct phenomena. Data drift (also called feature drift or covariate shift) refers to changes in the marginal distribution of input features P(X) without a corresponding change in the conditional distribution P(Y|X). Concept drift, strictly defined, refers to changes in P(Y|X) — the relationship between features and the target.</w:t>
      </w:r>
    </w:p>
    <w:p>
      <w:pPr>
        <w:spacing w:after="120" w:before="60" w:line="320"/>
        <w:jc w:val="both"/>
      </w:pPr>
      <w:r>
        <w:rPr>
          <w:rFonts w:ascii="Arial" w:cs="Arial" w:eastAsia="Arial" w:hAnsi="Arial"/>
          <w:color w:val="1A1A1A"/>
          <w:sz w:val="22"/>
          <w:szCs w:val="22"/>
        </w:rPr>
        <w:t xml:space="preserve">In practice, both forms of drift are relevant to churn prediction. Data drift can degrade model performance even without concept drift — a model trained on customers with monthly plans will underperform when applied to a population that has shifted toward annual subscriptions, even if the churn behavior of each plan type has not changed. Concept drift represents a more fundamental challenge, as the feature-target relationship itself has changed and retraining on new data is required.</w:t>
      </w:r>
    </w:p>
    <w:p>
      <w:pPr>
        <w:pStyle w:val="Heading2"/>
        <w:spacing w:after="100" w:before="280"/>
      </w:pPr>
      <w:r>
        <w:rPr>
          <w:rFonts w:ascii="Arial" w:cs="Arial" w:eastAsia="Arial" w:hAnsi="Arial"/>
          <w:b/>
          <w:bCs/>
          <w:color w:val="2E75B6"/>
          <w:sz w:val="26"/>
          <w:szCs w:val="26"/>
        </w:rPr>
        <w:t xml:space="preserve">4.3 Drift Detection Methods</w:t>
      </w:r>
    </w:p>
    <w:p>
      <w:pPr>
        <w:spacing w:after="120" w:before="60" w:line="320"/>
        <w:jc w:val="both"/>
      </w:pPr>
      <w:r>
        <w:rPr>
          <w:rFonts w:ascii="Arial" w:cs="Arial" w:eastAsia="Arial" w:hAnsi="Arial"/>
          <w:color w:val="1A1A1A"/>
          <w:sz w:val="22"/>
          <w:szCs w:val="22"/>
        </w:rPr>
        <w:t xml:space="preserve">The literature on drift detection is extensive, with approaches spanning statistical hypothesis testing, distribution divergence measures, and model performance monitoring.</w:t>
      </w:r>
    </w:p>
    <w:p>
      <w:pPr>
        <w:pStyle w:val="Heading3"/>
        <w:spacing w:after="80" w:before="200"/>
      </w:pPr>
      <w:r>
        <w:rPr>
          <w:rFonts w:ascii="Arial" w:cs="Arial" w:eastAsia="Arial" w:hAnsi="Arial"/>
          <w:b/>
          <w:bCs/>
          <w:color w:val="404040"/>
          <w:sz w:val="24"/>
          <w:szCs w:val="24"/>
        </w:rPr>
        <w:t xml:space="preserve">Statistical Tests</w:t>
      </w:r>
    </w:p>
    <w:p>
      <w:pPr>
        <w:spacing w:after="120" w:before="60" w:line="320"/>
        <w:jc w:val="both"/>
      </w:pPr>
      <w:r>
        <w:rPr>
          <w:rFonts w:ascii="Arial" w:cs="Arial" w:eastAsia="Arial" w:hAnsi="Arial"/>
          <w:color w:val="1A1A1A"/>
          <w:sz w:val="22"/>
          <w:szCs w:val="22"/>
        </w:rPr>
        <w:t xml:space="preserve">The Kolmogorov-Smirnov (KS) test is one of the most widely used methods for detecting univariate distributional shift. By comparing the empirical cumulative distribution functions of a feature in two time windows (reference and current), the KS statistic quantifies the maximum deviation. A statistically significant KS test indicates that the feature distribution has changed.</w:t>
      </w:r>
    </w:p>
    <w:p>
      <w:pPr>
        <w:spacing w:after="120" w:before="60" w:line="320"/>
        <w:jc w:val="both"/>
      </w:pPr>
      <w:r>
        <w:rPr>
          <w:rFonts w:ascii="Arial" w:cs="Arial" w:eastAsia="Arial" w:hAnsi="Arial"/>
          <w:color w:val="1A1A1A"/>
          <w:sz w:val="22"/>
          <w:szCs w:val="22"/>
        </w:rPr>
        <w:t xml:space="preserve">The Population Stability Index (PSI), originating in credit risk modeling, provides a scalar measure of distribution shift relative to a reference population. PSI values below 0.1 indicate minimal shift, values between 0.1 and 0.25 indicate moderate shift requiring investigation, and values above 0.25 indicate significant shift requiring model action.</w:t>
      </w:r>
    </w:p>
    <w:p>
      <w:pPr>
        <w:pStyle w:val="Heading3"/>
        <w:spacing w:after="80" w:before="200"/>
      </w:pPr>
      <w:r>
        <w:rPr>
          <w:rFonts w:ascii="Arial" w:cs="Arial" w:eastAsia="Arial" w:hAnsi="Arial"/>
          <w:b/>
          <w:bCs/>
          <w:color w:val="404040"/>
          <w:sz w:val="24"/>
          <w:szCs w:val="24"/>
        </w:rPr>
        <w:t xml:space="preserve">Model Performance Monitoring</w:t>
      </w:r>
    </w:p>
    <w:p>
      <w:pPr>
        <w:spacing w:after="120" w:before="60" w:line="320"/>
        <w:jc w:val="both"/>
      </w:pPr>
      <w:r>
        <w:rPr>
          <w:rFonts w:ascii="Arial" w:cs="Arial" w:eastAsia="Arial" w:hAnsi="Arial"/>
          <w:color w:val="1A1A1A"/>
          <w:sz w:val="22"/>
          <w:szCs w:val="22"/>
        </w:rPr>
        <w:t xml:space="preserve">When ground truth labels are available (with a lag), direct performance monitoring provides the most actionable drift signal. Monitoring rolling AUC-ROC and AUPRC over time windows provides early warning of model degradation attributable to drift. Control chart methods — particularly CUSUM (Cumulative Sum) — can be applied to performance metrics to detect statistically significant deterioration above a noise floor.</w:t>
      </w:r>
    </w:p>
    <w:p>
      <w:pPr>
        <w:pStyle w:val="Heading3"/>
        <w:spacing w:after="80" w:before="200"/>
      </w:pPr>
      <w:r>
        <w:rPr>
          <w:rFonts w:ascii="Arial" w:cs="Arial" w:eastAsia="Arial" w:hAnsi="Arial"/>
          <w:b/>
          <w:bCs/>
          <w:color w:val="404040"/>
          <w:sz w:val="24"/>
          <w:szCs w:val="24"/>
        </w:rPr>
        <w:t xml:space="preserve">Adaptive and Ensemble Methods</w:t>
      </w:r>
    </w:p>
    <w:p>
      <w:pPr>
        <w:spacing w:after="120" w:before="60" w:line="320"/>
        <w:jc w:val="both"/>
      </w:pPr>
      <w:r>
        <w:rPr>
          <w:rFonts w:ascii="Arial" w:cs="Arial" w:eastAsia="Arial" w:hAnsi="Arial"/>
          <w:color w:val="1A1A1A"/>
          <w:sz w:val="22"/>
          <w:szCs w:val="22"/>
        </w:rPr>
        <w:t xml:space="preserve">Adaptive windowing methods (ADWIN, proposed by Bifet &amp; Gavalda, 2007) dynamically adjust the training window size in response to detected drift, automatically excluding stale data from the model's training set. Ensemble-based drift detection methods maintain multiple models trained on different time windows and detect drift by monitoring divergence between their predictions.</w:t>
      </w:r>
    </w:p>
    <w:p>
      <w:pPr>
        <w:pStyle w:val="Heading2"/>
        <w:spacing w:after="100" w:before="280"/>
      </w:pPr>
      <w:r>
        <w:rPr>
          <w:rFonts w:ascii="Arial" w:cs="Arial" w:eastAsia="Arial" w:hAnsi="Arial"/>
          <w:b/>
          <w:bCs/>
          <w:color w:val="2E75B6"/>
          <w:sz w:val="26"/>
          <w:szCs w:val="26"/>
        </w:rPr>
        <w:t xml:space="preserve">4.4 Impact on Churn Prediction Systems</w:t>
      </w:r>
    </w:p>
    <w:p>
      <w:pPr>
        <w:spacing w:after="120" w:before="60" w:line="320"/>
        <w:jc w:val="both"/>
      </w:pPr>
      <w:r>
        <w:rPr>
          <w:rFonts w:ascii="Arial" w:cs="Arial" w:eastAsia="Arial" w:hAnsi="Arial"/>
          <w:color w:val="1A1A1A"/>
          <w:sz w:val="22"/>
          <w:szCs w:val="22"/>
        </w:rPr>
        <w:t xml:space="preserve">The practical implication of drift for churn prediction is model decay — the degradation of predictive performance over time as the world diverges from the training distribution. In industries with rapid competitive dynamics (telecom, SaaS), model decay can be significant within months of deployment.</w:t>
      </w:r>
    </w:p>
    <w:p>
      <w:pPr>
        <w:spacing w:after="120" w:before="60" w:line="320"/>
        <w:jc w:val="both"/>
      </w:pPr>
      <w:r>
        <w:rPr>
          <w:rFonts w:ascii="Arial" w:cs="Arial" w:eastAsia="Arial" w:hAnsi="Arial"/>
          <w:color w:val="1A1A1A"/>
          <w:sz w:val="22"/>
          <w:szCs w:val="22"/>
        </w:rPr>
        <w:t xml:space="preserve">Monitoring pipelines must therefore track not only model performance metrics but also the distributional stability of key input features. An observed shift in, for example, the distribution of days-since-last-login or average monthly spend can serve as an early warning signal of impending performance degradation — enabling proactive retraining before model performance deteriorates to an operationally problematic level.</w:t>
      </w:r>
    </w:p>
    <w:p>
      <w:pPr>
        <w:pBdr>
          <w:left w:val="single" w:color="2E75B6" w:sz="18" w:space="12"/>
        </w:pBdr>
        <w:spacing w:after="120" w:before="120"/>
        <w:ind w:left="720" w:right="360"/>
      </w:pPr>
      <w:r>
        <w:rPr>
          <w:rFonts w:ascii="Arial" w:cs="Arial" w:eastAsia="Arial" w:hAnsi="Arial"/>
          <w:b/>
          <w:bCs/>
          <w:color w:val="2E75B6"/>
          <w:sz w:val="22"/>
          <w:szCs w:val="22"/>
        </w:rPr>
        <w:t xml:space="preserve">System Design Implication: </w:t>
      </w:r>
      <w:r>
        <w:rPr>
          <w:rFonts w:ascii="Arial" w:cs="Arial" w:eastAsia="Arial" w:hAnsi="Arial"/>
          <w:i/>
          <w:iCs/>
          <w:color w:val="1A1A1A"/>
          <w:sz w:val="22"/>
          <w:szCs w:val="22"/>
        </w:rPr>
        <w:t xml:space="preserve">Drift detection should be treated as a first-class component of the ML system, not an afterthought. Production churn systems should monitor both input feature distributions and prediction score distributions continuously, triggering automated retraining pipelines when drift thresholds are exceeded.</w:t>
      </w:r>
    </w:p>
    <w:p>
      <w:pPr>
        <w:spacing w:after="0" w:before="20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5. MLOps and Automated Retraining</w:t>
      </w:r>
    </w:p>
    <w:p>
      <w:pPr>
        <w:pStyle w:val="Heading2"/>
        <w:spacing w:after="100" w:before="280"/>
      </w:pPr>
      <w:r>
        <w:rPr>
          <w:rFonts w:ascii="Arial" w:cs="Arial" w:eastAsia="Arial" w:hAnsi="Arial"/>
          <w:b/>
          <w:bCs/>
          <w:color w:val="2E75B6"/>
          <w:sz w:val="26"/>
          <w:szCs w:val="26"/>
        </w:rPr>
        <w:t xml:space="preserve">5.1 The MLOps Paradigm</w:t>
      </w:r>
    </w:p>
    <w:p>
      <w:pPr>
        <w:spacing w:after="120" w:before="60" w:line="320"/>
        <w:jc w:val="both"/>
      </w:pPr>
      <w:r>
        <w:rPr>
          <w:rFonts w:ascii="Arial" w:cs="Arial" w:eastAsia="Arial" w:hAnsi="Arial"/>
          <w:color w:val="1A1A1A"/>
          <w:sz w:val="22"/>
          <w:szCs w:val="22"/>
        </w:rPr>
        <w:t xml:space="preserve">MLOps — a portmanteau of Machine Learning and Operations — refers to the set of practices, tools, and cultural norms required to deploy and maintain machine learning systems reliably in production. The term draws directly from the DevOps movement in software engineering, extending its principles of automation, continuous integration, and observability to the unique challenges of ML systems.</w:t>
      </w:r>
    </w:p>
    <w:p>
      <w:pPr>
        <w:spacing w:after="120" w:before="60" w:line="320"/>
        <w:jc w:val="both"/>
      </w:pPr>
      <w:r>
        <w:rPr>
          <w:rFonts w:ascii="Arial" w:cs="Arial" w:eastAsia="Arial" w:hAnsi="Arial"/>
          <w:color w:val="1A1A1A"/>
          <w:sz w:val="22"/>
          <w:szCs w:val="22"/>
        </w:rPr>
        <w:t xml:space="preserve">Sculley et al.'s (2015) landmark paper 'Hidden Technical Debt in Machine Learning Systems' identified the systemic challenges of production ML: data dependencies, feedback loops, pipeline glue code, and configuration complexity. Their analysis established the foundational motivation for MLOps as a discipline — the recognition that the code implementing a model is often a small fraction of the total engineering effort, dwarfed by the surrounding infrastructure.</w:t>
      </w:r>
    </w:p>
    <w:p>
      <w:pPr>
        <w:spacing w:after="120" w:before="60" w:line="320"/>
        <w:jc w:val="both"/>
      </w:pPr>
      <w:r>
        <w:rPr>
          <w:rFonts w:ascii="Arial" w:cs="Arial" w:eastAsia="Arial" w:hAnsi="Arial"/>
          <w:color w:val="1A1A1A"/>
          <w:sz w:val="22"/>
          <w:szCs w:val="22"/>
        </w:rPr>
        <w:t xml:space="preserve">The principle that models are not static artifacts but continuously evolving systems is perhaps the most important conceptual contribution of the MLOps literature. A model deployed without monitoring, versioning, and retraining infrastructure will inevitably decay as the world changes.</w:t>
      </w:r>
    </w:p>
    <w:p>
      <w:pPr>
        <w:pStyle w:val="Heading2"/>
        <w:spacing w:after="100" w:before="280"/>
      </w:pPr>
      <w:r>
        <w:rPr>
          <w:rFonts w:ascii="Arial" w:cs="Arial" w:eastAsia="Arial" w:hAnsi="Arial"/>
          <w:b/>
          <w:bCs/>
          <w:color w:val="2E75B6"/>
          <w:sz w:val="26"/>
          <w:szCs w:val="26"/>
        </w:rPr>
        <w:t xml:space="preserve">5.2 Experiment Tracking — MLflow</w:t>
      </w:r>
    </w:p>
    <w:p>
      <w:pPr>
        <w:spacing w:after="120" w:before="60" w:line="320"/>
        <w:jc w:val="both"/>
      </w:pPr>
      <w:r>
        <w:rPr>
          <w:rFonts w:ascii="Arial" w:cs="Arial" w:eastAsia="Arial" w:hAnsi="Arial"/>
          <w:color w:val="1A1A1A"/>
          <w:sz w:val="22"/>
          <w:szCs w:val="22"/>
        </w:rPr>
        <w:t xml:space="preserve">MLflow (Zaharia et al., 2018) is an open-source platform for managing the ML lifecycle, originally developed at Databricks. Its core abstraction is the experiment run: a logged record of parameters, metrics, artifacts, and model versions associated with a training execution.</w:t>
      </w:r>
    </w:p>
    <w:p>
      <w:pPr>
        <w:spacing w:after="120" w:before="60" w:line="320"/>
        <w:jc w:val="both"/>
      </w:pPr>
      <w:r>
        <w:rPr>
          <w:rFonts w:ascii="Arial" w:cs="Arial" w:eastAsia="Arial" w:hAnsi="Arial"/>
          <w:color w:val="1A1A1A"/>
          <w:sz w:val="22"/>
          <w:szCs w:val="22"/>
        </w:rPr>
        <w:t xml:space="preserve">In the context of churn model development, MLflow's experiment tracking capability enables systematic comparison of model variants — across different algorithms, feature sets, imbalance handling strategies, and hyperparameter configurations. By logging all experiments to a central tracking server, teams maintain a reproducible record of the model development process and can identify which configuration produced the best-performing deployment candidate.</w:t>
      </w:r>
    </w:p>
    <w:p>
      <w:pPr>
        <w:spacing w:after="120" w:before="60" w:line="320"/>
        <w:jc w:val="both"/>
      </w:pPr>
      <w:r>
        <w:rPr>
          <w:rFonts w:ascii="Arial" w:cs="Arial" w:eastAsia="Arial" w:hAnsi="Arial"/>
          <w:color w:val="1A1A1A"/>
          <w:sz w:val="22"/>
          <w:szCs w:val="22"/>
        </w:rPr>
        <w:t xml:space="preserve">MLflow's model registry provides a versioned catalog of trained models with lifecycle management states (Staging, Production, Archived). This enables controlled promotion workflows: a new model trained on recent data can be validated in Staging before being promoted to Production, with automatic fallback to the previous version if performance criteria are not met.</w:t>
      </w:r>
    </w:p>
    <w:p>
      <w:pPr>
        <w:pStyle w:val="Heading2"/>
        <w:spacing w:after="100" w:before="280"/>
      </w:pPr>
      <w:r>
        <w:rPr>
          <w:rFonts w:ascii="Arial" w:cs="Arial" w:eastAsia="Arial" w:hAnsi="Arial"/>
          <w:b/>
          <w:bCs/>
          <w:color w:val="2E75B6"/>
          <w:sz w:val="26"/>
          <w:szCs w:val="26"/>
        </w:rPr>
        <w:t xml:space="preserve">5.3 Azure Machine Learning</w:t>
      </w:r>
    </w:p>
    <w:p>
      <w:pPr>
        <w:spacing w:after="120" w:before="60" w:line="320"/>
        <w:jc w:val="both"/>
      </w:pPr>
      <w:r>
        <w:rPr>
          <w:rFonts w:ascii="Arial" w:cs="Arial" w:eastAsia="Arial" w:hAnsi="Arial"/>
          <w:color w:val="1A1A1A"/>
          <w:sz w:val="22"/>
          <w:szCs w:val="22"/>
        </w:rPr>
        <w:t xml:space="preserve">Azure Machine Learning (Azure ML) provides a cloud-native MLOps platform that encompasses the full ML lifecycle: data ingestion, experiment tracking, automated training, model registry, deployment, and monitoring. Its Designer interface supports no-code pipeline construction, while its SDK supports programmatic pipeline definition for production workflows.</w:t>
      </w:r>
    </w:p>
    <w:p>
      <w:pPr>
        <w:spacing w:after="120" w:before="60" w:line="320"/>
        <w:jc w:val="both"/>
      </w:pPr>
      <w:r>
        <w:rPr>
          <w:rFonts w:ascii="Arial" w:cs="Arial" w:eastAsia="Arial" w:hAnsi="Arial"/>
          <w:color w:val="1A1A1A"/>
          <w:sz w:val="22"/>
          <w:szCs w:val="22"/>
        </w:rPr>
        <w:t xml:space="preserve">Azure ML Pipelines represent the operationalization of the retraining workflow as a scheduled, versioned, and monitored computational graph. A typical churn retraining pipeline includes stages for data extraction and validation, feature engineering, model training, evaluation against a holdout set, model registration (conditional on meeting performance thresholds), and deployment to an inference endpoint.</w:t>
      </w:r>
    </w:p>
    <w:p>
      <w:pPr>
        <w:spacing w:after="120" w:before="60" w:line="320"/>
        <w:jc w:val="both"/>
      </w:pPr>
      <w:r>
        <w:rPr>
          <w:rFonts w:ascii="Arial" w:cs="Arial" w:eastAsia="Arial" w:hAnsi="Arial"/>
          <w:color w:val="1A1A1A"/>
          <w:sz w:val="22"/>
          <w:szCs w:val="22"/>
        </w:rPr>
        <w:t xml:space="preserve">Azure ML's integration with Azure Monitor and Application Insights provides operational telemetry for deployed models — tracking request latency, throughput, and prediction distributions in production. This monitoring data feeds back into the drift detection pipeline, completing the operational loop.</w:t>
      </w:r>
    </w:p>
    <w:p>
      <w:pPr>
        <w:pStyle w:val="Heading2"/>
        <w:spacing w:after="100" w:before="280"/>
      </w:pPr>
      <w:r>
        <w:rPr>
          <w:rFonts w:ascii="Arial" w:cs="Arial" w:eastAsia="Arial" w:hAnsi="Arial"/>
          <w:b/>
          <w:bCs/>
          <w:color w:val="2E75B6"/>
          <w:sz w:val="26"/>
          <w:szCs w:val="26"/>
        </w:rPr>
        <w:t xml:space="preserve">5.4 CI/CD for Machine Learning</w:t>
      </w:r>
    </w:p>
    <w:p>
      <w:pPr>
        <w:spacing w:after="120" w:before="60" w:line="320"/>
        <w:jc w:val="both"/>
      </w:pPr>
      <w:r>
        <w:rPr>
          <w:rFonts w:ascii="Arial" w:cs="Arial" w:eastAsia="Arial" w:hAnsi="Arial"/>
          <w:color w:val="1A1A1A"/>
          <w:sz w:val="22"/>
          <w:szCs w:val="22"/>
        </w:rPr>
        <w:t xml:space="preserve">Continuous Integration and Continuous Deployment (CI/CD) pipelines, foundational in software engineering, require significant adaptation for ML systems. A CI pipeline for an ML system must validate not only code correctness but also data quality, feature schema stability, training convergence, and model performance — a substantially richer set of checks than code unit tests.</w:t>
      </w:r>
    </w:p>
    <w:p>
      <w:pPr>
        <w:spacing w:after="120" w:before="60" w:line="320"/>
        <w:jc w:val="both"/>
      </w:pPr>
      <w:r>
        <w:rPr>
          <w:rFonts w:ascii="Arial" w:cs="Arial" w:eastAsia="Arial" w:hAnsi="Arial"/>
          <w:color w:val="1A1A1A"/>
          <w:sz w:val="22"/>
          <w:szCs w:val="22"/>
        </w:rPr>
        <w:t xml:space="preserve">Continuous Training (CT) — a concept specific to ML — extends the CI/CD paradigm with automated, triggered retraining. Rather than manually initiating model retraining, CT pipelines monitor drift metrics and performance signals and automatically execute retraining when predefined thresholds are crossed. This removes the operational burden of manual model maintenance and reduces the latency between drift detection and model update.</w:t>
      </w:r>
    </w:p>
    <w:p>
      <w:pPr>
        <w:spacing w:after="120" w:before="60" w:line="320"/>
        <w:jc w:val="both"/>
      </w:pPr>
      <w:r>
        <w:rPr>
          <w:rFonts w:ascii="Arial" w:cs="Arial" w:eastAsia="Arial" w:hAnsi="Arial"/>
          <w:color w:val="1A1A1A"/>
          <w:sz w:val="22"/>
          <w:szCs w:val="22"/>
        </w:rPr>
        <w:t xml:space="preserve">Version control for ML must encompass not only model code but data versioning (DVC is a widely used tool), pipeline configurations, and evaluation criteria. Without versioning of these artifacts, reproducing or auditing a historical model state is impossible — a significant risk in regulated industries.</w:t>
      </w:r>
    </w:p>
    <w:p>
      <w:pPr>
        <w:pStyle w:val="Heading2"/>
        <w:spacing w:after="100" w:before="280"/>
      </w:pPr>
      <w:r>
        <w:rPr>
          <w:rFonts w:ascii="Arial" w:cs="Arial" w:eastAsia="Arial" w:hAnsi="Arial"/>
          <w:b/>
          <w:bCs/>
          <w:color w:val="2E75B6"/>
          <w:sz w:val="26"/>
          <w:szCs w:val="26"/>
        </w:rPr>
        <w:t xml:space="preserve">5.5 Pipeline Automation and Orchestration</w:t>
      </w:r>
    </w:p>
    <w:p>
      <w:pPr>
        <w:spacing w:after="120" w:before="60" w:line="320"/>
        <w:jc w:val="both"/>
      </w:pPr>
      <w:r>
        <w:rPr>
          <w:rFonts w:ascii="Arial" w:cs="Arial" w:eastAsia="Arial" w:hAnsi="Arial"/>
          <w:color w:val="1A1A1A"/>
          <w:sz w:val="22"/>
          <w:szCs w:val="22"/>
        </w:rPr>
        <w:t xml:space="preserve">End-to-end ML pipelines for churn prediction encompass data extraction from CRM and billing systems, feature computation and storage in a feature store, model training and validation, model registration and deployment, and monitoring dashboard updates. Orchestrating these steps reliably — with error handling, retry logic, and alerting — requires dedicated workflow management infrastructure.</w:t>
      </w:r>
    </w:p>
    <w:p>
      <w:pPr>
        <w:spacing w:after="120" w:before="60" w:line="320"/>
        <w:jc w:val="both"/>
      </w:pPr>
      <w:r>
        <w:rPr>
          <w:rFonts w:ascii="Arial" w:cs="Arial" w:eastAsia="Arial" w:hAnsi="Arial"/>
          <w:color w:val="1A1A1A"/>
          <w:sz w:val="22"/>
          <w:szCs w:val="22"/>
        </w:rPr>
        <w:t xml:space="preserve">Apache Airflow is the dominant open-source workflow orchestrator in the data engineering space, enabling DAG-based pipeline definition with rich scheduling and monitoring capabilities. Azure ML Pipelines, Kubeflow Pipelines, and Prefect provide ML-specific orchestration with tighter integration with training infrastructure and model registries.</w:t>
      </w:r>
    </w:p>
    <w:p>
      <w:pPr>
        <w:spacing w:after="0" w:before="20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6. Real-Time Prediction Systems</w:t>
      </w:r>
    </w:p>
    <w:p>
      <w:pPr>
        <w:pStyle w:val="Heading2"/>
        <w:spacing w:after="100" w:before="280"/>
      </w:pPr>
      <w:r>
        <w:rPr>
          <w:rFonts w:ascii="Arial" w:cs="Arial" w:eastAsia="Arial" w:hAnsi="Arial"/>
          <w:b/>
          <w:bCs/>
          <w:color w:val="2E75B6"/>
          <w:sz w:val="26"/>
          <w:szCs w:val="26"/>
        </w:rPr>
        <w:t xml:space="preserve">6.1 Batch vs. Real-Time Inference</w:t>
      </w:r>
    </w:p>
    <w:p>
      <w:pPr>
        <w:spacing w:after="120" w:before="60" w:line="320"/>
        <w:jc w:val="both"/>
      </w:pPr>
      <w:r>
        <w:rPr>
          <w:rFonts w:ascii="Arial" w:cs="Arial" w:eastAsia="Arial" w:hAnsi="Arial"/>
          <w:color w:val="1A1A1A"/>
          <w:sz w:val="22"/>
          <w:szCs w:val="22"/>
        </w:rPr>
        <w:t xml:space="preserve">The serving architecture of a churn prediction system must be designed to match the operational requirements of the retention intervention workflow. Two primary inference paradigms exist: batch inference and real-time (online) inference.</w:t>
      </w:r>
    </w:p>
    <w:p>
      <w:pPr>
        <w:spacing w:after="120" w:before="60" w:line="320"/>
        <w:jc w:val="both"/>
      </w:pPr>
      <w:r>
        <w:rPr>
          <w:rFonts w:ascii="Arial" w:cs="Arial" w:eastAsia="Arial" w:hAnsi="Arial"/>
          <w:color w:val="1A1A1A"/>
          <w:sz w:val="22"/>
          <w:szCs w:val="22"/>
        </w:rPr>
        <w:t xml:space="preserve">Batch inference processes a population of customers on a scheduled basis — typically daily or weekly — producing a ranked risk list that drives outbound retention campaigns. Batch inference is computationally efficient, can leverage distributed processing for large populations, and can be implemented with simpler infrastructure. Its primary limitation is latency: risk scores are stale relative to the actual time of prediction, potentially missing customers who exhibit rapid behavioral deterioration between batch runs.</w:t>
      </w:r>
    </w:p>
    <w:p>
      <w:pPr>
        <w:spacing w:after="120" w:before="60" w:line="320"/>
        <w:jc w:val="both"/>
      </w:pPr>
      <w:r>
        <w:rPr>
          <w:rFonts w:ascii="Arial" w:cs="Arial" w:eastAsia="Arial" w:hAnsi="Arial"/>
          <w:color w:val="1A1A1A"/>
          <w:sz w:val="22"/>
          <w:szCs w:val="22"/>
        </w:rPr>
        <w:t xml:space="preserve">Real-time (online) inference generates a risk score for a specific customer at the moment of a triggering event — a support call, a login after a long absence, a failed payment. This enables proactive intervention at the precise moment of highest relevance, maximizing the impact of retention actions. The infrastructure requirements are substantially more demanding: the serving system must provide low-latency responses (typically sub-100ms), maintain high availability, and scale elastically with event volume.</w:t>
      </w:r>
    </w:p>
    <w:p>
      <w:pPr>
        <w:pBdr>
          <w:left w:val="single" w:color="2E75B6" w:sz="18" w:space="12"/>
        </w:pBdr>
        <w:spacing w:after="120" w:before="120"/>
        <w:ind w:left="720" w:right="360"/>
      </w:pPr>
      <w:r>
        <w:rPr>
          <w:rFonts w:ascii="Arial" w:cs="Arial" w:eastAsia="Arial" w:hAnsi="Arial"/>
          <w:b/>
          <w:bCs/>
          <w:color w:val="2E75B6"/>
          <w:sz w:val="22"/>
          <w:szCs w:val="22"/>
        </w:rPr>
        <w:t xml:space="preserve">Architectural Decision: </w:t>
      </w:r>
      <w:r>
        <w:rPr>
          <w:rFonts w:ascii="Arial" w:cs="Arial" w:eastAsia="Arial" w:hAnsi="Arial"/>
          <w:i/>
          <w:iCs/>
          <w:color w:val="1A1A1A"/>
          <w:sz w:val="22"/>
          <w:szCs w:val="22"/>
        </w:rPr>
        <w:t xml:space="preserve">The choice between batch and real-time inference is not binary. Many production churn systems use a hybrid architecture: batch scoring provides a baseline risk list for outbound campaigns, while a real-time scoring API enriches inbound interaction systems with up-to-the-moment risk context.</w:t>
      </w:r>
    </w:p>
    <w:p>
      <w:pPr>
        <w:pStyle w:val="Heading2"/>
        <w:spacing w:after="100" w:before="280"/>
      </w:pPr>
      <w:r>
        <w:rPr>
          <w:rFonts w:ascii="Arial" w:cs="Arial" w:eastAsia="Arial" w:hAnsi="Arial"/>
          <w:b/>
          <w:bCs/>
          <w:color w:val="2E75B6"/>
          <w:sz w:val="26"/>
          <w:szCs w:val="26"/>
        </w:rPr>
        <w:t xml:space="preserve">6.2 REST APIs for ML Serving</w:t>
      </w:r>
    </w:p>
    <w:p>
      <w:pPr>
        <w:spacing w:after="120" w:before="60" w:line="320"/>
        <w:jc w:val="both"/>
      </w:pPr>
      <w:r>
        <w:rPr>
          <w:rFonts w:ascii="Arial" w:cs="Arial" w:eastAsia="Arial" w:hAnsi="Arial"/>
          <w:color w:val="1A1A1A"/>
          <w:sz w:val="22"/>
          <w:szCs w:val="22"/>
        </w:rPr>
        <w:t xml:space="preserve">The dominant pattern for deploying ML models for real-time inference is a REST API wrapping the model's prediction logic. A REST endpoint accepts a JSON-encoded feature vector representing a customer, invokes the model's predict_proba() method, and returns a JSON response containing the churn probability and optionally a risk tier label and SHAP-based explanation.</w:t>
      </w:r>
    </w:p>
    <w:p>
      <w:pPr>
        <w:spacing w:after="120" w:before="60" w:line="320"/>
        <w:jc w:val="both"/>
      </w:pPr>
      <w:r>
        <w:rPr>
          <w:rFonts w:ascii="Arial" w:cs="Arial" w:eastAsia="Arial" w:hAnsi="Arial"/>
          <w:color w:val="1A1A1A"/>
          <w:sz w:val="22"/>
          <w:szCs w:val="22"/>
        </w:rPr>
        <w:t xml:space="preserve">FastAPI has emerged as the preferred framework for Python-based ML serving due to its high throughput, native async support, and automatic OpenAPI documentation generation. Alternative serving frameworks include TensorFlow Serving (optimized for deep learning models), Triton Inference Server (NVIDIA's multi-framework serving platform), and BentoML (a framework specifically designed for ML model serving with built-in preprocessing pipelines).</w:t>
      </w:r>
    </w:p>
    <w:p>
      <w:pPr>
        <w:spacing w:after="120" w:before="60" w:line="320"/>
        <w:jc w:val="both"/>
      </w:pPr>
      <w:r>
        <w:rPr>
          <w:rFonts w:ascii="Arial" w:cs="Arial" w:eastAsia="Arial" w:hAnsi="Arial"/>
          <w:color w:val="1A1A1A"/>
          <w:sz w:val="22"/>
          <w:szCs w:val="22"/>
        </w:rPr>
        <w:t xml:space="preserve">API design for ML serving must address feature preprocessing: the API must apply identical transformations to input features as were applied during training. This is best achieved by serializing the entire inference pipeline — preprocessing, feature encoding, and model — as a single artifact using scikit-learn Pipelines or ONNX, rather than maintaining separate preprocessing code in the serving layer. Serialization drift — divergence between training and serving preprocessing — is a common source of silent model failures in production.</w:t>
      </w:r>
    </w:p>
    <w:p>
      <w:pPr>
        <w:pStyle w:val="Heading2"/>
        <w:spacing w:after="100" w:before="280"/>
      </w:pPr>
      <w:r>
        <w:rPr>
          <w:rFonts w:ascii="Arial" w:cs="Arial" w:eastAsia="Arial" w:hAnsi="Arial"/>
          <w:b/>
          <w:bCs/>
          <w:color w:val="2E75B6"/>
          <w:sz w:val="26"/>
          <w:szCs w:val="26"/>
        </w:rPr>
        <w:t xml:space="preserve">6.3 Containerization with Docker</w:t>
      </w:r>
    </w:p>
    <w:p>
      <w:pPr>
        <w:spacing w:after="120" w:before="60" w:line="320"/>
        <w:jc w:val="both"/>
      </w:pPr>
      <w:r>
        <w:rPr>
          <w:rFonts w:ascii="Arial" w:cs="Arial" w:eastAsia="Arial" w:hAnsi="Arial"/>
          <w:color w:val="1A1A1A"/>
          <w:sz w:val="22"/>
          <w:szCs w:val="22"/>
        </w:rPr>
        <w:t xml:space="preserve">Docker has become the standard packaging mechanism for ML model serving applications. A Docker container encapsulates the Python runtime, library dependencies, model artifact, serving framework, and application code into a portable, reproducible unit that can be deployed identically across development, staging, and production environments.</w:t>
      </w:r>
    </w:p>
    <w:p>
      <w:pPr>
        <w:spacing w:after="120" w:before="60" w:line="320"/>
        <w:jc w:val="both"/>
      </w:pPr>
      <w:r>
        <w:rPr>
          <w:rFonts w:ascii="Arial" w:cs="Arial" w:eastAsia="Arial" w:hAnsi="Arial"/>
          <w:color w:val="1A1A1A"/>
          <w:sz w:val="22"/>
          <w:szCs w:val="22"/>
        </w:rPr>
        <w:t xml:space="preserve">Containerization addresses one of the most significant operational risks in ML deployment: environment inconsistency. The notorious 'it works on my machine' failure mode — where a model that performs correctly in development behaves differently in production due to library version differences or system configuration variations — is eliminated by ensuring that the exact environment used for development is reproduced in production.</w:t>
      </w:r>
    </w:p>
    <w:p>
      <w:pPr>
        <w:spacing w:after="120" w:before="60" w:line="320"/>
        <w:jc w:val="both"/>
      </w:pPr>
      <w:r>
        <w:rPr>
          <w:rFonts w:ascii="Arial" w:cs="Arial" w:eastAsia="Arial" w:hAnsi="Arial"/>
          <w:color w:val="1A1A1A"/>
          <w:sz w:val="22"/>
          <w:szCs w:val="22"/>
        </w:rPr>
        <w:t xml:space="preserve">In cloud-native architectures, Docker containers are orchestrated by Kubernetes, enabling automatic horizontal scaling of the inference service in response to load, rolling deployments of new model versions with zero downtime, and automated health monitoring with restart on failure.</w:t>
      </w:r>
    </w:p>
    <w:p>
      <w:pPr>
        <w:pStyle w:val="Heading2"/>
        <w:spacing w:after="100" w:before="280"/>
      </w:pPr>
      <w:r>
        <w:rPr>
          <w:rFonts w:ascii="Arial" w:cs="Arial" w:eastAsia="Arial" w:hAnsi="Arial"/>
          <w:b/>
          <w:bCs/>
          <w:color w:val="2E75B6"/>
          <w:sz w:val="26"/>
          <w:szCs w:val="26"/>
        </w:rPr>
        <w:t xml:space="preserve">6.4 Streaming Data Ingestion</w:t>
      </w:r>
    </w:p>
    <w:p>
      <w:pPr>
        <w:spacing w:after="120" w:before="60" w:line="320"/>
        <w:jc w:val="both"/>
      </w:pPr>
      <w:r>
        <w:rPr>
          <w:rFonts w:ascii="Arial" w:cs="Arial" w:eastAsia="Arial" w:hAnsi="Arial"/>
          <w:color w:val="1A1A1A"/>
          <w:sz w:val="22"/>
          <w:szCs w:val="22"/>
        </w:rPr>
        <w:t xml:space="preserve">In architectures that support real-time inference, the event stream that triggers prediction requests must be ingested and processed with appropriate latency guarantees. Apache Kafka has become the de facto standard for high-throughput, fault-tolerant event streaming in data-intensive architectures. Customer behavioral events — clicks, transactions, support interactions — are published to Kafka topics and consumed by feature computation and model serving services.</w:t>
      </w:r>
    </w:p>
    <w:p>
      <w:pPr>
        <w:spacing w:after="120" w:before="60" w:line="320"/>
        <w:jc w:val="both"/>
      </w:pPr>
      <w:r>
        <w:rPr>
          <w:rFonts w:ascii="Arial" w:cs="Arial" w:eastAsia="Arial" w:hAnsi="Arial"/>
          <w:color w:val="1A1A1A"/>
          <w:sz w:val="22"/>
          <w:szCs w:val="22"/>
        </w:rPr>
        <w:t xml:space="preserve">The Lambda Architecture (Marz &amp; Warren, 2015) provides a conceptual framework for combining batch and streaming processing: a batch layer maintains a comprehensive historical view of customer behavior for model training, while a speed layer processes real-time events for low-latency feature updates and predictions. The serving layer combines both views to produce the most current possible risk assessment.</w:t>
      </w:r>
    </w:p>
    <w:p>
      <w:pPr>
        <w:pStyle w:val="Heading2"/>
        <w:spacing w:after="100" w:before="280"/>
      </w:pPr>
      <w:r>
        <w:rPr>
          <w:rFonts w:ascii="Arial" w:cs="Arial" w:eastAsia="Arial" w:hAnsi="Arial"/>
          <w:b/>
          <w:bCs/>
          <w:color w:val="2E75B6"/>
          <w:sz w:val="26"/>
          <w:szCs w:val="26"/>
        </w:rPr>
        <w:t xml:space="preserve">6.5 Key Trade-offs: Latency, Accuracy, Scalability, and Cost</w:t>
      </w:r>
    </w:p>
    <w:p>
      <w:pPr>
        <w:spacing w:after="120" w:before="60" w:line="320"/>
        <w:jc w:val="both"/>
      </w:pPr>
      <w:r>
        <w:rPr>
          <w:rFonts w:ascii="Arial" w:cs="Arial" w:eastAsia="Arial" w:hAnsi="Arial"/>
          <w:color w:val="1A1A1A"/>
          <w:sz w:val="22"/>
          <w:szCs w:val="22"/>
        </w:rPr>
        <w:t xml:space="preserve">The design of real-time ML serving systems involves navigating a set of fundamental trade-offs that must be explicitly addressed in system design.</w:t>
      </w:r>
    </w:p>
    <w:p>
      <w:pPr>
        <w:pStyle w:val="ListParagraph"/>
        <w:numPr>
          <w:ilvl w:val="0"/>
          <w:numId w:val="2"/>
        </w:numPr>
        <w:spacing w:after="60" w:before="40"/>
      </w:pPr>
      <w:r>
        <w:rPr>
          <w:rFonts w:ascii="Arial" w:cs="Arial" w:eastAsia="Arial" w:hAnsi="Arial"/>
          <w:color w:val="1A1A1A"/>
          <w:sz w:val="22"/>
          <w:szCs w:val="22"/>
        </w:rPr>
        <w:t xml:space="preserve">Latency vs. Accuracy: More complex models (larger ensembles, deeper trees) generally achieve higher predictive accuracy but require more computation at inference time. Model compression techniques — tree pruning, quantization, knowledge distillation — can reduce inference latency at the cost of modest accuracy degradation.</w:t>
      </w:r>
    </w:p>
    <w:p>
      <w:pPr>
        <w:pStyle w:val="ListParagraph"/>
        <w:numPr>
          <w:ilvl w:val="0"/>
          <w:numId w:val="2"/>
        </w:numPr>
        <w:spacing w:after="60" w:before="40"/>
      </w:pPr>
      <w:r>
        <w:rPr>
          <w:rFonts w:ascii="Arial" w:cs="Arial" w:eastAsia="Arial" w:hAnsi="Arial"/>
          <w:color w:val="1A1A1A"/>
          <w:sz w:val="22"/>
          <w:szCs w:val="22"/>
        </w:rPr>
        <w:t xml:space="preserve">Scalability vs. Cost: Horizontal scaling of inference services provides elastic capacity but increases infrastructure cost. Cost optimization strategies include model caching, batching of near-simultaneous requests, and serverless deployment patterns that scale to zero during low-traffic periods.</w:t>
      </w:r>
    </w:p>
    <w:p>
      <w:pPr>
        <w:pStyle w:val="ListParagraph"/>
        <w:numPr>
          <w:ilvl w:val="0"/>
          <w:numId w:val="2"/>
        </w:numPr>
        <w:spacing w:after="60" w:before="40"/>
      </w:pPr>
      <w:r>
        <w:rPr>
          <w:rFonts w:ascii="Arial" w:cs="Arial" w:eastAsia="Arial" w:hAnsi="Arial"/>
          <w:color w:val="1A1A1A"/>
          <w:sz w:val="22"/>
          <w:szCs w:val="22"/>
        </w:rPr>
        <w:t xml:space="preserve">Feature Freshness vs. Latency: Computing features in real-time from raw event streams produces the most current signals but adds latency to the prediction path. Pre-computing and caching features in a feature store — updated asynchronously on an event-driven basis — can dramatically reduce prediction latency at the cost of slight feature staleness.</w:t>
      </w:r>
    </w:p>
    <w:p>
      <w:pPr>
        <w:pStyle w:val="ListParagraph"/>
        <w:numPr>
          <w:ilvl w:val="0"/>
          <w:numId w:val="2"/>
        </w:numPr>
        <w:spacing w:after="60" w:before="40"/>
      </w:pPr>
      <w:r>
        <w:rPr>
          <w:rFonts w:ascii="Arial" w:cs="Arial" w:eastAsia="Arial" w:hAnsi="Arial"/>
          <w:color w:val="1A1A1A"/>
          <w:sz w:val="22"/>
          <w:szCs w:val="22"/>
        </w:rPr>
        <w:t xml:space="preserve">Consistency vs. Availability: In distributed serving architectures, the CAP theorem applies: under network partition, the system must choose between consistency (all requests see the same model version) and availability (all requests receive a response). For churn prediction, availability is typically prioritized — serving a slightly stale prediction is preferable to returning an error.</w:t>
      </w:r>
    </w:p>
    <w:p>
      <w:pPr>
        <w:spacing w:after="0" w:before="20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7. Synthesis and Research Gaps</w:t>
      </w:r>
    </w:p>
    <w:p>
      <w:pPr>
        <w:pStyle w:val="Heading2"/>
        <w:spacing w:after="100" w:before="280"/>
      </w:pPr>
      <w:r>
        <w:rPr>
          <w:rFonts w:ascii="Arial" w:cs="Arial" w:eastAsia="Arial" w:hAnsi="Arial"/>
          <w:b/>
          <w:bCs/>
          <w:color w:val="2E75B6"/>
          <w:sz w:val="26"/>
          <w:szCs w:val="26"/>
        </w:rPr>
        <w:t xml:space="preserve">7.1 Cross-Pillar Dependencies</w:t>
      </w:r>
    </w:p>
    <w:p>
      <w:pPr>
        <w:spacing w:after="120" w:before="60" w:line="320"/>
        <w:jc w:val="both"/>
      </w:pPr>
      <w:r>
        <w:rPr>
          <w:rFonts w:ascii="Arial" w:cs="Arial" w:eastAsia="Arial" w:hAnsi="Arial"/>
          <w:color w:val="1A1A1A"/>
          <w:sz w:val="22"/>
          <w:szCs w:val="22"/>
        </w:rPr>
        <w:t xml:space="preserve">The three pillars of this literature review are deeply interdependent in ways that the individual literature streams do not always make explicit. Streaming data ingestion (Pillar C) directly affects the feature freshness available to the prediction model (Pillar A), while the behavioral shifts captured by the streaming layer are the primary driver of concept drift (Pillar B). Model evaluation metrics designed for static imbalanced classification (Pillar A) must be adapted for continuous monitoring in production environments (Pillar B). The containerization patterns from Pillar C enable the continuous deployment workflows described in Pillar B.</w:t>
      </w:r>
    </w:p>
    <w:p>
      <w:pPr>
        <w:spacing w:after="120" w:before="60" w:line="320"/>
        <w:jc w:val="both"/>
      </w:pPr>
      <w:r>
        <w:rPr>
          <w:rFonts w:ascii="Arial" w:cs="Arial" w:eastAsia="Arial" w:hAnsi="Arial"/>
          <w:color w:val="1A1A1A"/>
          <w:sz w:val="22"/>
          <w:szCs w:val="22"/>
        </w:rPr>
        <w:t xml:space="preserve">A key synthesis insight is that the most important design decisions in a production churn prediction system are architectural rather than algorithmic. The choice between XGBoost and LightGBM, or between SMOTE and class weighting, has a measurable but bounded impact on performance. The decision to implement real-time versus batch inference, or to deploy with or without automated drift detection and retraining, has a potentially unbounded impact on the long-term value delivered by the system.</w:t>
      </w:r>
    </w:p>
    <w:p>
      <w:pPr>
        <w:pStyle w:val="Heading2"/>
        <w:spacing w:after="100" w:before="280"/>
      </w:pPr>
      <w:r>
        <w:rPr>
          <w:rFonts w:ascii="Arial" w:cs="Arial" w:eastAsia="Arial" w:hAnsi="Arial"/>
          <w:b/>
          <w:bCs/>
          <w:color w:val="2E75B6"/>
          <w:sz w:val="26"/>
          <w:szCs w:val="26"/>
        </w:rPr>
        <w:t xml:space="preserve">7.2 Identified Research Gaps</w:t>
      </w:r>
    </w:p>
    <w:p>
      <w:pPr>
        <w:spacing w:after="120" w:before="60" w:line="320"/>
        <w:jc w:val="both"/>
      </w:pPr>
      <w:r>
        <w:rPr>
          <w:rFonts w:ascii="Arial" w:cs="Arial" w:eastAsia="Arial" w:hAnsi="Arial"/>
          <w:color w:val="1A1A1A"/>
          <w:sz w:val="22"/>
          <w:szCs w:val="22"/>
        </w:rPr>
        <w:t xml:space="preserve">Several gaps in the literature are relevant to the design of modern churn prediction systems:</w:t>
      </w:r>
    </w:p>
    <w:p>
      <w:pPr>
        <w:pStyle w:val="ListParagraph"/>
        <w:numPr>
          <w:ilvl w:val="0"/>
          <w:numId w:val="2"/>
        </w:numPr>
        <w:spacing w:after="60" w:before="40"/>
      </w:pPr>
      <w:r>
        <w:rPr>
          <w:rFonts w:ascii="Arial" w:cs="Arial" w:eastAsia="Arial" w:hAnsi="Arial"/>
          <w:color w:val="1A1A1A"/>
          <w:sz w:val="22"/>
          <w:szCs w:val="22"/>
        </w:rPr>
        <w:t xml:space="preserve">End-to-end evaluation frameworks: Most academic work evaluates churn models on static benchmark datasets. There is limited literature on evaluating models in streaming production environments with continuous retraining, where the relevant metric is cumulative business impact over time rather than point-in-time predictive accuracy.</w:t>
      </w:r>
    </w:p>
    <w:p>
      <w:pPr>
        <w:pStyle w:val="ListParagraph"/>
        <w:numPr>
          <w:ilvl w:val="0"/>
          <w:numId w:val="2"/>
        </w:numPr>
        <w:spacing w:after="60" w:before="40"/>
      </w:pPr>
      <w:r>
        <w:rPr>
          <w:rFonts w:ascii="Arial" w:cs="Arial" w:eastAsia="Arial" w:hAnsi="Arial"/>
          <w:color w:val="1A1A1A"/>
          <w:sz w:val="22"/>
          <w:szCs w:val="22"/>
        </w:rPr>
        <w:t xml:space="preserve">Drift detection for tabular business data: Drift detection literature is dominated by methods developed for computer vision and NLP, where input distributions are well-characterized. Methods specifically designed for the tabular, high-cardinality, and irregularly distributed features common in CRM data are less developed.</w:t>
      </w:r>
    </w:p>
    <w:p>
      <w:pPr>
        <w:pStyle w:val="ListParagraph"/>
        <w:numPr>
          <w:ilvl w:val="0"/>
          <w:numId w:val="2"/>
        </w:numPr>
        <w:spacing w:after="60" w:before="40"/>
      </w:pPr>
      <w:r>
        <w:rPr>
          <w:rFonts w:ascii="Arial" w:cs="Arial" w:eastAsia="Arial" w:hAnsi="Arial"/>
          <w:color w:val="1A1A1A"/>
          <w:sz w:val="22"/>
          <w:szCs w:val="22"/>
        </w:rPr>
        <w:t xml:space="preserve">Cost-aware automation: The literature on automated retraining focuses on technical triggers (drift thresholds, performance degradation) without incorporating business cost considerations. A framework that triggers retraining based on expected business impact — accounting for the cost of retraining versus the cost of continued degradation — represents an open research opportunity.</w:t>
      </w:r>
    </w:p>
    <w:p>
      <w:pPr>
        <w:pStyle w:val="Heading2"/>
        <w:spacing w:after="100" w:before="280"/>
      </w:pPr>
      <w:r>
        <w:rPr>
          <w:rFonts w:ascii="Arial" w:cs="Arial" w:eastAsia="Arial" w:hAnsi="Arial"/>
          <w:b/>
          <w:bCs/>
          <w:color w:val="2E75B6"/>
          <w:sz w:val="26"/>
          <w:szCs w:val="26"/>
        </w:rPr>
        <w:t xml:space="preserve">7.3 Concluding Remarks</w:t>
      </w:r>
    </w:p>
    <w:p>
      <w:pPr>
        <w:spacing w:after="120" w:before="60" w:line="320"/>
        <w:jc w:val="both"/>
      </w:pPr>
      <w:r>
        <w:rPr>
          <w:rFonts w:ascii="Arial" w:cs="Arial" w:eastAsia="Arial" w:hAnsi="Arial"/>
          <w:color w:val="1A1A1A"/>
          <w:sz w:val="22"/>
          <w:szCs w:val="22"/>
        </w:rPr>
        <w:t xml:space="preserve">The literature across these three pillars converges on a consistent theme: customer churn prediction is a systems problem, not a modeling problem. The algorithms for building accurate churn classifiers are well-established and widely available. The differentiating capability of a production churn prediction system lies in the infrastructure that surrounds the model — the pipelines that keep it current, the monitoring that detects its degradation, the serving layer that delivers its predictions at the moment of greatest impact, and the feedback loops that close the gap between prediction and observed outcome.</w:t>
      </w:r>
    </w:p>
    <w:p>
      <w:pPr>
        <w:spacing w:after="120" w:before="60" w:line="320"/>
        <w:jc w:val="both"/>
      </w:pPr>
      <w:r>
        <w:rPr>
          <w:rFonts w:ascii="Arial" w:cs="Arial" w:eastAsia="Arial" w:hAnsi="Arial"/>
          <w:color w:val="1A1A1A"/>
          <w:sz w:val="22"/>
          <w:szCs w:val="22"/>
        </w:rPr>
        <w:t xml:space="preserve">This review has aimed to map the relevant literature across these dimensions, providing a foundation for both the technical implementation and the academic positioning of a comprehensive, production-grade churn prediction system.</w:t>
      </w:r>
    </w:p>
    <w:p>
      <w:pPr>
        <w:spacing w:after="0" w:before="20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References</w:t>
      </w:r>
    </w:p>
    <w:p>
      <w:pPr>
        <w:spacing w:after="120" w:before="60" w:line="320"/>
        <w:jc w:val="both"/>
      </w:pPr>
      <w:r>
        <w:rPr>
          <w:rFonts w:ascii="Arial" w:cs="Arial" w:eastAsia="Arial" w:hAnsi="Arial"/>
          <w:color w:val="1A1A1A"/>
          <w:sz w:val="22"/>
          <w:szCs w:val="22"/>
        </w:rPr>
        <w:t xml:space="preserve">Bifet, A., &amp; Gavalda, R. (2007). Learning from time-changing data with adaptive windowing. In Proceedings of the 2007 SIAM International Conference on Data Mining.</w:t>
      </w:r>
    </w:p>
    <w:p>
      <w:pPr>
        <w:spacing w:after="120" w:before="60" w:line="320"/>
        <w:jc w:val="both"/>
      </w:pPr>
      <w:r>
        <w:rPr>
          <w:rFonts w:ascii="Arial" w:cs="Arial" w:eastAsia="Arial" w:hAnsi="Arial"/>
          <w:color w:val="1A1A1A"/>
          <w:sz w:val="22"/>
          <w:szCs w:val="22"/>
        </w:rPr>
        <w:t xml:space="preserve">Blattberg, R. C., Getz, G., &amp; Thomas, J. S. (2001). Customer equity: Building and managing relationships as valuable assets. Harvard Business School Press.</w:t>
      </w:r>
    </w:p>
    <w:p>
      <w:pPr>
        <w:spacing w:after="120" w:before="60" w:line="320"/>
        <w:jc w:val="both"/>
      </w:pPr>
      <w:r>
        <w:rPr>
          <w:rFonts w:ascii="Arial" w:cs="Arial" w:eastAsia="Arial" w:hAnsi="Arial"/>
          <w:color w:val="1A1A1A"/>
          <w:sz w:val="22"/>
          <w:szCs w:val="22"/>
        </w:rPr>
        <w:t xml:space="preserve">Breiman, L. (2001). Random forests. Machine Learning, 45(1), 5-32.</w:t>
      </w:r>
    </w:p>
    <w:p>
      <w:pPr>
        <w:spacing w:after="120" w:before="60" w:line="320"/>
        <w:jc w:val="both"/>
      </w:pPr>
      <w:r>
        <w:rPr>
          <w:rFonts w:ascii="Arial" w:cs="Arial" w:eastAsia="Arial" w:hAnsi="Arial"/>
          <w:color w:val="1A1A1A"/>
          <w:sz w:val="22"/>
          <w:szCs w:val="22"/>
        </w:rPr>
        <w:t xml:space="preserve">Chawla, N. V., Bowyer, K. W., Hall, L. O., &amp; Kegelmeyer, W. P. (2002). SMOTE: Synthetic minority over-sampling technique. Journal of Artificial Intelligence Research, 16, 321-357.</w:t>
      </w:r>
    </w:p>
    <w:p>
      <w:pPr>
        <w:spacing w:after="120" w:before="60" w:line="320"/>
        <w:jc w:val="both"/>
      </w:pPr>
      <w:r>
        <w:rPr>
          <w:rFonts w:ascii="Arial" w:cs="Arial" w:eastAsia="Arial" w:hAnsi="Arial"/>
          <w:color w:val="1A1A1A"/>
          <w:sz w:val="22"/>
          <w:szCs w:val="22"/>
        </w:rPr>
        <w:t xml:space="preserve">Chen, T., &amp; Guestrin, C. (2016). XGBoost: A scalable tree boosting system. In Proceedings of the 22nd ACM SIGKDD International Conference on Knowledge Discovery and Data Mining.</w:t>
      </w:r>
    </w:p>
    <w:p>
      <w:pPr>
        <w:spacing w:after="120" w:before="60" w:line="320"/>
        <w:jc w:val="both"/>
      </w:pPr>
      <w:r>
        <w:rPr>
          <w:rFonts w:ascii="Arial" w:cs="Arial" w:eastAsia="Arial" w:hAnsi="Arial"/>
          <w:color w:val="1A1A1A"/>
          <w:sz w:val="22"/>
          <w:szCs w:val="22"/>
        </w:rPr>
        <w:t xml:space="preserve">Coussement, K., &amp; Van den Poel, D. (2008). Churn prediction in subscription services: An application of support vector machines while comparing two parameter-selection techniques. Expert Systems with Applications, 34(1), 313-327.</w:t>
      </w:r>
    </w:p>
    <w:p>
      <w:pPr>
        <w:spacing w:after="120" w:before="60" w:line="320"/>
        <w:jc w:val="both"/>
      </w:pPr>
      <w:r>
        <w:rPr>
          <w:rFonts w:ascii="Arial" w:cs="Arial" w:eastAsia="Arial" w:hAnsi="Arial"/>
          <w:color w:val="1A1A1A"/>
          <w:sz w:val="22"/>
          <w:szCs w:val="22"/>
        </w:rPr>
        <w:t xml:space="preserve">Davis, J., &amp; Goadrich, M. (2006). The relationship between Precision-Recall and ROC curves. In Proceedings of the 23rd International Conference on Machine Learning.</w:t>
      </w:r>
    </w:p>
    <w:p>
      <w:pPr>
        <w:spacing w:after="120" w:before="60" w:line="320"/>
        <w:jc w:val="both"/>
      </w:pPr>
      <w:r>
        <w:rPr>
          <w:rFonts w:ascii="Arial" w:cs="Arial" w:eastAsia="Arial" w:hAnsi="Arial"/>
          <w:color w:val="1A1A1A"/>
          <w:sz w:val="22"/>
          <w:szCs w:val="22"/>
        </w:rPr>
        <w:t xml:space="preserve">Fernandez-Delgado, M., Cernadas, E., Barro, S., &amp; Amorim, D. (2014). Do we need hundreds of classifiers to solve real world classification problems? Journal of Machine Learning Research, 15(1), 3133-3181.</w:t>
      </w:r>
    </w:p>
    <w:p>
      <w:pPr>
        <w:spacing w:after="120" w:before="60" w:line="320"/>
        <w:jc w:val="both"/>
      </w:pPr>
      <w:r>
        <w:rPr>
          <w:rFonts w:ascii="Arial" w:cs="Arial" w:eastAsia="Arial" w:hAnsi="Arial"/>
          <w:color w:val="1A1A1A"/>
          <w:sz w:val="22"/>
          <w:szCs w:val="22"/>
        </w:rPr>
        <w:t xml:space="preserve">Friedman, J. H. (2001). Greedy function approximation: A gradient boosting machine. Annals of Statistics, 29(5), 1189-1232.</w:t>
      </w:r>
    </w:p>
    <w:p>
      <w:pPr>
        <w:spacing w:after="120" w:before="60" w:line="320"/>
        <w:jc w:val="both"/>
      </w:pPr>
      <w:r>
        <w:rPr>
          <w:rFonts w:ascii="Arial" w:cs="Arial" w:eastAsia="Arial" w:hAnsi="Arial"/>
          <w:color w:val="1A1A1A"/>
          <w:sz w:val="22"/>
          <w:szCs w:val="22"/>
        </w:rPr>
        <w:t xml:space="preserve">Gama, J., Zliobaite, I., Bifet, A., Pechenizkiy, M., &amp; Bouchachia, A. (2014). A survey on concept drift adaptation. ACM Computing Surveys, 46(4), 44.</w:t>
      </w:r>
    </w:p>
    <w:p>
      <w:pPr>
        <w:spacing w:after="120" w:before="60" w:line="320"/>
        <w:jc w:val="both"/>
      </w:pPr>
      <w:r>
        <w:rPr>
          <w:rFonts w:ascii="Arial" w:cs="Arial" w:eastAsia="Arial" w:hAnsi="Arial"/>
          <w:color w:val="1A1A1A"/>
          <w:sz w:val="22"/>
          <w:szCs w:val="22"/>
        </w:rPr>
        <w:t xml:space="preserve">He, H., &amp; Garcia, E. A. (2009). Learning from imbalanced data. IEEE Transactions on Knowledge and Data Engineering, 21(9), 1263-1284.</w:t>
      </w:r>
    </w:p>
    <w:p>
      <w:pPr>
        <w:spacing w:after="120" w:before="60" w:line="320"/>
        <w:jc w:val="both"/>
      </w:pPr>
      <w:r>
        <w:rPr>
          <w:rFonts w:ascii="Arial" w:cs="Arial" w:eastAsia="Arial" w:hAnsi="Arial"/>
          <w:color w:val="1A1A1A"/>
          <w:sz w:val="22"/>
          <w:szCs w:val="22"/>
        </w:rPr>
        <w:t xml:space="preserve">Hughes, A. M. (1994). Strategic database marketing. Probus Publishing.</w:t>
      </w:r>
    </w:p>
    <w:p>
      <w:pPr>
        <w:spacing w:after="120" w:before="60" w:line="320"/>
        <w:jc w:val="both"/>
      </w:pPr>
      <w:r>
        <w:rPr>
          <w:rFonts w:ascii="Arial" w:cs="Arial" w:eastAsia="Arial" w:hAnsi="Arial"/>
          <w:color w:val="1A1A1A"/>
          <w:sz w:val="22"/>
          <w:szCs w:val="22"/>
        </w:rPr>
        <w:t xml:space="preserve">Japkowicz, N., &amp; Stephen, S. (2002). The class imbalance problem: A systematic study. Intelligent Data Analysis, 6(5), 429-449.</w:t>
      </w:r>
    </w:p>
    <w:p>
      <w:pPr>
        <w:spacing w:after="120" w:before="60" w:line="320"/>
        <w:jc w:val="both"/>
      </w:pPr>
      <w:r>
        <w:rPr>
          <w:rFonts w:ascii="Arial" w:cs="Arial" w:eastAsia="Arial" w:hAnsi="Arial"/>
          <w:color w:val="1A1A1A"/>
          <w:sz w:val="22"/>
          <w:szCs w:val="22"/>
        </w:rPr>
        <w:t xml:space="preserve">Ke, G., Meng, Q., Finley, T., Wang, T., Chen, W., Ma, W., ... &amp; Liu, T. Y. (2017). LightGBM: A highly efficient gradient boosting decision tree. Advances in Neural Information Processing Systems, 30.</w:t>
      </w:r>
    </w:p>
    <w:p>
      <w:pPr>
        <w:spacing w:after="120" w:before="60" w:line="320"/>
        <w:jc w:val="both"/>
      </w:pPr>
      <w:r>
        <w:rPr>
          <w:rFonts w:ascii="Arial" w:cs="Arial" w:eastAsia="Arial" w:hAnsi="Arial"/>
          <w:color w:val="1A1A1A"/>
          <w:sz w:val="22"/>
          <w:szCs w:val="22"/>
        </w:rPr>
        <w:t xml:space="preserve">Lariviere, B., &amp; Van den Poel, D. (2005). Predicting customer retention and profitability by using random forests and regression forests techniques. Expert Systems with Applications, 29(2), 472-484.</w:t>
      </w:r>
    </w:p>
    <w:p>
      <w:pPr>
        <w:spacing w:after="120" w:before="60" w:line="320"/>
        <w:jc w:val="both"/>
      </w:pPr>
      <w:r>
        <w:rPr>
          <w:rFonts w:ascii="Arial" w:cs="Arial" w:eastAsia="Arial" w:hAnsi="Arial"/>
          <w:color w:val="1A1A1A"/>
          <w:sz w:val="22"/>
          <w:szCs w:val="22"/>
        </w:rPr>
        <w:t xml:space="preserve">Lundberg, S. M., &amp; Lee, S. I. (2017). A unified approach to interpreting model predictions. Advances in Neural Information Processing Systems, 30.</w:t>
      </w:r>
    </w:p>
    <w:p>
      <w:pPr>
        <w:spacing w:after="120" w:before="60" w:line="320"/>
        <w:jc w:val="both"/>
      </w:pPr>
      <w:r>
        <w:rPr>
          <w:rFonts w:ascii="Arial" w:cs="Arial" w:eastAsia="Arial" w:hAnsi="Arial"/>
          <w:color w:val="1A1A1A"/>
          <w:sz w:val="22"/>
          <w:szCs w:val="22"/>
        </w:rPr>
        <w:t xml:space="preserve">Marz, N., &amp; Warren, J. (2015). Big data: Principles and best practices of scalable real-time data systems. Manning Publications.</w:t>
      </w:r>
    </w:p>
    <w:p>
      <w:pPr>
        <w:spacing w:after="120" w:before="60" w:line="320"/>
        <w:jc w:val="both"/>
      </w:pPr>
      <w:r>
        <w:rPr>
          <w:rFonts w:ascii="Arial" w:cs="Arial" w:eastAsia="Arial" w:hAnsi="Arial"/>
          <w:color w:val="1A1A1A"/>
          <w:sz w:val="22"/>
          <w:szCs w:val="22"/>
        </w:rPr>
        <w:t xml:space="preserve">Ngai, E. W. T., Xiu, L., &amp; Chau, D. C. K. (2009). Application of data mining techniques in customer relationship management: A literature review and classification. Expert Systems with Applications, 36(2), 2592-2602.</w:t>
      </w:r>
    </w:p>
    <w:p>
      <w:pPr>
        <w:spacing w:after="120" w:before="60" w:line="320"/>
        <w:jc w:val="both"/>
      </w:pPr>
      <w:r>
        <w:rPr>
          <w:rFonts w:ascii="Arial" w:cs="Arial" w:eastAsia="Arial" w:hAnsi="Arial"/>
          <w:color w:val="1A1A1A"/>
          <w:sz w:val="22"/>
          <w:szCs w:val="22"/>
        </w:rPr>
        <w:t xml:space="preserve">Prokhorenkova, L., Gusev, G., Vorobev, A., Dorogush, A. V., &amp; Gulin, A. (2018). CatBoost: Unbiased boosting with categorical features. Advances in Neural Information Processing Systems, 31.</w:t>
      </w:r>
    </w:p>
    <w:p>
      <w:pPr>
        <w:spacing w:after="120" w:before="60" w:line="320"/>
        <w:jc w:val="both"/>
      </w:pPr>
      <w:r>
        <w:rPr>
          <w:rFonts w:ascii="Arial" w:cs="Arial" w:eastAsia="Arial" w:hAnsi="Arial"/>
          <w:color w:val="1A1A1A"/>
          <w:sz w:val="22"/>
          <w:szCs w:val="22"/>
        </w:rPr>
        <w:t xml:space="preserve">Reichheld, F. F., &amp; Sasser, W. E. (1990). Zero defections: Quality comes to services. Harvard Business Review, 68(5), 105-111.</w:t>
      </w:r>
    </w:p>
    <w:p>
      <w:pPr>
        <w:spacing w:after="120" w:before="60" w:line="320"/>
        <w:jc w:val="both"/>
      </w:pPr>
      <w:r>
        <w:rPr>
          <w:rFonts w:ascii="Arial" w:cs="Arial" w:eastAsia="Arial" w:hAnsi="Arial"/>
          <w:color w:val="1A1A1A"/>
          <w:sz w:val="22"/>
          <w:szCs w:val="22"/>
        </w:rPr>
        <w:t xml:space="preserve">Sculley, D., Holt, G., Golovin, D., Davydov, E., Phillips, T., Ebner, D., ... &amp; Dennison, D. (2015). Hidden technical debt in machine learning systems. Advances in Neural Information Processing Systems, 28.</w:t>
      </w:r>
    </w:p>
    <w:p>
      <w:pPr>
        <w:spacing w:after="120" w:before="60" w:line="320"/>
        <w:jc w:val="both"/>
      </w:pPr>
      <w:r>
        <w:rPr>
          <w:rFonts w:ascii="Arial" w:cs="Arial" w:eastAsia="Arial" w:hAnsi="Arial"/>
          <w:color w:val="1A1A1A"/>
          <w:sz w:val="22"/>
          <w:szCs w:val="22"/>
        </w:rPr>
        <w:t xml:space="preserve">Verbeke, W., Dejaeger, K., Martens, D., Hur, J., &amp; Baesens, B. (2012). New insights into churn prediction in the telecommunication sector: A profit driven data mining approach. European Journal of Operational Research, 218(1), 211-229.</w:t>
      </w:r>
    </w:p>
    <w:p>
      <w:pPr>
        <w:spacing w:after="120" w:before="60" w:line="320"/>
        <w:jc w:val="both"/>
      </w:pPr>
      <w:r>
        <w:rPr>
          <w:rFonts w:ascii="Arial" w:cs="Arial" w:eastAsia="Arial" w:hAnsi="Arial"/>
          <w:color w:val="1A1A1A"/>
          <w:sz w:val="22"/>
          <w:szCs w:val="22"/>
        </w:rPr>
        <w:t xml:space="preserve">Zaharia, M., Chen, A., Davidson, A., Ghodsi, A., Hong, S. A., Konwinski, A., ... &amp; Xin, R. (2018). Accelerating the machine learning lifecycle with MLflow. IEEE Data Engineering Bulletin, 41(4), 39-45.</w:t>
      </w:r>
    </w:p>
    <w:p>
      <w:pPr>
        <w:spacing w:after="0" w:before="20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80"/>
    </w:pPr>
    <w:r>
      <w:rPr>
        <w:rFonts w:ascii="Arial" w:cs="Arial" w:eastAsia="Arial" w:hAnsi="Arial"/>
        <w:color w:val="595959"/>
        <w:sz w:val="16"/>
        <w:szCs w:val="16"/>
      </w:rPr>
      <w:t xml:space="preserve">Confidential | Academic Use</w:t>
    </w:r>
    <w:r>
      <w:rPr>
        <w:rFonts w:ascii="Arial" w:cs="Arial" w:eastAsia="Arial" w:hAnsi="Arial"/>
        <w:color w:val="595959"/>
        <w:sz w:val="16"/>
        <w:szCs w:val="16"/>
      </w:rPr>
      <w:t xml:space="preserve">	Page </w:t>
    </w:r>
    <w:r>
      <w:rPr>
        <w:rFonts w:ascii="Arial" w:cs="Arial" w:eastAsia="Arial" w:hAnsi="Arial"/>
        <w:color w:val="595959"/>
        <w:sz w:val="16"/>
        <w:szCs w:val="16"/>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pPr>
    <w:r>
      <w:rPr>
        <w:rFonts w:ascii="Arial" w:cs="Arial" w:eastAsia="Arial" w:hAnsi="Arial"/>
        <w:color w:val="595959"/>
        <w:sz w:val="18"/>
        <w:szCs w:val="18"/>
      </w:rPr>
      <w:t xml:space="preserve">Literature Review: ML-Based Customer Churn Prediction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2026-04-19T21:46:49.643Z</dcterms:created>
  <dcterms:modified xsi:type="dcterms:W3CDTF">2026-04-19T21:46:49.643Z</dcterms:modified>
</cp:coreProperties>
</file>

<file path=docProps/custom.xml><?xml version="1.0" encoding="utf-8"?>
<Properties xmlns="http://schemas.openxmlformats.org/officeDocument/2006/custom-properties" xmlns:vt="http://schemas.openxmlformats.org/officeDocument/2006/docPropsVTypes"/>
</file>