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i w:val="false"/>
          <w:iCs w:val="false"/>
          <w:color w:val="1F4E79"/>
          <w:sz w:val="44"/>
          <w:szCs w:val="44"/>
        </w:rPr>
        <w:t xml:space="preserve">Model Documentation</w:t>
      </w:r>
    </w:p>
    <w:p>
      <w:pPr>
        <w:spacing w:after="40"/>
        <w:jc w:val="center"/>
      </w:pPr>
      <w:r>
        <w:rPr>
          <w:rFonts w:ascii="Calibri" w:cs="Calibri" w:eastAsia="Calibri" w:hAnsi="Calibri"/>
          <w:b/>
          <w:bCs/>
          <w:i w:val="false"/>
          <w:iCs w:val="false"/>
          <w:color w:val="555555"/>
          <w:sz w:val="26"/>
          <w:szCs w:val="26"/>
        </w:rPr>
        <w:t xml:space="preserve">30-Day Hospital Readmission Prediction — Ensemble Classifier</w:t>
      </w:r>
    </w:p>
    <w:p>
      <w:pPr>
        <w:pBdr>
          <w:bottom w:val="single" w:color="1F4E79" w:sz="10" w:space="10"/>
        </w:pBdr>
        <w:spacing w:after="300"/>
        <w:jc w:val="center"/>
      </w:pPr>
      <w:r>
        <w:rPr>
          <w:rFonts w:ascii="Calibri" w:cs="Calibri" w:eastAsia="Calibri" w:hAnsi="Calibri"/>
          <w:b w:val="false"/>
          <w:bCs w:val="false"/>
          <w:i/>
          <w:iCs/>
          <w:color w:val="888888"/>
          <w:sz w:val="19"/>
          <w:szCs w:val="19"/>
        </w:rPr>
        <w:t xml:space="preserve">Random Forest + Extra Trees + XGBoost  |  Soft Voting Ensemble  |  scikit-learn Pipeline</w:t>
      </w:r>
    </w:p>
    <w:p>
      <w:pPr>
        <w:pStyle w:val="Heading1"/>
        <w:pBdr>
          <w:bottom w:val="single" w:color="1F4E79" w:sz="6" w:space="4"/>
        </w:pBdr>
        <w:spacing w:after="200" w:before="400"/>
      </w:pPr>
      <w:r>
        <w:rPr>
          <w:rFonts w:ascii="Calibri" w:cs="Calibri" w:eastAsia="Calibri" w:hAnsi="Calibri"/>
          <w:b/>
          <w:bCs/>
          <w:i w:val="false"/>
          <w:iCs w:val="false"/>
          <w:color w:val="1F4E79"/>
          <w:sz w:val="32"/>
          <w:szCs w:val="32"/>
        </w:rPr>
        <w:t xml:space="preserve">1. Overview</w:t>
      </w:r>
    </w:p>
    <w:p>
      <w:pPr>
        <w:spacing w:after="160" w:line="300"/>
        <w:jc w:val="left"/>
      </w:pPr>
      <w:r>
        <w:rPr>
          <w:rFonts w:ascii="Calibri" w:cs="Calibri" w:eastAsia="Calibri" w:hAnsi="Calibri"/>
          <w:b w:val="false"/>
          <w:bCs w:val="false"/>
          <w:i w:val="false"/>
          <w:iCs w:val="false"/>
          <w:sz w:val="22"/>
          <w:szCs w:val="22"/>
        </w:rPr>
        <w:t xml:space="preserve">This model predicts whether a hospital encounter will result in a readmission within 30 days of discharge (readmission_30d_flag). It is built as a single, reproducible scikit-learn Pipeline that combines data preprocessing with a soft-voting ensemble of three complementary tree-based classifiers: Random Forest, Extra Trees, and XGBoost.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9" w:color="auto" w:val="clear"/>
            <w:tcMar>
              <w:top w:type="dxa" w:w="100"/>
              <w:left w:type="dxa" w:w="100"/>
              <w:bottom w:type="dxa" w:w="100"/>
              <w:right w:type="dxa" w:w="100"/>
            </w:tcMar>
          </w:tcPr>
          <w:p>
            <w:r>
              <w:rPr>
                <w:rFonts w:ascii="Calibri" w:cs="Calibri" w:eastAsia="Calibri" w:hAnsi="Calibri"/>
                <w:b/>
                <w:bCs/>
                <w:i w:val="false"/>
                <w:iCs w:val="false"/>
                <w:color w:val="FFFFFF"/>
                <w:sz w:val="19"/>
                <w:szCs w:val="19"/>
              </w:rPr>
              <w:t xml:space="preserve">Property</w:t>
            </w:r>
          </w:p>
        </w:tc>
        <w:tc>
          <w:tcPr>
            <w:tcW w:type="dxa" w:w="4750"/>
            <w:shd w:fill="1F4E79" w:color="auto" w:val="clear"/>
            <w:tcMar>
              <w:top w:type="dxa" w:w="100"/>
              <w:left w:type="dxa" w:w="100"/>
              <w:bottom w:type="dxa" w:w="100"/>
              <w:right w:type="dxa" w:w="100"/>
            </w:tcMar>
          </w:tcPr>
          <w:p>
            <w:r>
              <w:rPr>
                <w:rFonts w:ascii="Calibri" w:cs="Calibri" w:eastAsia="Calibri" w:hAnsi="Calibri"/>
                <w:b/>
                <w:bCs/>
                <w:i w:val="false"/>
                <w:iCs w:val="false"/>
                <w:color w:val="FFFFFF"/>
                <w:sz w:val="19"/>
                <w:szCs w:val="19"/>
              </w:rPr>
              <w:t xml:space="preserve">Value</w:t>
            </w:r>
          </w:p>
        </w:tc>
      </w:tr>
      <w:tr>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Task</w:t>
            </w:r>
          </w:p>
        </w:tc>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Binary classification</w:t>
            </w:r>
          </w:p>
        </w:tc>
      </w:tr>
      <w:tr>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Target variable</w:t>
            </w:r>
          </w:p>
        </w:tc>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readmission_30d_flag</w:t>
            </w:r>
          </w:p>
        </w:tc>
      </w:tr>
      <w:tr>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Input file</w:t>
            </w:r>
          </w:p>
        </w:tc>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encounters_v2.csv</w:t>
            </w:r>
          </w:p>
        </w:tc>
      </w:tr>
      <w:tr>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Train / test split</w:t>
            </w:r>
          </w:p>
        </w:tc>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80% / 20%, stratified on target</w:t>
            </w:r>
          </w:p>
        </w:tc>
      </w:tr>
      <w:tr>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Random state</w:t>
            </w:r>
          </w:p>
        </w:tc>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42 (fixed for full reproducibility)</w:t>
            </w:r>
          </w:p>
        </w:tc>
      </w:tr>
      <w:tr>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Core algorithms</w:t>
            </w:r>
          </w:p>
        </w:tc>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RandomForestClassifier, ExtraTreesClassifier, XGBClassifier</w:t>
            </w:r>
          </w:p>
        </w:tc>
      </w:tr>
      <w:tr>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Combination strategy</w:t>
            </w:r>
          </w:p>
        </w:tc>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VotingClassifier (voting='soft')</w:t>
            </w:r>
          </w:p>
        </w:tc>
      </w:tr>
      <w:tr>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Decision threshold</w:t>
            </w:r>
          </w:p>
        </w:tc>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0.30, tuned for higher sensitivity to at-risk patients</w:t>
            </w:r>
          </w:p>
        </w:tc>
      </w:tr>
    </w:tbl>
    <w:p>
      <w:pPr>
        <w:pStyle w:val="Heading1"/>
        <w:pBdr>
          <w:bottom w:val="single" w:color="1F4E79" w:sz="6" w:space="4"/>
        </w:pBdr>
        <w:spacing w:after="200" w:before="400"/>
      </w:pPr>
      <w:r>
        <w:rPr>
          <w:rFonts w:ascii="Calibri" w:cs="Calibri" w:eastAsia="Calibri" w:hAnsi="Calibri"/>
          <w:b/>
          <w:bCs/>
          <w:i w:val="false"/>
          <w:iCs w:val="false"/>
          <w:color w:val="1F4E79"/>
          <w:sz w:val="32"/>
          <w:szCs w:val="32"/>
        </w:rPr>
        <w:t xml:space="preserve">2. Code Walkthrough</w:t>
      </w:r>
    </w:p>
    <w:p>
      <w:pPr>
        <w:pStyle w:val="Heading2"/>
        <w:spacing w:after="140" w:before="300"/>
      </w:pPr>
      <w:r>
        <w:rPr>
          <w:rFonts w:ascii="Calibri" w:cs="Calibri" w:eastAsia="Calibri" w:hAnsi="Calibri"/>
          <w:b/>
          <w:bCs/>
          <w:i w:val="false"/>
          <w:iCs w:val="false"/>
          <w:color w:val="1F4E79"/>
          <w:sz w:val="25"/>
          <w:szCs w:val="25"/>
        </w:rPr>
        <w:t xml:space="preserve">2.1 Data Loading &amp; Target Definition</w:t>
      </w:r>
    </w:p>
    <w:p>
      <w:pPr>
        <w:spacing w:after="160" w:line="300"/>
        <w:jc w:val="left"/>
      </w:pPr>
      <w:r>
        <w:rPr>
          <w:rFonts w:ascii="Calibri" w:cs="Calibri" w:eastAsia="Calibri" w:hAnsi="Calibri"/>
          <w:b w:val="false"/>
          <w:bCs w:val="false"/>
          <w:i w:val="false"/>
          <w:iCs w:val="false"/>
          <w:sz w:val="22"/>
          <w:szCs w:val="22"/>
        </w:rPr>
        <w:t xml:space="preserve">The dataset is loaded from encounters_v2.csv and the target column, readmission_30d_flag, is separated from the feature set. The class distribution is printed both as raw counts and as normalized percentages, giving an immediate, transparent view of how balanced the outcome is before any modeling decision is made.</w:t>
      </w:r>
    </w:p>
    <w:p>
      <w:pPr>
        <w:pStyle w:val="Heading2"/>
        <w:spacing w:after="140" w:before="300"/>
      </w:pPr>
      <w:r>
        <w:rPr>
          <w:rFonts w:ascii="Calibri" w:cs="Calibri" w:eastAsia="Calibri" w:hAnsi="Calibri"/>
          <w:b/>
          <w:bCs/>
          <w:i w:val="false"/>
          <w:iCs w:val="false"/>
          <w:color w:val="1F4E79"/>
          <w:sz w:val="25"/>
          <w:szCs w:val="25"/>
        </w:rPr>
        <w:t xml:space="preserve">2.2 Leakage &amp; Identifier Removal</w:t>
      </w:r>
    </w:p>
    <w:p>
      <w:pPr>
        <w:spacing w:after="160" w:line="300"/>
        <w:jc w:val="left"/>
      </w:pPr>
      <w:r>
        <w:rPr>
          <w:rFonts w:ascii="Calibri" w:cs="Calibri" w:eastAsia="Calibri" w:hAnsi="Calibri"/>
          <w:b w:val="false"/>
          <w:bCs w:val="false"/>
          <w:i w:val="false"/>
          <w:iCs w:val="false"/>
          <w:sz w:val="22"/>
          <w:szCs w:val="22"/>
        </w:rPr>
        <w:t xml:space="preserve">Before training, the script explicitly drops identifier columns that carry no generalizable clinical signal: patient_id, encounter_id, claim_id, nurse_emp_id, surgeon_emp_id, and npi_billing. Removing these prevents the model from memorizing specific patients, staff, or claims instead of learning genuine clinical and operational risk patterns — a key safeguard for a model intended to generalize to future, unseen patients.</w:t>
      </w:r>
    </w:p>
    <w:p>
      <w:pPr>
        <w:pStyle w:val="Heading2"/>
        <w:spacing w:after="140" w:before="300"/>
      </w:pPr>
      <w:r>
        <w:rPr>
          <w:rFonts w:ascii="Calibri" w:cs="Calibri" w:eastAsia="Calibri" w:hAnsi="Calibri"/>
          <w:b/>
          <w:bCs/>
          <w:i w:val="false"/>
          <w:iCs w:val="false"/>
          <w:color w:val="1F4E79"/>
          <w:sz w:val="25"/>
          <w:szCs w:val="25"/>
        </w:rPr>
        <w:t xml:space="preserve">2.3 Automatic Feature Typing</w:t>
      </w:r>
    </w:p>
    <w:p>
      <w:pPr>
        <w:spacing w:after="160" w:line="300"/>
        <w:jc w:val="left"/>
      </w:pPr>
      <w:r>
        <w:rPr>
          <w:rFonts w:ascii="Calibri" w:cs="Calibri" w:eastAsia="Calibri" w:hAnsi="Calibri"/>
          <w:b w:val="false"/>
          <w:bCs w:val="false"/>
          <w:i w:val="false"/>
          <w:iCs w:val="false"/>
          <w:sz w:val="22"/>
          <w:szCs w:val="22"/>
        </w:rPr>
        <w:t xml:space="preserve">Numeric columns (int64 / float64) and categorical columns (object) are separated automatically using pandas dtypes, keeping the code compact and adaptable — if new numeric or categorical fields are added to future extracts of encounters_v2.csv, the pipeline picks them up without any manual column-list maintenance.</w:t>
      </w:r>
    </w:p>
    <w:p>
      <w:pPr>
        <w:pStyle w:val="Heading2"/>
        <w:spacing w:after="140" w:before="300"/>
      </w:pPr>
      <w:r>
        <w:rPr>
          <w:rFonts w:ascii="Calibri" w:cs="Calibri" w:eastAsia="Calibri" w:hAnsi="Calibri"/>
          <w:b/>
          <w:bCs/>
          <w:i w:val="false"/>
          <w:iCs w:val="false"/>
          <w:color w:val="1F4E79"/>
          <w:sz w:val="25"/>
          <w:szCs w:val="25"/>
        </w:rPr>
        <w:t xml:space="preserve">2.4 Preprocessing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9" w:color="auto" w:val="clear"/>
            <w:tcMar>
              <w:top w:type="dxa" w:w="100"/>
              <w:left w:type="dxa" w:w="100"/>
              <w:bottom w:type="dxa" w:w="100"/>
              <w:right w:type="dxa" w:w="100"/>
            </w:tcMar>
          </w:tcPr>
          <w:p>
            <w:r>
              <w:rPr>
                <w:rFonts w:ascii="Calibri" w:cs="Calibri" w:eastAsia="Calibri" w:hAnsi="Calibri"/>
                <w:b/>
                <w:bCs/>
                <w:i w:val="false"/>
                <w:iCs w:val="false"/>
                <w:color w:val="FFFFFF"/>
                <w:sz w:val="19"/>
                <w:szCs w:val="19"/>
              </w:rPr>
              <w:t xml:space="preserve">Branch</w:t>
            </w:r>
          </w:p>
        </w:tc>
        <w:tc>
          <w:tcPr>
            <w:tcW w:type="dxa" w:w="4750"/>
            <w:shd w:fill="1F4E79" w:color="auto" w:val="clear"/>
            <w:tcMar>
              <w:top w:type="dxa" w:w="100"/>
              <w:left w:type="dxa" w:w="100"/>
              <w:bottom w:type="dxa" w:w="100"/>
              <w:right w:type="dxa" w:w="100"/>
            </w:tcMar>
          </w:tcPr>
          <w:p>
            <w:r>
              <w:rPr>
                <w:rFonts w:ascii="Calibri" w:cs="Calibri" w:eastAsia="Calibri" w:hAnsi="Calibri"/>
                <w:b/>
                <w:bCs/>
                <w:i w:val="false"/>
                <w:iCs w:val="false"/>
                <w:color w:val="FFFFFF"/>
                <w:sz w:val="19"/>
                <w:szCs w:val="19"/>
              </w:rPr>
              <w:t xml:space="preserve">Steps</w:t>
            </w:r>
          </w:p>
        </w:tc>
      </w:tr>
      <w:tr>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Numeric</w:t>
            </w:r>
          </w:p>
        </w:tc>
        <w:tc>
          <w:tcPr>
            <w:tcW w:type="dxa" w:w="4750"/>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SimpleImputer(strategy='median') — robust to outliers when filling missing values</w:t>
            </w:r>
          </w:p>
        </w:tc>
      </w:tr>
      <w:tr>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Categorical</w:t>
            </w:r>
          </w:p>
        </w:tc>
        <w:tc>
          <w:tcPr>
            <w:tcW w:type="dxa" w:w="4750"/>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SimpleImputer(strategy='most_frequent') → OneHotEncoder(handle_unknown='ignore')</w:t>
            </w:r>
          </w:p>
        </w:tc>
      </w:tr>
    </w:tbl>
    <w:p>
      <w:pPr>
        <w:spacing w:after="160" w:line="300"/>
        <w:jc w:val="left"/>
      </w:pPr>
      <w:r>
        <w:rPr>
          <w:rFonts w:ascii="Calibri" w:cs="Calibri" w:eastAsia="Calibri" w:hAnsi="Calibri"/>
          <w:b w:val="false"/>
          <w:bCs w:val="false"/>
          <w:i w:val="false"/>
          <w:iCs w:val="false"/>
          <w:sz w:val="22"/>
          <w:szCs w:val="22"/>
        </w:rPr>
        <w:t xml:space="preserve">Both branches are combined through a ColumnTransformer, so all preprocessing is learned strictly on the training fold and re-applied identically to the test fold — this keeps the evaluation honest and free of preprocessing leakage. handle_unknown='ignore' also makes the pipeline resilient to any category that appears in production data but was not seen during training.</w:t>
      </w:r>
    </w:p>
    <w:p>
      <w:pPr>
        <w:pStyle w:val="Heading2"/>
        <w:spacing w:after="140" w:before="300"/>
      </w:pPr>
      <w:r>
        <w:rPr>
          <w:rFonts w:ascii="Calibri" w:cs="Calibri" w:eastAsia="Calibri" w:hAnsi="Calibri"/>
          <w:b/>
          <w:bCs/>
          <w:i w:val="false"/>
          <w:iCs w:val="false"/>
          <w:color w:val="1F4E79"/>
          <w:sz w:val="25"/>
          <w:szCs w:val="25"/>
        </w:rPr>
        <w:t xml:space="preserve">2.5 Stratified Train / Test Split</w:t>
      </w:r>
    </w:p>
    <w:p>
      <w:pPr>
        <w:spacing w:after="160" w:line="300"/>
        <w:jc w:val="left"/>
      </w:pPr>
      <w:r>
        <w:rPr>
          <w:rFonts w:ascii="Calibri" w:cs="Calibri" w:eastAsia="Calibri" w:hAnsi="Calibri"/>
          <w:b w:val="false"/>
          <w:bCs w:val="false"/>
          <w:i w:val="false"/>
          <w:iCs w:val="false"/>
          <w:sz w:val="22"/>
          <w:szCs w:val="22"/>
        </w:rPr>
        <w:t xml:space="preserve">An 80/20 split with stratify=y preserves the original proportion of readmitted vs. non-readmitted cases in both the training and test sets, which is essential for a fair evaluation on an imbalanced clinical outcome. random_state=42 makes every run of the script fully reproducible.</w:t>
      </w:r>
    </w:p>
    <w:p>
      <w:pPr>
        <w:pStyle w:val="Heading2"/>
        <w:spacing w:after="140" w:before="300"/>
      </w:pPr>
      <w:r>
        <w:rPr>
          <w:rFonts w:ascii="Calibri" w:cs="Calibri" w:eastAsia="Calibri" w:hAnsi="Calibri"/>
          <w:b/>
          <w:bCs/>
          <w:i w:val="false"/>
          <w:iCs w:val="false"/>
          <w:color w:val="1F4E79"/>
          <w:sz w:val="25"/>
          <w:szCs w:val="25"/>
        </w:rPr>
        <w:t xml:space="preserve">2.6 Three Complementary Base Learners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rPr>
          <w:tblHeader/>
        </w:trPr>
        <w:tc>
          <w:tcPr>
            <w:tcW w:type="dxa" w:w="3166"/>
            <w:shd w:fill="1F4E79" w:color="auto" w:val="clear"/>
            <w:tcMar>
              <w:top w:type="dxa" w:w="100"/>
              <w:left w:type="dxa" w:w="100"/>
              <w:bottom w:type="dxa" w:w="100"/>
              <w:right w:type="dxa" w:w="100"/>
            </w:tcMar>
          </w:tcPr>
          <w:p>
            <w:r>
              <w:rPr>
                <w:rFonts w:ascii="Calibri" w:cs="Calibri" w:eastAsia="Calibri" w:hAnsi="Calibri"/>
                <w:b/>
                <w:bCs/>
                <w:i w:val="false"/>
                <w:iCs w:val="false"/>
                <w:color w:val="FFFFFF"/>
                <w:sz w:val="19"/>
                <w:szCs w:val="19"/>
              </w:rPr>
              <w:t xml:space="preserve">Model</w:t>
            </w:r>
          </w:p>
        </w:tc>
        <w:tc>
          <w:tcPr>
            <w:tcW w:type="dxa" w:w="3166"/>
            <w:shd w:fill="1F4E79" w:color="auto" w:val="clear"/>
            <w:tcMar>
              <w:top w:type="dxa" w:w="100"/>
              <w:left w:type="dxa" w:w="100"/>
              <w:bottom w:type="dxa" w:w="100"/>
              <w:right w:type="dxa" w:w="100"/>
            </w:tcMar>
          </w:tcPr>
          <w:p>
            <w:r>
              <w:rPr>
                <w:rFonts w:ascii="Calibri" w:cs="Calibri" w:eastAsia="Calibri" w:hAnsi="Calibri"/>
                <w:b/>
                <w:bCs/>
                <w:i w:val="false"/>
                <w:iCs w:val="false"/>
                <w:color w:val="FFFFFF"/>
                <w:sz w:val="19"/>
                <w:szCs w:val="19"/>
              </w:rPr>
              <w:t xml:space="preserve">Key settings</w:t>
            </w:r>
          </w:p>
        </w:tc>
        <w:tc>
          <w:tcPr>
            <w:tcW w:type="dxa" w:w="3166"/>
            <w:shd w:fill="1F4E79" w:color="auto" w:val="clear"/>
            <w:tcMar>
              <w:top w:type="dxa" w:w="100"/>
              <w:left w:type="dxa" w:w="100"/>
              <w:bottom w:type="dxa" w:w="100"/>
              <w:right w:type="dxa" w:w="100"/>
            </w:tcMar>
          </w:tcPr>
          <w:p>
            <w:r>
              <w:rPr>
                <w:rFonts w:ascii="Calibri" w:cs="Calibri" w:eastAsia="Calibri" w:hAnsi="Calibri"/>
                <w:b/>
                <w:bCs/>
                <w:i w:val="false"/>
                <w:iCs w:val="false"/>
                <w:color w:val="FFFFFF"/>
                <w:sz w:val="19"/>
                <w:szCs w:val="19"/>
              </w:rPr>
              <w:t xml:space="preserve">Role in the ensemble</w:t>
            </w:r>
          </w:p>
        </w:tc>
      </w:tr>
      <w:tr>
        <w:tc>
          <w:tcPr>
            <w:tcW w:type="dxa" w:w="3166"/>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Random Forest</w:t>
            </w:r>
          </w:p>
        </w:tc>
        <w:tc>
          <w:tcPr>
            <w:tcW w:type="dxa" w:w="3166"/>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500 trees, max_depth=20, class_weight='balanced'</w:t>
            </w:r>
          </w:p>
        </w:tc>
        <w:tc>
          <w:tcPr>
            <w:tcW w:type="dxa" w:w="3166"/>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Strong, stable baseline; averages many deep, decorrelated trees</w:t>
            </w:r>
          </w:p>
        </w:tc>
      </w:tr>
      <w:tr>
        <w:tc>
          <w:tcPr>
            <w:tcW w:type="dxa" w:w="3166"/>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Extra Trees</w:t>
            </w:r>
          </w:p>
        </w:tc>
        <w:tc>
          <w:tcPr>
            <w:tcW w:type="dxa" w:w="3166"/>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500 trees, class_weight='balanced'</w:t>
            </w:r>
          </w:p>
        </w:tc>
        <w:tc>
          <w:tcPr>
            <w:tcW w:type="dxa" w:w="3166"/>
            <w:shd w:fill="FFFFFF"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Adds extra randomization in split selection, lowering variance and complementing Random Forest</w:t>
            </w:r>
          </w:p>
        </w:tc>
      </w:tr>
      <w:tr>
        <w:tc>
          <w:tcPr>
            <w:tcW w:type="dxa" w:w="3166"/>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XGBoost</w:t>
            </w:r>
          </w:p>
        </w:tc>
        <w:tc>
          <w:tcPr>
            <w:tcW w:type="dxa" w:w="3166"/>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500 rounds, depth=6, learning_rate=0.03, subsample=0.8, colsample_bytree=0.8, scale_pos_weight=5</w:t>
            </w:r>
          </w:p>
        </w:tc>
        <w:tc>
          <w:tcPr>
            <w:tcW w:type="dxa" w:w="3166"/>
            <w:shd w:fill="F2F6FA" w:color="auto" w:val="clear"/>
            <w:tcMar>
              <w:top w:type="dxa" w:w="90"/>
              <w:left w:type="dxa" w:w="100"/>
              <w:bottom w:type="dxa" w:w="90"/>
              <w:right w:type="dxa" w:w="100"/>
            </w:tcMar>
          </w:tcPr>
          <w:p>
            <w:r>
              <w:rPr>
                <w:rFonts w:ascii="Calibri" w:cs="Calibri" w:eastAsia="Calibri" w:hAnsi="Calibri"/>
                <w:b w:val="false"/>
                <w:bCs w:val="false"/>
                <w:i w:val="false"/>
                <w:iCs w:val="false"/>
                <w:sz w:val="19"/>
                <w:szCs w:val="19"/>
              </w:rPr>
              <w:t xml:space="preserve">Gradient-boosted learner that captures finer, sequential error-correcting patterns the bagged trees may miss</w:t>
            </w:r>
          </w:p>
        </w:tc>
      </w:tr>
    </w:tbl>
    <w:p>
      <w:pPr>
        <w:spacing w:after="160" w:line="300"/>
        <w:jc w:val="left"/>
      </w:pPr>
      <w:r>
        <w:rPr>
          <w:rFonts w:ascii="Calibri" w:cs="Calibri" w:eastAsia="Calibri" w:hAnsi="Calibri"/>
          <w:b w:val="false"/>
          <w:bCs w:val="false"/>
          <w:i w:val="false"/>
          <w:iCs w:val="false"/>
          <w:sz w:val="22"/>
          <w:szCs w:val="22"/>
        </w:rPr>
        <w:t xml:space="preserve">All three models independently address class imbalance — class_weight='balanced' for the two bagging models and scale_pos_weight=5 for XGBoost — so every base learner is already tuned to pay proper attention to the minority (readmitted) class before their outputs are ever combined.</w:t>
      </w:r>
    </w:p>
    <w:p>
      <w:pPr>
        <w:pStyle w:val="Heading2"/>
        <w:spacing w:after="140" w:before="300"/>
      </w:pPr>
      <w:r>
        <w:rPr>
          <w:rFonts w:ascii="Calibri" w:cs="Calibri" w:eastAsia="Calibri" w:hAnsi="Calibri"/>
          <w:b/>
          <w:bCs/>
          <w:i w:val="false"/>
          <w:iCs w:val="false"/>
          <w:color w:val="1F4E79"/>
          <w:sz w:val="25"/>
          <w:szCs w:val="25"/>
        </w:rPr>
        <w:t xml:space="preserve">2.7 Soft Voting Ensemble</w:t>
      </w:r>
    </w:p>
    <w:p>
      <w:pPr>
        <w:spacing w:after="160" w:line="300"/>
        <w:jc w:val="left"/>
      </w:pPr>
      <w:r>
        <w:rPr>
          <w:rFonts w:ascii="Calibri" w:cs="Calibri" w:eastAsia="Calibri" w:hAnsi="Calibri"/>
          <w:b w:val="false"/>
          <w:bCs w:val="false"/>
          <w:i w:val="false"/>
          <w:iCs w:val="false"/>
          <w:sz w:val="22"/>
          <w:szCs w:val="22"/>
        </w:rPr>
        <w:t xml:space="preserve">The three base learners are combined with VotingClassifier(voting='soft'), which averages the predicted probabilities from Random Forest, Extra Trees, and XGBoost rather than taking a simple majority vote on hard labels. Because the three algorithms make different kinds of errors (bagged vs. boosted, randomized vs. optimized splits), averaging their probabilities typically produces a more stable and better-calibrated risk score than any single model alone.</w:t>
      </w:r>
    </w:p>
    <w:p>
      <w:pPr>
        <w:pStyle w:val="Heading2"/>
        <w:spacing w:after="140" w:before="300"/>
      </w:pPr>
      <w:r>
        <w:rPr>
          <w:rFonts w:ascii="Calibri" w:cs="Calibri" w:eastAsia="Calibri" w:hAnsi="Calibri"/>
          <w:b/>
          <w:bCs/>
          <w:i w:val="false"/>
          <w:iCs w:val="false"/>
          <w:color w:val="1F4E79"/>
          <w:sz w:val="25"/>
          <w:szCs w:val="25"/>
        </w:rPr>
        <w:t xml:space="preserve">2.8 Unified Pipeline</w:t>
      </w:r>
    </w:p>
    <w:p>
      <w:pPr>
        <w:spacing w:after="160" w:line="300"/>
        <w:jc w:val="left"/>
      </w:pPr>
      <w:r>
        <w:rPr>
          <w:rFonts w:ascii="Calibri" w:cs="Calibri" w:eastAsia="Calibri" w:hAnsi="Calibri"/>
          <w:b w:val="false"/>
          <w:bCs w:val="false"/>
          <w:i w:val="false"/>
          <w:iCs w:val="false"/>
          <w:sz w:val="22"/>
          <w:szCs w:val="22"/>
        </w:rPr>
        <w:t xml:space="preserve">The preprocessor and the ensemble are chained into one Pipeline object (prep → model). This means a single .fit() call trains preprocessing and all three models together, and a single .predict_proba() call on new data automatically applies the exact same preprocessing before scoring — removing an entire category of production bugs where preprocessing and modeling code can drift out of sync.</w:t>
      </w:r>
    </w:p>
    <w:p>
      <w:pPr>
        <w:pStyle w:val="Heading2"/>
        <w:spacing w:after="140" w:before="300"/>
      </w:pPr>
      <w:r>
        <w:rPr>
          <w:rFonts w:ascii="Calibri" w:cs="Calibri" w:eastAsia="Calibri" w:hAnsi="Calibri"/>
          <w:b/>
          <w:bCs/>
          <w:i w:val="false"/>
          <w:iCs w:val="false"/>
          <w:color w:val="1F4E79"/>
          <w:sz w:val="25"/>
          <w:szCs w:val="25"/>
        </w:rPr>
        <w:t xml:space="preserve">2.9 Business-Tuned Decision Threshold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1E1E1E" w:color="auto" w:val="clear"/>
            <w:tcMar>
              <w:top w:type="dxa" w:w="160"/>
              <w:left w:type="dxa" w:w="200"/>
              <w:bottom w:type="dxa" w:w="160"/>
              <w:right w:type="dxa" w:w="200"/>
            </w:tcMar>
          </w:tcPr>
          <w:p>
            <w:pPr>
              <w:spacing w:after="40" w:line="260"/>
            </w:pPr>
            <w:r>
              <w:rPr>
                <w:rFonts w:ascii="Consolas" w:cs="Consolas" w:eastAsia="Consolas" w:hAnsi="Consolas"/>
                <w:b w:val="false"/>
                <w:bCs w:val="false"/>
                <w:i w:val="false"/>
                <w:iCs w:val="false"/>
                <w:color w:val="D4D4D4"/>
                <w:sz w:val="18"/>
                <w:szCs w:val="18"/>
              </w:rPr>
              <w:t xml:space="preserve">probs = model.predict_proba(X_test)[:, 1]</w:t>
            </w:r>
          </w:p>
          <w:p>
            <w:pPr>
              <w:spacing w:after="40" w:line="260"/>
            </w:pPr>
            <w:r>
              <w:rPr>
                <w:rFonts w:ascii="Consolas" w:cs="Consolas" w:eastAsia="Consolas" w:hAnsi="Consolas"/>
                <w:b w:val="false"/>
                <w:bCs w:val="false"/>
                <w:i w:val="false"/>
                <w:iCs w:val="false"/>
                <w:color w:val="D4D4D4"/>
                <w:sz w:val="18"/>
                <w:szCs w:val="18"/>
              </w:rPr>
              <w:t xml:space="preserve">preds = (probs &gt;= 0.30).astype(int)</w:t>
            </w:r>
          </w:p>
        </w:tc>
      </w:tr>
    </w:tbl>
    <w:p>
      <w:pPr>
        <w:spacing w:after="160" w:line="300"/>
        <w:jc w:val="left"/>
      </w:pPr>
      <w:r>
        <w:rPr>
          <w:rFonts w:ascii="Calibri" w:cs="Calibri" w:eastAsia="Calibri" w:hAnsi="Calibri"/>
          <w:b w:val="false"/>
          <w:bCs w:val="false"/>
          <w:i w:val="false"/>
          <w:iCs w:val="false"/>
          <w:sz w:val="22"/>
          <w:szCs w:val="22"/>
        </w:rPr>
        <w:t xml:space="preserve">Instead of the default 0.50 cutoff, the model flags a patient as at-risk once their predicted probability crosses 0.30. This is a deliberate, clinically-motivated choice: it raises the model's sensitivity to true at-risk patients, which is appropriate for readmission screening, where the cost of missing a genuinely at-risk patient (a false negative) is typically far higher than the cost of an extra follow-up call to a patient who would not have been readmitted (a false positive).</w:t>
      </w:r>
    </w:p>
    <w:p>
      <w:pPr>
        <w:pStyle w:val="Heading2"/>
        <w:spacing w:after="140" w:before="300"/>
      </w:pPr>
      <w:r>
        <w:rPr>
          <w:rFonts w:ascii="Calibri" w:cs="Calibri" w:eastAsia="Calibri" w:hAnsi="Calibri"/>
          <w:b/>
          <w:bCs/>
          <w:i w:val="false"/>
          <w:iCs w:val="false"/>
          <w:color w:val="1F4E79"/>
          <w:sz w:val="25"/>
          <w:szCs w:val="25"/>
        </w:rPr>
        <w:t xml:space="preserve">2.10 Evaluation</w:t>
      </w:r>
    </w:p>
    <w:p>
      <w:pPr>
        <w:spacing w:after="160" w:line="300"/>
        <w:jc w:val="left"/>
      </w:pPr>
      <w:r>
        <w:rPr>
          <w:rFonts w:ascii="Calibri" w:cs="Calibri" w:eastAsia="Calibri" w:hAnsi="Calibri"/>
          <w:b w:val="false"/>
          <w:bCs w:val="false"/>
          <w:i w:val="false"/>
          <w:iCs w:val="false"/>
          <w:sz w:val="22"/>
          <w:szCs w:val="22"/>
        </w:rPr>
        <w:t xml:space="preserve">The model is evaluated using accuracy, a full classification report (precision, recall, and F1-score per class), and a confusion matrix. Reporting precision and recall separately — rather than accuracy alone — is the right choice for an imbalanced outcome like readmission, since it shows exactly how well the model captures true at-risk cases without being masked by the larger volume of non-readmitted cases.</w:t>
      </w:r>
    </w:p>
    <w:p>
      <w:pPr>
        <w:pStyle w:val="Heading1"/>
        <w:pBdr>
          <w:bottom w:val="single" w:color="1F4E79" w:sz="6" w:space="4"/>
        </w:pBdr>
        <w:spacing w:after="200" w:before="400"/>
      </w:pPr>
      <w:r>
        <w:rPr>
          <w:rFonts w:ascii="Calibri" w:cs="Calibri" w:eastAsia="Calibri" w:hAnsi="Calibri"/>
          <w:b/>
          <w:bCs/>
          <w:i w:val="false"/>
          <w:iCs w:val="false"/>
          <w:color w:val="1F4E79"/>
          <w:sz w:val="32"/>
          <w:szCs w:val="32"/>
        </w:rPr>
        <w:t xml:space="preserve">3. Model Strengths</w:t>
      </w:r>
    </w:p>
    <w:p>
      <w:pPr>
        <w:spacing w:after="100" w:line="280"/>
      </w:pPr>
      <w:r>
        <w:rPr>
          <w:rFonts w:ascii="Calibri" w:cs="Calibri" w:eastAsia="Calibri" w:hAnsi="Calibri"/>
          <w:b/>
          <w:bCs/>
          <w:i w:val="false"/>
          <w:iCs w:val="false"/>
          <w:color w:val="2E7D32"/>
          <w:sz w:val="22"/>
          <w:szCs w:val="22"/>
        </w:rPr>
        <w:t xml:space="preserve">✓  </w:t>
      </w:r>
      <w:r>
        <w:rPr>
          <w:rFonts w:ascii="Calibri" w:cs="Calibri" w:eastAsia="Calibri" w:hAnsi="Calibri"/>
          <w:b w:val="false"/>
          <w:bCs w:val="false"/>
          <w:i w:val="false"/>
          <w:iCs w:val="false"/>
          <w:sz w:val="22"/>
          <w:szCs w:val="22"/>
        </w:rPr>
        <w:t xml:space="preserve">End-to-end reproducibility — a single Pipeline object encapsulates preprocessing and modeling together, with a fixed random_state throughout, so results can be reliably reproduced by any team member or environment.</w:t>
      </w:r>
    </w:p>
    <w:p>
      <w:pPr>
        <w:spacing w:after="100" w:line="280"/>
      </w:pPr>
      <w:r>
        <w:rPr>
          <w:rFonts w:ascii="Calibri" w:cs="Calibri" w:eastAsia="Calibri" w:hAnsi="Calibri"/>
          <w:b/>
          <w:bCs/>
          <w:i w:val="false"/>
          <w:iCs w:val="false"/>
          <w:color w:val="2E7D32"/>
          <w:sz w:val="22"/>
          <w:szCs w:val="22"/>
        </w:rPr>
        <w:t xml:space="preserve">✓  </w:t>
      </w:r>
      <w:r>
        <w:rPr>
          <w:rFonts w:ascii="Calibri" w:cs="Calibri" w:eastAsia="Calibri" w:hAnsi="Calibri"/>
          <w:b w:val="false"/>
          <w:bCs w:val="false"/>
          <w:i w:val="false"/>
          <w:iCs w:val="false"/>
          <w:sz w:val="22"/>
          <w:szCs w:val="22"/>
        </w:rPr>
        <w:t xml:space="preserve">Leakage-safe design — all identifier columns (patient, encounter, claim, staff) are explicitly excluded, and preprocessing statistics are learned only on the training fold, ensuring the reported performance reflects genuine generalization rather than memorization.</w:t>
      </w:r>
    </w:p>
    <w:p>
      <w:pPr>
        <w:spacing w:after="100" w:line="280"/>
      </w:pPr>
      <w:r>
        <w:rPr>
          <w:rFonts w:ascii="Calibri" w:cs="Calibri" w:eastAsia="Calibri" w:hAnsi="Calibri"/>
          <w:b/>
          <w:bCs/>
          <w:i w:val="false"/>
          <w:iCs w:val="false"/>
          <w:color w:val="2E7D32"/>
          <w:sz w:val="22"/>
          <w:szCs w:val="22"/>
        </w:rPr>
        <w:t xml:space="preserve">✓  </w:t>
      </w:r>
      <w:r>
        <w:rPr>
          <w:rFonts w:ascii="Calibri" w:cs="Calibri" w:eastAsia="Calibri" w:hAnsi="Calibri"/>
          <w:b w:val="false"/>
          <w:bCs w:val="false"/>
          <w:i w:val="false"/>
          <w:iCs w:val="false"/>
          <w:sz w:val="22"/>
          <w:szCs w:val="22"/>
        </w:rPr>
        <w:t xml:space="preserve">Imbalance-aware at every level — class_weight='balanced' (Random Forest, Extra Trees) and scale_pos_weight=5 (XGBoost) ensure the minority, clinically-critical readmitted class is not overwhelmed by the majority class during training.</w:t>
      </w:r>
    </w:p>
    <w:p>
      <w:pPr>
        <w:spacing w:after="100" w:line="280"/>
      </w:pPr>
      <w:r>
        <w:rPr>
          <w:rFonts w:ascii="Calibri" w:cs="Calibri" w:eastAsia="Calibri" w:hAnsi="Calibri"/>
          <w:b/>
          <w:bCs/>
          <w:i w:val="false"/>
          <w:iCs w:val="false"/>
          <w:color w:val="2E7D32"/>
          <w:sz w:val="22"/>
          <w:szCs w:val="22"/>
        </w:rPr>
        <w:t xml:space="preserve">✓  </w:t>
      </w:r>
      <w:r>
        <w:rPr>
          <w:rFonts w:ascii="Calibri" w:cs="Calibri" w:eastAsia="Calibri" w:hAnsi="Calibri"/>
          <w:b w:val="false"/>
          <w:bCs w:val="false"/>
          <w:i w:val="false"/>
          <w:iCs w:val="false"/>
          <w:sz w:val="22"/>
          <w:szCs w:val="22"/>
        </w:rPr>
        <w:t xml:space="preserve">Algorithmic diversity through ensembling — combining a bagging method (Random Forest), a highly randomized bagging method (Extra Trees), and a boosting method (XGBoost) captures complementary error patterns, which soft voting then blends into a single, more robust probability estimate.</w:t>
      </w:r>
    </w:p>
    <w:p>
      <w:pPr>
        <w:spacing w:after="100" w:line="280"/>
      </w:pPr>
      <w:r>
        <w:rPr>
          <w:rFonts w:ascii="Calibri" w:cs="Calibri" w:eastAsia="Calibri" w:hAnsi="Calibri"/>
          <w:b/>
          <w:bCs/>
          <w:i w:val="false"/>
          <w:iCs w:val="false"/>
          <w:color w:val="2E7D32"/>
          <w:sz w:val="22"/>
          <w:szCs w:val="22"/>
        </w:rPr>
        <w:t xml:space="preserve">✓  </w:t>
      </w:r>
      <w:r>
        <w:rPr>
          <w:rFonts w:ascii="Calibri" w:cs="Calibri" w:eastAsia="Calibri" w:hAnsi="Calibri"/>
          <w:b w:val="false"/>
          <w:bCs w:val="false"/>
          <w:i w:val="false"/>
          <w:iCs w:val="false"/>
          <w:sz w:val="22"/>
          <w:szCs w:val="22"/>
        </w:rPr>
        <w:t xml:space="preserve">Missing-data resilience — median imputation for numeric fields and most-frequent imputation for categorical fields allow the model to train and score reliably even on records with incomplete clinical or administrative data, which is common in real hospital datasets.</w:t>
      </w:r>
    </w:p>
    <w:p>
      <w:pPr>
        <w:spacing w:after="100" w:line="280"/>
      </w:pPr>
      <w:r>
        <w:rPr>
          <w:rFonts w:ascii="Calibri" w:cs="Calibri" w:eastAsia="Calibri" w:hAnsi="Calibri"/>
          <w:b/>
          <w:bCs/>
          <w:i w:val="false"/>
          <w:iCs w:val="false"/>
          <w:color w:val="2E7D32"/>
          <w:sz w:val="22"/>
          <w:szCs w:val="22"/>
        </w:rPr>
        <w:t xml:space="preserve">✓  </w:t>
      </w:r>
      <w:r>
        <w:rPr>
          <w:rFonts w:ascii="Calibri" w:cs="Calibri" w:eastAsia="Calibri" w:hAnsi="Calibri"/>
          <w:b w:val="false"/>
          <w:bCs w:val="false"/>
          <w:i w:val="false"/>
          <w:iCs w:val="false"/>
          <w:sz w:val="22"/>
          <w:szCs w:val="22"/>
        </w:rPr>
        <w:t xml:space="preserve">Production-ready category handling — OneHotEncoder(handle_unknown='ignore') means the model will not fail or need retraining just because a new category value appears after deployment.</w:t>
      </w:r>
    </w:p>
    <w:p>
      <w:pPr>
        <w:spacing w:after="100" w:line="280"/>
      </w:pPr>
      <w:r>
        <w:rPr>
          <w:rFonts w:ascii="Calibri" w:cs="Calibri" w:eastAsia="Calibri" w:hAnsi="Calibri"/>
          <w:b/>
          <w:bCs/>
          <w:i w:val="false"/>
          <w:iCs w:val="false"/>
          <w:color w:val="2E7D32"/>
          <w:sz w:val="22"/>
          <w:szCs w:val="22"/>
        </w:rPr>
        <w:t xml:space="preserve">✓  </w:t>
      </w:r>
      <w:r>
        <w:rPr>
          <w:rFonts w:ascii="Calibri" w:cs="Calibri" w:eastAsia="Calibri" w:hAnsi="Calibri"/>
          <w:b w:val="false"/>
          <w:bCs w:val="false"/>
          <w:i w:val="false"/>
          <w:iCs w:val="false"/>
          <w:sz w:val="22"/>
          <w:szCs w:val="22"/>
        </w:rPr>
        <w:t xml:space="preserve">Clinically-calibrated decision threshold — the 0.30 cutoff is a conscious, business-aligned choice that favors catching at-risk patients over minimizing false alarms, matching the real-world cost asymmetry in readmission prevention.</w:t>
      </w:r>
    </w:p>
    <w:p>
      <w:pPr>
        <w:spacing w:after="100" w:line="280"/>
      </w:pPr>
      <w:r>
        <w:rPr>
          <w:rFonts w:ascii="Calibri" w:cs="Calibri" w:eastAsia="Calibri" w:hAnsi="Calibri"/>
          <w:b/>
          <w:bCs/>
          <w:i w:val="false"/>
          <w:iCs w:val="false"/>
          <w:color w:val="2E7D32"/>
          <w:sz w:val="22"/>
          <w:szCs w:val="22"/>
        </w:rPr>
        <w:t xml:space="preserve">✓  </w:t>
      </w:r>
      <w:r>
        <w:rPr>
          <w:rFonts w:ascii="Calibri" w:cs="Calibri" w:eastAsia="Calibri" w:hAnsi="Calibri"/>
          <w:b w:val="false"/>
          <w:bCs w:val="false"/>
          <w:i w:val="false"/>
          <w:iCs w:val="false"/>
          <w:sz w:val="22"/>
          <w:szCs w:val="22"/>
        </w:rPr>
        <w:t xml:space="preserve">Scalable training — n_jobs=-1 on the bagging models and a moderate learning_rate with subsampling on XGBoost make the pipeline practical to retrain regularly as new encounter data accumulates.</w:t>
      </w:r>
    </w:p>
    <w:p>
      <w:pPr>
        <w:pStyle w:val="Heading1"/>
        <w:pBdr>
          <w:bottom w:val="single" w:color="1F4E79" w:sz="6" w:space="4"/>
        </w:pBdr>
        <w:spacing w:after="200" w:before="400"/>
      </w:pPr>
      <w:r>
        <w:rPr>
          <w:rFonts w:ascii="Calibri" w:cs="Calibri" w:eastAsia="Calibri" w:hAnsi="Calibri"/>
          <w:b/>
          <w:bCs/>
          <w:i w:val="false"/>
          <w:iCs w:val="false"/>
          <w:color w:val="1F4E79"/>
          <w:sz w:val="32"/>
          <w:szCs w:val="32"/>
        </w:rPr>
        <w:t xml:space="preserve">4. Business Value for the Hospital</w:t>
      </w:r>
    </w:p>
    <w:p>
      <w:pPr>
        <w:spacing w:after="160" w:line="300"/>
        <w:jc w:val="left"/>
      </w:pPr>
      <w:r>
        <w:rPr>
          <w:rFonts w:ascii="Calibri" w:cs="Calibri" w:eastAsia="Calibri" w:hAnsi="Calibri"/>
          <w:b w:val="false"/>
          <w:bCs w:val="false"/>
          <w:i w:val="false"/>
          <w:iCs w:val="false"/>
          <w:sz w:val="22"/>
          <w:szCs w:val="22"/>
        </w:rPr>
        <w:t xml:space="preserve">Readmission within 30 days is one of the most consequential metrics for a hospital: it drives patient outcomes, operating cost, and regulatory exposure (e.g., CMS Hospital Readmissions Reduction Program penalties) simultaneously. This model turns readmission from a metric the hospital measures after the fact into a risk score available at the point of discharge planning.</w:t>
      </w:r>
    </w:p>
    <w:p>
      <w:pPr>
        <w:pStyle w:val="Heading2"/>
        <w:spacing w:after="140" w:before="300"/>
      </w:pPr>
      <w:r>
        <w:rPr>
          <w:rFonts w:ascii="Calibri" w:cs="Calibri" w:eastAsia="Calibri" w:hAnsi="Calibri"/>
          <w:b/>
          <w:bCs/>
          <w:i w:val="false"/>
          <w:iCs w:val="false"/>
          <w:color w:val="1F4E79"/>
          <w:sz w:val="25"/>
          <w:szCs w:val="25"/>
        </w:rPr>
        <w:t xml:space="preserve">4.1 Proactive, Targeted Intervention</w:t>
      </w:r>
    </w:p>
    <w:p>
      <w:pPr>
        <w:spacing w:after="160" w:line="300"/>
        <w:jc w:val="left"/>
      </w:pPr>
      <w:r>
        <w:rPr>
          <w:rFonts w:ascii="Calibri" w:cs="Calibri" w:eastAsia="Calibri" w:hAnsi="Calibri"/>
          <w:b w:val="false"/>
          <w:bCs w:val="false"/>
          <w:i w:val="false"/>
          <w:iCs w:val="false"/>
          <w:sz w:val="22"/>
          <w:szCs w:val="22"/>
        </w:rPr>
        <w:t xml:space="preserve">Because the model outputs a probability rather than a single yes/no label, the discharge-planning and case-management teams can rank all current patients by readmission risk and focus limited follow-up resources — phone calls, home-health referrals, medication reconciliation, expedited follow-up appointments — on the patients who need them most, instead of spreading a fixed follow-up budget evenly across everyone.</w:t>
      </w:r>
    </w:p>
    <w:p>
      <w:pPr>
        <w:pStyle w:val="Heading2"/>
        <w:spacing w:after="140" w:before="300"/>
      </w:pPr>
      <w:r>
        <w:rPr>
          <w:rFonts w:ascii="Calibri" w:cs="Calibri" w:eastAsia="Calibri" w:hAnsi="Calibri"/>
          <w:b/>
          <w:bCs/>
          <w:i w:val="false"/>
          <w:iCs w:val="false"/>
          <w:color w:val="1F4E79"/>
          <w:sz w:val="25"/>
          <w:szCs w:val="25"/>
        </w:rPr>
        <w:t xml:space="preserve">4.2 Direct Cost Avoidance</w:t>
      </w:r>
    </w:p>
    <w:p>
      <w:pPr>
        <w:spacing w:after="160" w:line="300"/>
        <w:jc w:val="left"/>
      </w:pPr>
      <w:r>
        <w:rPr>
          <w:rFonts w:ascii="Calibri" w:cs="Calibri" w:eastAsia="Calibri" w:hAnsi="Calibri"/>
          <w:b w:val="false"/>
          <w:bCs w:val="false"/>
          <w:i w:val="false"/>
          <w:iCs w:val="false"/>
          <w:sz w:val="22"/>
          <w:szCs w:val="22"/>
        </w:rPr>
        <w:t xml:space="preserve">Every prevented readmission avoids the direct cost of an additional inpatient stay, reduces strain on already-constrained bed capacity, and helps the hospital stay under CMS readmission-rate benchmarks tied to reimbursement, protecting revenue that would otherwise be lost to regulatory penalties.</w:t>
      </w:r>
    </w:p>
    <w:p>
      <w:pPr>
        <w:pStyle w:val="Heading2"/>
        <w:spacing w:after="140" w:before="300"/>
      </w:pPr>
      <w:r>
        <w:rPr>
          <w:rFonts w:ascii="Calibri" w:cs="Calibri" w:eastAsia="Calibri" w:hAnsi="Calibri"/>
          <w:b/>
          <w:bCs/>
          <w:i w:val="false"/>
          <w:iCs w:val="false"/>
          <w:color w:val="1F4E79"/>
          <w:sz w:val="25"/>
          <w:szCs w:val="25"/>
        </w:rPr>
        <w:t xml:space="preserve">4.3 Better Resource Planning</w:t>
      </w:r>
    </w:p>
    <w:p>
      <w:pPr>
        <w:spacing w:after="160" w:line="300"/>
        <w:jc w:val="left"/>
      </w:pPr>
      <w:r>
        <w:rPr>
          <w:rFonts w:ascii="Calibri" w:cs="Calibri" w:eastAsia="Calibri" w:hAnsi="Calibri"/>
          <w:b w:val="false"/>
          <w:bCs w:val="false"/>
          <w:i w:val="false"/>
          <w:iCs w:val="false"/>
          <w:sz w:val="22"/>
          <w:szCs w:val="22"/>
        </w:rPr>
        <w:t xml:space="preserve">Aggregated model outputs (e.g., predicted risk by service line, unit, or diagnosis category) give management an early, data-driven view of where readmission pressure is building, allowing staffing, bed allocation, and care-transition programs to be planned ahead of the problem rather than reacting to it after discharge.</w:t>
      </w:r>
    </w:p>
    <w:p>
      <w:pPr>
        <w:pStyle w:val="Heading2"/>
        <w:spacing w:after="140" w:before="300"/>
      </w:pPr>
      <w:r>
        <w:rPr>
          <w:rFonts w:ascii="Calibri" w:cs="Calibri" w:eastAsia="Calibri" w:hAnsi="Calibri"/>
          <w:b/>
          <w:bCs/>
          <w:i w:val="false"/>
          <w:iCs w:val="false"/>
          <w:color w:val="1F4E79"/>
          <w:sz w:val="25"/>
          <w:szCs w:val="25"/>
        </w:rPr>
        <w:t xml:space="preserve">4.4 A Foundation for Continuous Improvement</w:t>
      </w:r>
    </w:p>
    <w:p>
      <w:pPr>
        <w:spacing w:after="160" w:line="300"/>
        <w:jc w:val="left"/>
      </w:pPr>
      <w:r>
        <w:rPr>
          <w:rFonts w:ascii="Calibri" w:cs="Calibri" w:eastAsia="Calibri" w:hAnsi="Calibri"/>
          <w:b w:val="false"/>
          <w:bCs w:val="false"/>
          <w:i w:val="false"/>
          <w:iCs w:val="false"/>
          <w:sz w:val="22"/>
          <w:szCs w:val="22"/>
        </w:rPr>
        <w:t xml:space="preserve">Because the entire workflow — from raw data to final prediction — is captured in one reproducible pipeline, the hospital can retrain the model on a regular cadence as new encounter data arrives, monitor whether performance holds steady over time, and extend the same architecture to related risk-prediction use cases (e.g., length-of-stay risk or post-discharge complication risk) with minimal additional engineering effort.</w:t>
      </w:r>
    </w:p>
    <w:p>
      <w:pPr>
        <w:pBdr>
          <w:top w:val="single" w:color="CCCCCC" w:sz="4" w:space="8"/>
        </w:pBdr>
        <w:spacing w:before="400"/>
        <w:jc w:val="center"/>
      </w:pPr>
      <w:r>
        <w:rPr>
          <w:rFonts w:ascii="Calibri" w:cs="Calibri" w:eastAsia="Calibri" w:hAnsi="Calibri"/>
          <w:b w:val="false"/>
          <w:bCs w:val="false"/>
          <w:i/>
          <w:iCs/>
          <w:color w:val="999999"/>
          <w:sz w:val="18"/>
          <w:szCs w:val="18"/>
        </w:rPr>
        <w:t xml:space="preserve">Prepared as technical and business documentation for the 30-day readmission ensemble model.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2026-07-09T21:11:02.458Z</dcterms:created>
  <dcterms:modified xsi:type="dcterms:W3CDTF">2026-07-09T21:11:02.472Z</dcterms:modified>
</cp:coreProperties>
</file>

<file path=docProps/custom.xml><?xml version="1.0" encoding="utf-8"?>
<Properties xmlns="http://schemas.openxmlformats.org/officeDocument/2006/custom-properties" xmlns:vt="http://schemas.openxmlformats.org/officeDocument/2006/docPropsVTypes"/>
</file>