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libri" w:cs="Calibri" w:eastAsia="Calibri" w:hAnsi="Calibri"/>
          <w:b/>
          <w:bCs/>
          <w:color w:val="1F3864"/>
          <w:sz w:val="44"/>
          <w:szCs w:val="44"/>
        </w:rPr>
        <w:t xml:space="preserve">HEALTHCARE INTELLIGENCE PLATFORM</w:t>
      </w:r>
    </w:p>
    <w:p>
      <w:pPr>
        <w:spacing w:after="100" w:before="200"/>
        <w:jc w:val="center"/>
      </w:pPr>
      <w:r>
        <w:rPr>
          <w:rFonts w:ascii="Calibri" w:cs="Calibri" w:eastAsia="Calibri" w:hAnsi="Calibri"/>
          <w:b/>
          <w:bCs/>
          <w:color w:val="0E7C7B"/>
          <w:sz w:val="32"/>
          <w:szCs w:val="32"/>
        </w:rPr>
        <w:t xml:space="preserve">Data Warehouse Documentation</w:t>
      </w:r>
    </w:p>
    <w:p>
      <w:pPr>
        <w:spacing w:after="600"/>
        <w:jc w:val="center"/>
      </w:pPr>
      <w:r>
        <w:rPr>
          <w:rFonts w:ascii="Calibri" w:cs="Calibri" w:eastAsia="Calibri" w:hAnsi="Calibri"/>
          <w:i/>
          <w:iCs/>
          <w:color w:val="595959"/>
          <w:sz w:val="22"/>
          <w:szCs w:val="22"/>
        </w:rPr>
        <w:t xml:space="preserve">Medallion Architecture (Bronze → Silver → Gold) — SQL Server &amp; Python ETL</w:t>
      </w:r>
    </w:p>
    <w:p>
      <w:pPr>
        <w:spacing w:after="60"/>
        <w:jc w:val="center"/>
      </w:pPr>
      <w:r>
        <w:rPr>
          <w:rFonts w:ascii="Calibri" w:cs="Calibri" w:eastAsia="Calibri" w:hAnsi="Calibri"/>
          <w:color w:val="222222"/>
          <w:sz w:val="22"/>
          <w:szCs w:val="22"/>
        </w:rPr>
        <w:t xml:space="preserve">Digital Egypt Pioneers Initiative (DEPI) — Rwaad Initiative</w:t>
      </w:r>
    </w:p>
    <w:p>
      <w:pPr>
        <w:spacing w:after="60"/>
        <w:jc w:val="center"/>
      </w:pPr>
      <w:r>
        <w:rPr>
          <w:rFonts w:ascii="Calibri" w:cs="Calibri" w:eastAsia="Calibri" w:hAnsi="Calibri"/>
          <w:color w:val="222222"/>
          <w:sz w:val="22"/>
          <w:szCs w:val="22"/>
        </w:rPr>
        <w:t xml:space="preserve">Data Analytics Track — Graduation Project</w:t>
      </w:r>
    </w:p>
    <w:p>
      <w:pPr>
        <w:spacing w:after="400"/>
        <w:jc w:val="center"/>
      </w:pPr>
      <w:r>
        <w:rPr>
          <w:rFonts w:ascii="Calibri" w:cs="Calibri" w:eastAsia="Calibri" w:hAnsi="Calibri"/>
          <w:b/>
          <w:bCs/>
          <w:color w:val="B8860B"/>
          <w:sz w:val="24"/>
          <w:szCs w:val="24"/>
        </w:rPr>
        <w:t xml:space="preserve">Team: Data Ambassadors</w:t>
      </w:r>
    </w:p>
    <w:p>
      <w:pPr>
        <w:spacing w:after="1600"/>
      </w:pPr>
    </w:p>
    <w:p>
      <w:pPr>
        <w:pBdr>
          <w:top w:val="single" w:color="1F3864" w:sz="6" w:space="8"/>
        </w:pBdr>
        <w:jc w:val="center"/>
      </w:pPr>
    </w:p>
    <w:p>
      <w:pPr>
        <w:spacing w:before="200"/>
        <w:jc w:val="center"/>
      </w:pPr>
      <w:r>
        <w:rPr>
          <w:rFonts w:ascii="Calibri" w:cs="Calibri" w:eastAsia="Calibri" w:hAnsi="Calibri"/>
          <w:color w:val="595959"/>
          <w:sz w:val="20"/>
          <w:szCs w:val="20"/>
        </w:rPr>
        <w:t xml:space="preserve">Document Scope: Data Engineering Layer</w:t>
      </w:r>
    </w:p>
    <w:p>
      <w:pPr>
        <w:jc w:val="center"/>
      </w:pPr>
      <w:r>
        <w:rPr>
          <w:rFonts w:ascii="Calibri" w:cs="Calibri" w:eastAsia="Calibri" w:hAnsi="Calibri"/>
          <w:color w:val="595959"/>
          <w:sz w:val="20"/>
          <w:szCs w:val="20"/>
        </w:rPr>
        <w:t xml:space="preserve">Covers ingestion, cleaning, transformation, star-schema modeling, indexing, and QA</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0"/>
          <w:szCs w:val="30"/>
        </w:rPr>
        <w:t xml:space="preserve">1. Project Overview</w:t>
      </w:r>
    </w:p>
    <w:p>
      <w:pPr>
        <w:spacing w:after="160" w:line="276"/>
      </w:pPr>
      <w:r>
        <w:rPr>
          <w:rFonts w:ascii="Calibri" w:cs="Calibri" w:eastAsia="Calibri" w:hAnsi="Calibri"/>
          <w:color w:val="222222"/>
          <w:sz w:val="22"/>
          <w:szCs w:val="22"/>
        </w:rPr>
        <w:t xml:space="preserve">This document describes the data warehouse layer of the Healthcare Intelligence Platform, built by the Data Ambassadors team as part of the DEPI (Digital Egypt Pioneers Initiative) / Rwaad Initiative Data Analytics Track graduation project. It covers the full engineering pipeline that takes a raw synthetic surgical-encounter dataset and turns it into a governed, query-ready analytical model that feeds nine Power BI dashboards (clinical quality, finance, operations, HR, patient experience, health equity, supply chain, and surgical performance).</w:t>
      </w:r>
    </w:p>
    <w:p>
      <w:pPr>
        <w:spacing w:after="160" w:line="276"/>
      </w:pPr>
      <w:r>
        <w:rPr>
          <w:rFonts w:ascii="Calibri" w:cs="Calibri" w:eastAsia="Calibri" w:hAnsi="Calibri"/>
          <w:color w:val="222222"/>
          <w:sz w:val="22"/>
          <w:szCs w:val="22"/>
        </w:rPr>
        <w:t xml:space="preserve">The dataset (encounters_v2.csv) contains 103 columns across eight domains — patient demographics, clinical, operational, financial, human resources, patient experience, supply chain, and quality/standards — describing roughly 1 million synthetic inpatient surgical encounters. The data is HIPAA Safe Harbor compliant (fully synthetic, no real patient identifiers).</w:t>
      </w:r>
    </w:p>
    <w:p>
      <w:pPr>
        <w:pStyle w:val="Heading2"/>
        <w:spacing w:after="120" w:before="300"/>
      </w:pPr>
      <w:r>
        <w:rPr>
          <w:rFonts w:ascii="Calibri" w:cs="Calibri" w:eastAsia="Calibri" w:hAnsi="Calibri"/>
          <w:b/>
          <w:bCs/>
          <w:color w:val="0E7C7B"/>
          <w:sz w:val="24"/>
          <w:szCs w:val="24"/>
        </w:rPr>
        <w:t xml:space="preserve">1.1 Pipeline at a Glance</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4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Stage</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Tool</w:t>
            </w:r>
          </w:p>
        </w:tc>
        <w:tc>
          <w:tcPr>
            <w:tcW w:type="dxa" w:w="3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Script(s)</w:t>
            </w:r>
          </w:p>
        </w:tc>
        <w:tc>
          <w:tcPr>
            <w:tcW w:type="dxa" w:w="4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Purpose</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Ingestion</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Python (pandas, SQLAlchemy)</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import_pandas_as_pd.py</w:t>
            </w:r>
          </w:p>
        </w:tc>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Load raw CSV and push it untouched into SQL Server</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Bronze</w:t>
            </w:r>
          </w:p>
        </w:tc>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T-SQL</w:t>
            </w:r>
          </w:p>
        </w:tc>
        <w:tc>
          <w:tcPr>
            <w:tcW w:type="dxa" w:w="3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00_setup_database.sql, 01_create_bronze.sql</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Create database/schemas and the raw landing table</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Cleaning (prototype)</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Python (pandas)</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final_project_cleaning.py</w:t>
            </w:r>
          </w:p>
        </w:tc>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EDA, type casts, validation, timestamp-logic fix</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Silver</w:t>
            </w:r>
          </w:p>
        </w:tc>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T-SQL</w:t>
            </w:r>
          </w:p>
        </w:tc>
        <w:tc>
          <w:tcPr>
            <w:tcW w:type="dxa" w:w="3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02_create_and_load_silver.sql</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SQL re-implementation of the Python cleaning logic at scale</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Gold</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T-SQL</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03_create_and_load_gold.sql</w:t>
            </w:r>
          </w:p>
        </w:tc>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Star schema (1 fact + 7 dimensions) for Power BI</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Performance</w:t>
            </w:r>
          </w:p>
        </w:tc>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T-SQL</w:t>
            </w:r>
          </w:p>
        </w:tc>
        <w:tc>
          <w:tcPr>
            <w:tcW w:type="dxa" w:w="3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04_Creating_Indexes_for_Lightning_Speed.sql</w:t>
            </w:r>
          </w:p>
        </w:tc>
        <w:tc>
          <w:tcPr>
            <w:tcW w:type="dxa" w:w="4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Indexes + 5 reporting views</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19"/>
                <w:szCs w:val="19"/>
              </w:rPr>
              <w:t xml:space="preserve">QA</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T-SQL</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05_quality_checks.sql</w:t>
            </w:r>
          </w:p>
        </w:tc>
        <w:tc>
          <w:tcPr>
            <w:tcW w:type="dxa" w:w="4200"/>
            <w:tcMar>
              <w:top w:type="dxa" w:w="80"/>
              <w:left w:type="dxa" w:w="100"/>
              <w:bottom w:type="dxa" w:w="80"/>
              <w:right w:type="dxa" w:w="100"/>
            </w:tcMar>
          </w:tcPr>
          <w:p>
            <w:r>
              <w:rPr>
                <w:rFonts w:ascii="Calibri" w:cs="Calibri" w:eastAsia="Calibri" w:hAnsi="Calibri"/>
                <w:b w:val="false"/>
                <w:bCs w:val="false"/>
                <w:color w:val="222222"/>
                <w:sz w:val="19"/>
                <w:szCs w:val="19"/>
              </w:rPr>
              <w:t xml:space="preserve">Row counts, null checks, duplicate checks</w:t>
            </w:r>
          </w:p>
        </w:tc>
      </w:tr>
    </w:tbl>
    <w:p>
      <w:pPr>
        <w:spacing w:after="200"/>
      </w:pPr>
    </w:p>
    <w:p>
      <w:pPr>
        <w:pStyle w:val="Heading1"/>
        <w:pBdr>
          <w:bottom w:val="single" w:color="1F3864" w:sz="6" w:space="4"/>
        </w:pBdr>
        <w:spacing w:after="200" w:before="400"/>
      </w:pPr>
      <w:r>
        <w:rPr>
          <w:rFonts w:ascii="Calibri" w:cs="Calibri" w:eastAsia="Calibri" w:hAnsi="Calibri"/>
          <w:b/>
          <w:bCs/>
          <w:color w:val="1F3864"/>
          <w:sz w:val="30"/>
          <w:szCs w:val="30"/>
        </w:rPr>
        <w:t xml:space="preserve">2. Data Warehouse Architecture — Medallion Model</w:t>
      </w:r>
    </w:p>
    <w:p>
      <w:pPr>
        <w:spacing w:after="160" w:line="276"/>
      </w:pPr>
      <w:r>
        <w:rPr>
          <w:rFonts w:ascii="Calibri" w:cs="Calibri" w:eastAsia="Calibri" w:hAnsi="Calibri"/>
          <w:color w:val="222222"/>
          <w:sz w:val="22"/>
          <w:szCs w:val="22"/>
        </w:rPr>
        <w:t xml:space="preserve">The warehouse follows the Medallion Architecture pattern, organizing data into three progressively refined layers within a single SQL Server database (HealthcareDB). This separation keeps the raw source data immutable and auditable while giving each downstream layer a clear, single responsibility.</w:t>
      </w:r>
    </w:p>
    <w:p>
      <w:pPr>
        <w:pStyle w:val="ListParagraph"/>
        <w:numPr>
          <w:ilvl w:val="0"/>
          <w:numId w:val="2"/>
        </w:numPr>
        <w:spacing w:after="80"/>
      </w:pPr>
      <w:r>
        <w:rPr>
          <w:rFonts w:ascii="Calibri" w:cs="Calibri" w:eastAsia="Calibri" w:hAnsi="Calibri"/>
          <w:color w:val="222222"/>
          <w:sz w:val="22"/>
          <w:szCs w:val="22"/>
        </w:rPr>
        <w:t xml:space="preserve">Bronze — raw, untouched landing zone. Every column is stored as NVARCHAR(MAX) so that no value is ever rejected on load.</w:t>
      </w:r>
    </w:p>
    <w:p>
      <w:pPr>
        <w:pStyle w:val="ListParagraph"/>
        <w:numPr>
          <w:ilvl w:val="0"/>
          <w:numId w:val="2"/>
        </w:numPr>
        <w:spacing w:after="80"/>
      </w:pPr>
      <w:r>
        <w:rPr>
          <w:rFonts w:ascii="Calibri" w:cs="Calibri" w:eastAsia="Calibri" w:hAnsi="Calibri"/>
          <w:color w:val="222222"/>
          <w:sz w:val="22"/>
          <w:szCs w:val="22"/>
        </w:rPr>
        <w:t xml:space="preserve">Silver — cleaned, typed, and validated data. One row per encounter, with correct data types, trimmed strings, validated binary flags, and business-rule corrections applied.</w:t>
      </w:r>
    </w:p>
    <w:p>
      <w:pPr>
        <w:pStyle w:val="ListParagraph"/>
        <w:numPr>
          <w:ilvl w:val="0"/>
          <w:numId w:val="2"/>
        </w:numPr>
        <w:spacing w:after="80"/>
      </w:pPr>
      <w:r>
        <w:rPr>
          <w:rFonts w:ascii="Calibri" w:cs="Calibri" w:eastAsia="Calibri" w:hAnsi="Calibri"/>
          <w:color w:val="222222"/>
          <w:sz w:val="22"/>
          <w:szCs w:val="22"/>
        </w:rPr>
        <w:t xml:space="preserve">Gold — a Star Schema optimized for Power BI: one fact table surrounded by conformed dimensions.</w:t>
      </w:r>
    </w:p>
    <w:p>
      <w:pPr>
        <w:spacing w:after="200"/>
      </w:pPr>
    </w:p>
    <w:p>
      <w:pPr>
        <w:pStyle w:val="Heading2"/>
        <w:spacing w:after="120" w:before="300"/>
      </w:pPr>
      <w:r>
        <w:rPr>
          <w:rFonts w:ascii="Calibri" w:cs="Calibri" w:eastAsia="Calibri" w:hAnsi="Calibri"/>
          <w:b/>
          <w:bCs/>
          <w:color w:val="0E7C7B"/>
          <w:sz w:val="24"/>
          <w:szCs w:val="24"/>
        </w:rPr>
        <w:t xml:space="preserve">2.1 Database &amp; Schema Setup — 00_setup_database.sql</w:t>
      </w:r>
    </w:p>
    <w:p>
      <w:pPr>
        <w:spacing w:after="160" w:line="276"/>
      </w:pPr>
      <w:r>
        <w:rPr>
          <w:rFonts w:ascii="Calibri" w:cs="Calibri" w:eastAsia="Calibri" w:hAnsi="Calibri"/>
          <w:color w:val="222222"/>
          <w:sz w:val="22"/>
          <w:szCs w:val="22"/>
        </w:rPr>
        <w:t xml:space="preserve">The setup script is the entry point of the pipeline. It creates the HealthcareDB database if it does not already exist, then creates the three schemas that implement the Medallion layers: bronze, silver, and gold. Each CREATE statement is guarded with an existence check (DB_ID / SCHEMA_ID), so the script is safe to re-run without throwing errors on an already-provisioned environment.</w:t>
      </w:r>
    </w:p>
    <w:p>
      <w:pPr>
        <w:pBdr>
          <w:top w:val="single" w:color="B8860B" w:sz="4" w:space="4"/>
          <w:bottom w:val="single" w:color="B8860B" w:sz="4" w:space="4"/>
          <w:left w:val="single" w:color="B8860B" w:sz="12" w:space="4"/>
          <w:right w:val="single" w:color="B8860B" w:sz="4" w:space="4"/>
        </w:pBdr>
        <w:shd w:fill="FFF7E0" w:val="clear"/>
        <w:spacing w:after="200" w:before="100"/>
      </w:pPr>
      <w:r>
        <w:rPr>
          <w:rFonts w:ascii="Calibri" w:cs="Calibri" w:eastAsia="Calibri" w:hAnsi="Calibri"/>
          <w:i/>
          <w:iCs/>
          <w:color w:val="6B4E00"/>
          <w:sz w:val="20"/>
          <w:szCs w:val="20"/>
        </w:rPr>
        <w:t xml:space="preserve">Note: Re-running this script will not drop or recreate an existing database — it only fills in missing pieces. This makes it safe to include in a repeatable setup routine.</w:t>
      </w:r>
    </w:p>
    <w:p>
      <w:pPr>
        <w:pStyle w:val="Heading1"/>
        <w:pBdr>
          <w:bottom w:val="single" w:color="1F3864" w:sz="6" w:space="4"/>
        </w:pBdr>
        <w:spacing w:after="200" w:before="400"/>
      </w:pPr>
      <w:r>
        <w:rPr>
          <w:rFonts w:ascii="Calibri" w:cs="Calibri" w:eastAsia="Calibri" w:hAnsi="Calibri"/>
          <w:b/>
          <w:bCs/>
          <w:color w:val="1F3864"/>
          <w:sz w:val="30"/>
          <w:szCs w:val="30"/>
        </w:rPr>
        <w:t xml:space="preserve">3. Bronze Layer — Raw Ingestion</w:t>
      </w:r>
    </w:p>
    <w:p>
      <w:pPr>
        <w:pStyle w:val="Heading2"/>
        <w:spacing w:after="120" w:before="300"/>
      </w:pPr>
      <w:r>
        <w:rPr>
          <w:rFonts w:ascii="Calibri" w:cs="Calibri" w:eastAsia="Calibri" w:hAnsi="Calibri"/>
          <w:b/>
          <w:bCs/>
          <w:color w:val="0E7C7B"/>
          <w:sz w:val="24"/>
          <w:szCs w:val="24"/>
        </w:rPr>
        <w:t xml:space="preserve">3.1 Python Ingestion Script — import_pandas_as_pd.py</w:t>
      </w:r>
    </w:p>
    <w:p>
      <w:pPr>
        <w:spacing w:after="160" w:line="276"/>
      </w:pPr>
      <w:r>
        <w:rPr>
          <w:rFonts w:ascii="Calibri" w:cs="Calibri" w:eastAsia="Calibri" w:hAnsi="Calibri"/>
          <w:color w:val="222222"/>
          <w:sz w:val="22"/>
          <w:szCs w:val="22"/>
        </w:rPr>
        <w:t xml:space="preserve">This script is the bridge between the raw CSV file and SQL Server. It has three responsibilities:</w:t>
      </w:r>
    </w:p>
    <w:p>
      <w:pPr>
        <w:pStyle w:val="ListParagraph"/>
        <w:numPr>
          <w:ilvl w:val="0"/>
          <w:numId w:val="2"/>
        </w:numPr>
        <w:spacing w:after="80"/>
      </w:pPr>
      <w:r>
        <w:rPr>
          <w:rFonts w:ascii="Calibri" w:cs="Calibri" w:eastAsia="Calibri" w:hAnsi="Calibri"/>
          <w:color w:val="222222"/>
          <w:sz w:val="22"/>
          <w:szCs w:val="22"/>
        </w:rPr>
        <w:t xml:space="preserve">Read the CSV with pandas, forcing every column to be read as a string (dtype=str) so that malformed or unexpected values never cause a load failure.</w:t>
      </w:r>
    </w:p>
    <w:p>
      <w:pPr>
        <w:pStyle w:val="ListParagraph"/>
        <w:numPr>
          <w:ilvl w:val="0"/>
          <w:numId w:val="2"/>
        </w:numPr>
        <w:spacing w:after="80"/>
      </w:pPr>
      <w:r>
        <w:rPr>
          <w:rFonts w:ascii="Calibri" w:cs="Calibri" w:eastAsia="Calibri" w:hAnsi="Calibri"/>
          <w:color w:val="222222"/>
          <w:sz w:val="22"/>
          <w:szCs w:val="22"/>
        </w:rPr>
        <w:t xml:space="preserve">Open a connection to SQL Server using SQLAlchemy and a pyodbc connection string (ODBC Driver 17, Trusted Connection).</w:t>
      </w:r>
    </w:p>
    <w:p>
      <w:pPr>
        <w:pStyle w:val="ListParagraph"/>
        <w:numPr>
          <w:ilvl w:val="0"/>
          <w:numId w:val="2"/>
        </w:numPr>
        <w:spacing w:after="80"/>
      </w:pPr>
      <w:r>
        <w:rPr>
          <w:rFonts w:ascii="Calibri" w:cs="Calibri" w:eastAsia="Calibri" w:hAnsi="Calibri"/>
          <w:color w:val="222222"/>
          <w:sz w:val="22"/>
          <w:szCs w:val="22"/>
        </w:rPr>
        <w:t xml:space="preserve">Push the dataframe into bronze.healthcare_raw using to_sql(), with if_exists='replace' and chunksize=10000 so large files upload in manageable batches instead of a single blocking transaction.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Step</w:t>
            </w:r>
          </w:p>
        </w:tc>
        <w:tc>
          <w:tcPr>
            <w:tcW w:type="dxa" w:w="6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Detail</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Source file</w:t>
            </w:r>
          </w:p>
        </w:tc>
        <w:tc>
          <w:tcPr>
            <w:tcW w:type="dxa" w:w="6600"/>
            <w:tcMar>
              <w:top w:type="dxa" w:w="80"/>
              <w:left w:type="dxa" w:w="100"/>
              <w:bottom w:type="dxa" w:w="80"/>
              <w:right w:type="dxa" w:w="100"/>
            </w:tcMar>
          </w:tcPr>
          <w:p>
            <w:r>
              <w:rPr>
                <w:rFonts w:ascii="Calibri" w:cs="Calibri" w:eastAsia="Calibri" w:hAnsi="Calibri"/>
                <w:b w:val="false"/>
                <w:bCs w:val="false"/>
                <w:color w:val="222222"/>
                <w:sz w:val="19"/>
                <w:szCs w:val="19"/>
              </w:rPr>
              <w:t xml:space="preserve">encounters_v2.csv (local path, read with dtype=str)</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Target table</w:t>
            </w:r>
          </w:p>
        </w:tc>
        <w:tc>
          <w:tcPr>
            <w:tcW w:type="dxa" w:w="6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bronze.healthcare_raw</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Load mode</w:t>
            </w:r>
          </w:p>
        </w:tc>
        <w:tc>
          <w:tcPr>
            <w:tcW w:type="dxa" w:w="6600"/>
            <w:tcMar>
              <w:top w:type="dxa" w:w="80"/>
              <w:left w:type="dxa" w:w="100"/>
              <w:bottom w:type="dxa" w:w="80"/>
              <w:right w:type="dxa" w:w="100"/>
            </w:tcMar>
          </w:tcPr>
          <w:p>
            <w:r>
              <w:rPr>
                <w:rFonts w:ascii="Calibri" w:cs="Calibri" w:eastAsia="Calibri" w:hAnsi="Calibri"/>
                <w:b w:val="false"/>
                <w:bCs w:val="false"/>
                <w:color w:val="222222"/>
                <w:sz w:val="19"/>
                <w:szCs w:val="19"/>
              </w:rPr>
              <w:t xml:space="preserve">replace (previous load is fully overwritten)</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Batch size</w:t>
            </w:r>
          </w:p>
        </w:tc>
        <w:tc>
          <w:tcPr>
            <w:tcW w:type="dxa" w:w="6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10,000 rows per chunk (fast_executemany=True)</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Column hygiene</w:t>
            </w:r>
          </w:p>
        </w:tc>
        <w:tc>
          <w:tcPr>
            <w:tcW w:type="dxa" w:w="6600"/>
            <w:tcMar>
              <w:top w:type="dxa" w:w="80"/>
              <w:left w:type="dxa" w:w="100"/>
              <w:bottom w:type="dxa" w:w="80"/>
              <w:right w:type="dxa" w:w="100"/>
            </w:tcMar>
          </w:tcPr>
          <w:p>
            <w:r>
              <w:rPr>
                <w:rFonts w:ascii="Calibri" w:cs="Calibri" w:eastAsia="Calibri" w:hAnsi="Calibri"/>
                <w:b w:val="false"/>
                <w:bCs w:val="false"/>
                <w:color w:val="222222"/>
                <w:sz w:val="19"/>
                <w:szCs w:val="19"/>
              </w:rPr>
              <w:t xml:space="preserve">Column names stripped of whitespace before load</w:t>
            </w:r>
          </w:p>
        </w:tc>
      </w:tr>
    </w:tbl>
    <w:p>
      <w:pPr>
        <w:spacing w:after="200"/>
      </w:pPr>
    </w:p>
    <w:p>
      <w:pPr>
        <w:pStyle w:val="Heading2"/>
        <w:spacing w:after="120" w:before="300"/>
      </w:pPr>
      <w:r>
        <w:rPr>
          <w:rFonts w:ascii="Calibri" w:cs="Calibri" w:eastAsia="Calibri" w:hAnsi="Calibri"/>
          <w:b/>
          <w:bCs/>
          <w:color w:val="0E7C7B"/>
          <w:sz w:val="24"/>
          <w:szCs w:val="24"/>
        </w:rPr>
        <w:t xml:space="preserve">3.2 Bronze Table Schema — 01_create_bronze.sql</w:t>
      </w:r>
    </w:p>
    <w:p>
      <w:pPr>
        <w:spacing w:after="160" w:line="276"/>
      </w:pPr>
      <w:r>
        <w:rPr>
          <w:rFonts w:ascii="Calibri" w:cs="Calibri" w:eastAsia="Calibri" w:hAnsi="Calibri"/>
          <w:color w:val="222222"/>
          <w:sz w:val="22"/>
          <w:szCs w:val="22"/>
        </w:rPr>
        <w:t xml:space="preserve">bronze.healthcare_raw mirrors every one of the 103 source columns as NVARCHAR(MAX), grouped by the same eight business domains as the source file: Patient Demographics (6), Clinical (25), Operational (18), Financial (15), Human Resources (21), Patient Experience (3), Supply Chain (11), and Quality &amp; Standards (4). Three metadata columns are added for auditability: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Column</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Purpose</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bronze_record_id</w:t>
            </w:r>
          </w:p>
        </w:tc>
        <w:tc>
          <w:tcPr>
            <w:tcW w:type="dxa" w:w="3400"/>
            <w:tcMar>
              <w:top w:type="dxa" w:w="80"/>
              <w:left w:type="dxa" w:w="100"/>
              <w:bottom w:type="dxa" w:w="80"/>
              <w:right w:type="dxa" w:w="100"/>
            </w:tcMar>
          </w:tcPr>
          <w:p>
            <w:r>
              <w:rPr>
                <w:rFonts w:ascii="Calibri" w:cs="Calibri" w:eastAsia="Calibri" w:hAnsi="Calibri"/>
                <w:b w:val="false"/>
                <w:bCs w:val="false"/>
                <w:color w:val="222222"/>
                <w:sz w:val="19"/>
                <w:szCs w:val="19"/>
              </w:rPr>
              <w:t xml:space="preserve">BIGINT IDENTITY(1,1) PRIMARY KEY</w:t>
            </w:r>
          </w:p>
        </w:tc>
        <w:tc>
          <w:tcPr>
            <w:tcW w:type="dxa" w:w="3800"/>
            <w:tcMar>
              <w:top w:type="dxa" w:w="80"/>
              <w:left w:type="dxa" w:w="100"/>
              <w:bottom w:type="dxa" w:w="80"/>
              <w:right w:type="dxa" w:w="100"/>
            </w:tcMar>
          </w:tcPr>
          <w:p>
            <w:r>
              <w:rPr>
                <w:rFonts w:ascii="Calibri" w:cs="Calibri" w:eastAsia="Calibri" w:hAnsi="Calibri"/>
                <w:b w:val="false"/>
                <w:bCs w:val="false"/>
                <w:color w:val="222222"/>
                <w:sz w:val="19"/>
                <w:szCs w:val="19"/>
              </w:rPr>
              <w:t xml:space="preserve">Surrogate key for every raw row loaded</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batch_id</w:t>
            </w:r>
          </w:p>
        </w:tc>
        <w:tc>
          <w:tcPr>
            <w:tcW w:type="dxa" w:w="3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UNIQUEIDENTIFIER (default NEWID())</w:t>
            </w:r>
          </w:p>
        </w:tc>
        <w:tc>
          <w:tcPr>
            <w:tcW w:type="dxa" w:w="38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Groups rows by load batch for traceability</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loaded_at</w:t>
            </w:r>
          </w:p>
        </w:tc>
        <w:tc>
          <w:tcPr>
            <w:tcW w:type="dxa" w:w="3400"/>
            <w:tcMar>
              <w:top w:type="dxa" w:w="80"/>
              <w:left w:type="dxa" w:w="100"/>
              <w:bottom w:type="dxa" w:w="80"/>
              <w:right w:type="dxa" w:w="100"/>
            </w:tcMar>
          </w:tcPr>
          <w:p>
            <w:r>
              <w:rPr>
                <w:rFonts w:ascii="Calibri" w:cs="Calibri" w:eastAsia="Calibri" w:hAnsi="Calibri"/>
                <w:b w:val="false"/>
                <w:bCs w:val="false"/>
                <w:color w:val="222222"/>
                <w:sz w:val="19"/>
                <w:szCs w:val="19"/>
              </w:rPr>
              <w:t xml:space="preserve">DATETIME2(6) (default SYSUTCDATETIME())</w:t>
            </w:r>
          </w:p>
        </w:tc>
        <w:tc>
          <w:tcPr>
            <w:tcW w:type="dxa" w:w="3800"/>
            <w:tcMar>
              <w:top w:type="dxa" w:w="80"/>
              <w:left w:type="dxa" w:w="100"/>
              <w:bottom w:type="dxa" w:w="80"/>
              <w:right w:type="dxa" w:w="100"/>
            </w:tcMar>
          </w:tcPr>
          <w:p>
            <w:r>
              <w:rPr>
                <w:rFonts w:ascii="Calibri" w:cs="Calibri" w:eastAsia="Calibri" w:hAnsi="Calibri"/>
                <w:b w:val="false"/>
                <w:bCs w:val="false"/>
                <w:color w:val="222222"/>
                <w:sz w:val="19"/>
                <w:szCs w:val="19"/>
              </w:rPr>
              <w:t xml:space="preserve">Timestamp of ingestion, in UTC</w:t>
            </w:r>
          </w:p>
        </w:tc>
      </w:tr>
    </w:tbl>
    <w:p>
      <w:pPr>
        <w:pBdr>
          <w:top w:val="single" w:color="B8860B" w:sz="4" w:space="4"/>
          <w:bottom w:val="single" w:color="B8860B" w:sz="4" w:space="4"/>
          <w:left w:val="single" w:color="B8860B" w:sz="12" w:space="4"/>
          <w:right w:val="single" w:color="B8860B" w:sz="4" w:space="4"/>
        </w:pBdr>
        <w:shd w:fill="FFF7E0" w:val="clear"/>
        <w:spacing w:after="200" w:before="100"/>
      </w:pPr>
      <w:r>
        <w:rPr>
          <w:rFonts w:ascii="Calibri" w:cs="Calibri" w:eastAsia="Calibri" w:hAnsi="Calibri"/>
          <w:i/>
          <w:iCs/>
          <w:color w:val="6B4E00"/>
          <w:sz w:val="20"/>
          <w:szCs w:val="20"/>
        </w:rPr>
        <w:t xml:space="preserve">Note: Storing everything as text at this stage is intentional: Bronze's job is only to capture the source data exactly as it arrived. All type conversion and validation happens downstream, in Silver.</w:t>
      </w:r>
    </w:p>
    <w:p>
      <w:pPr>
        <w:pStyle w:val="Heading1"/>
        <w:pBdr>
          <w:bottom w:val="single" w:color="1F3864" w:sz="6" w:space="4"/>
        </w:pBdr>
        <w:spacing w:after="200" w:before="400"/>
      </w:pPr>
      <w:r>
        <w:rPr>
          <w:rFonts w:ascii="Calibri" w:cs="Calibri" w:eastAsia="Calibri" w:hAnsi="Calibri"/>
          <w:b/>
          <w:bCs/>
          <w:color w:val="1F3864"/>
          <w:sz w:val="30"/>
          <w:szCs w:val="30"/>
        </w:rPr>
        <w:t xml:space="preserve">4. Data Cleaning Logic</w:t>
      </w:r>
    </w:p>
    <w:p>
      <w:pPr>
        <w:spacing w:after="160" w:line="276"/>
      </w:pPr>
      <w:r>
        <w:rPr>
          <w:rFonts w:ascii="Calibri" w:cs="Calibri" w:eastAsia="Calibri" w:hAnsi="Calibri"/>
          <w:color w:val="222222"/>
          <w:sz w:val="22"/>
          <w:szCs w:val="22"/>
        </w:rPr>
        <w:t xml:space="preserve">Data cleaning was first prototyped in Python (pandas) for exploratory analysis, then re-implemented as set-based T-SQL so the same logic could run at scale directly inside the warehouse. Both versions apply the same business rules; the sections below map one to the other.</w:t>
      </w:r>
    </w:p>
    <w:p>
      <w:pPr>
        <w:pStyle w:val="Heading2"/>
        <w:spacing w:after="120" w:before="300"/>
      </w:pPr>
      <w:r>
        <w:rPr>
          <w:rFonts w:ascii="Calibri" w:cs="Calibri" w:eastAsia="Calibri" w:hAnsi="Calibri"/>
          <w:b/>
          <w:bCs/>
          <w:color w:val="0E7C7B"/>
          <w:sz w:val="24"/>
          <w:szCs w:val="24"/>
        </w:rPr>
        <w:t xml:space="preserve">4.1 Python Prototype — final_project_cleaning.py</w:t>
      </w:r>
    </w:p>
    <w:p>
      <w:pPr>
        <w:spacing w:after="160" w:line="276"/>
      </w:pPr>
      <w:r>
        <w:rPr>
          <w:rFonts w:ascii="Calibri" w:cs="Calibri" w:eastAsia="Calibri" w:hAnsi="Calibri"/>
          <w:color w:val="222222"/>
          <w:sz w:val="22"/>
          <w:szCs w:val="22"/>
        </w:rPr>
        <w:t xml:space="preserve">This notebook-style script (originally run in Google Colab) walks through eleven sections: library imports, dataset load, exploratory data analysis (EDA), EDA visualizations, data type corrections, binary column validation, range validation, timestamp logic fix, a final data-type summary, saving the cleaned CSV, and a pipeline summary printout.</w:t>
      </w:r>
    </w:p>
    <w:p>
      <w:pPr>
        <w:pStyle w:val="Heading3"/>
        <w:spacing w:after="100" w:before="200"/>
      </w:pPr>
      <w:r>
        <w:rPr>
          <w:rFonts w:ascii="Calibri" w:cs="Calibri" w:eastAsia="Calibri" w:hAnsi="Calibri"/>
          <w:b/>
          <w:bCs/>
          <w:color w:val="222222"/>
          <w:sz w:val="21"/>
          <w:szCs w:val="21"/>
        </w:rPr>
        <w:t xml:space="preserve">EDA (Section 3)</w:t>
      </w:r>
    </w:p>
    <w:p>
      <w:pPr>
        <w:pStyle w:val="ListParagraph"/>
        <w:numPr>
          <w:ilvl w:val="0"/>
          <w:numId w:val="2"/>
        </w:numPr>
        <w:spacing w:after="80"/>
      </w:pPr>
      <w:r>
        <w:rPr>
          <w:rFonts w:ascii="Calibri" w:cs="Calibri" w:eastAsia="Calibri" w:hAnsi="Calibri"/>
          <w:color w:val="222222"/>
          <w:sz w:val="22"/>
          <w:szCs w:val="22"/>
        </w:rPr>
        <w:t xml:space="preserve">Row/column counts, df.info(), and df.describe() for a statistical overview.</w:t>
      </w:r>
    </w:p>
    <w:p>
      <w:pPr>
        <w:pStyle w:val="ListParagraph"/>
        <w:numPr>
          <w:ilvl w:val="0"/>
          <w:numId w:val="2"/>
        </w:numPr>
        <w:spacing w:after="80"/>
      </w:pPr>
      <w:r>
        <w:rPr>
          <w:rFonts w:ascii="Calibri" w:cs="Calibri" w:eastAsia="Calibri" w:hAnsi="Calibri"/>
          <w:color w:val="222222"/>
          <w:sz w:val="22"/>
          <w:szCs w:val="22"/>
        </w:rPr>
        <w:t xml:space="preserve">Duplicate-row check across the full dataset.</w:t>
      </w:r>
    </w:p>
    <w:p>
      <w:pPr>
        <w:pStyle w:val="ListParagraph"/>
        <w:numPr>
          <w:ilvl w:val="0"/>
          <w:numId w:val="2"/>
        </w:numPr>
        <w:spacing w:after="80"/>
      </w:pPr>
      <w:r>
        <w:rPr>
          <w:rFonts w:ascii="Calibri" w:cs="Calibri" w:eastAsia="Calibri" w:hAnsi="Calibri"/>
          <w:color w:val="222222"/>
          <w:sz w:val="22"/>
          <w:szCs w:val="22"/>
        </w:rPr>
        <w:t xml:space="preserve">Missing-value inventory per column — nulls are reported but explicitly not imputed, since they are structural (intentional) by design per instructor guidance.</w:t>
      </w:r>
    </w:p>
    <w:p>
      <w:pPr>
        <w:pStyle w:val="Heading3"/>
        <w:spacing w:after="100" w:before="200"/>
      </w:pPr>
      <w:r>
        <w:rPr>
          <w:rFonts w:ascii="Calibri" w:cs="Calibri" w:eastAsia="Calibri" w:hAnsi="Calibri"/>
          <w:b/>
          <w:bCs/>
          <w:color w:val="222222"/>
          <w:sz w:val="21"/>
          <w:szCs w:val="21"/>
        </w:rPr>
        <w:t xml:space="preserve">EDA Visualizations (Section 4)</w:t>
      </w:r>
    </w:p>
    <w:p>
      <w:pPr>
        <w:pStyle w:val="ListParagraph"/>
        <w:numPr>
          <w:ilvl w:val="0"/>
          <w:numId w:val="2"/>
        </w:numPr>
        <w:spacing w:after="80"/>
      </w:pPr>
      <w:r>
        <w:rPr>
          <w:rFonts w:ascii="Calibri" w:cs="Calibri" w:eastAsia="Calibri" w:hAnsi="Calibri"/>
          <w:color w:val="222222"/>
          <w:sz w:val="22"/>
          <w:szCs w:val="22"/>
        </w:rPr>
        <w:t xml:space="preserve">Severity Index distribution (histogram with mean line).</w:t>
      </w:r>
    </w:p>
    <w:p>
      <w:pPr>
        <w:pStyle w:val="ListParagraph"/>
        <w:numPr>
          <w:ilvl w:val="0"/>
          <w:numId w:val="2"/>
        </w:numPr>
        <w:spacing w:after="80"/>
      </w:pPr>
      <w:r>
        <w:rPr>
          <w:rFonts w:ascii="Calibri" w:cs="Calibri" w:eastAsia="Calibri" w:hAnsi="Calibri"/>
          <w:color w:val="222222"/>
          <w:sz w:val="22"/>
          <w:szCs w:val="22"/>
        </w:rPr>
        <w:t xml:space="preserve">30-day readmission rate by diagnosis category, benchmarked against the CMS 15% target.</w:t>
      </w:r>
    </w:p>
    <w:p>
      <w:pPr>
        <w:pStyle w:val="ListParagraph"/>
        <w:numPr>
          <w:ilvl w:val="0"/>
          <w:numId w:val="2"/>
        </w:numPr>
        <w:spacing w:after="80"/>
      </w:pPr>
      <w:r>
        <w:rPr>
          <w:rFonts w:ascii="Calibri" w:cs="Calibri" w:eastAsia="Calibri" w:hAnsi="Calibri"/>
          <w:color w:val="222222"/>
          <w:sz w:val="22"/>
          <w:szCs w:val="22"/>
        </w:rPr>
        <w:t xml:space="preserve">Hospital-Acquired Infection (HAI) rate by unit, benchmarked against the CMS HACRP 3% target.</w:t>
      </w:r>
    </w:p>
    <w:p>
      <w:pPr>
        <w:pStyle w:val="ListParagraph"/>
        <w:numPr>
          <w:ilvl w:val="0"/>
          <w:numId w:val="2"/>
        </w:numPr>
        <w:spacing w:after="80"/>
      </w:pPr>
      <w:r>
        <w:rPr>
          <w:rFonts w:ascii="Calibri" w:cs="Calibri" w:eastAsia="Calibri" w:hAnsi="Calibri"/>
          <w:color w:val="222222"/>
          <w:sz w:val="22"/>
          <w:szCs w:val="22"/>
        </w:rPr>
        <w:t xml:space="preserve">Length of stay by diagnosis category (boxplot).</w:t>
      </w:r>
    </w:p>
    <w:p>
      <w:pPr>
        <w:pStyle w:val="ListParagraph"/>
        <w:numPr>
          <w:ilvl w:val="0"/>
          <w:numId w:val="2"/>
        </w:numPr>
        <w:spacing w:after="80"/>
      </w:pPr>
      <w:r>
        <w:rPr>
          <w:rFonts w:ascii="Calibri" w:cs="Calibri" w:eastAsia="Calibri" w:hAnsi="Calibri"/>
          <w:color w:val="222222"/>
          <w:sz w:val="22"/>
          <w:szCs w:val="22"/>
        </w:rPr>
        <w:t xml:space="preserve">Claim denial rate by payer, benchmarked against a 10% internal target.</w:t>
      </w:r>
    </w:p>
    <w:p>
      <w:pPr>
        <w:pStyle w:val="ListParagraph"/>
        <w:numPr>
          <w:ilvl w:val="0"/>
          <w:numId w:val="2"/>
        </w:numPr>
        <w:spacing w:after="80"/>
      </w:pPr>
      <w:r>
        <w:rPr>
          <w:rFonts w:ascii="Calibri" w:cs="Calibri" w:eastAsia="Calibri" w:hAnsi="Calibri"/>
          <w:color w:val="222222"/>
          <w:sz w:val="22"/>
          <w:szCs w:val="22"/>
        </w:rPr>
        <w:t xml:space="preserve">Nurse burnout (MBI Emotional Exhaustion) by role, benchmarked against the MBI ≥ 3.5 high-burnout threshold.</w:t>
      </w:r>
    </w:p>
    <w:p>
      <w:pPr>
        <w:pStyle w:val="Heading3"/>
        <w:spacing w:after="100" w:before="200"/>
      </w:pPr>
      <w:r>
        <w:rPr>
          <w:rFonts w:ascii="Calibri" w:cs="Calibri" w:eastAsia="Calibri" w:hAnsi="Calibri"/>
          <w:b/>
          <w:bCs/>
          <w:color w:val="222222"/>
          <w:sz w:val="21"/>
          <w:szCs w:val="21"/>
        </w:rPr>
        <w:t xml:space="preserve">Data Type Corrections (Section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1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Column count</w:t>
            </w:r>
          </w:p>
        </w:tc>
        <w:tc>
          <w:tcPr>
            <w:tcW w:type="dxa" w:w="5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Conversion applied</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DateTime columns</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8</w:t>
            </w:r>
          </w:p>
        </w:tc>
        <w:tc>
          <w:tcPr>
            <w:tcW w:type="dxa" w:w="5600"/>
            <w:tcMar>
              <w:top w:type="dxa" w:w="80"/>
              <w:left w:type="dxa" w:w="100"/>
              <w:bottom w:type="dxa" w:w="80"/>
              <w:right w:type="dxa" w:w="100"/>
            </w:tcMar>
          </w:tcPr>
          <w:p>
            <w:r>
              <w:rPr>
                <w:rFonts w:ascii="Calibri" w:cs="Calibri" w:eastAsia="Calibri" w:hAnsi="Calibri"/>
                <w:b w:val="false"/>
                <w:bCs w:val="false"/>
                <w:color w:val="222222"/>
                <w:sz w:val="19"/>
                <w:szCs w:val="19"/>
              </w:rPr>
              <w:t xml:space="preserve">pd.to_datetime(errors='coerce') — triage, physician assessment, admit, bed request/assign, OR start/end, discharge</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Date columns</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2</w:t>
            </w:r>
          </w:p>
        </w:tc>
        <w:tc>
          <w:tcPr>
            <w:tcW w:type="dxa" w:w="5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Converted to date-only — appointment_request_date, kit_expiration_date</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String identifiers</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2</w:t>
            </w:r>
          </w:p>
        </w:tc>
        <w:tc>
          <w:tcPr>
            <w:tcW w:type="dxa" w:w="5600"/>
            <w:tcMar>
              <w:top w:type="dxa" w:w="80"/>
              <w:left w:type="dxa" w:w="100"/>
              <w:bottom w:type="dxa" w:w="80"/>
              <w:right w:type="dxa" w:w="100"/>
            </w:tcMar>
          </w:tcPr>
          <w:p>
            <w:r>
              <w:rPr>
                <w:rFonts w:ascii="Calibri" w:cs="Calibri" w:eastAsia="Calibri" w:hAnsi="Calibri"/>
                <w:b w:val="false"/>
                <w:bCs w:val="false"/>
                <w:color w:val="222222"/>
                <w:sz w:val="19"/>
                <w:szCs w:val="19"/>
              </w:rPr>
              <w:t xml:space="preserve">npi_billing zero-padded to 10 digits; cpt_code cast to string (both must not be treated as numbers)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Float columns</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35</w:t>
            </w:r>
          </w:p>
        </w:tc>
        <w:tc>
          <w:tcPr>
            <w:tcW w:type="dxa" w:w="5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pd.to_numeric(errors='coerce') across vitals, labs, financials, HR, and CAHPS scores</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Integer columns</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17</w:t>
            </w:r>
          </w:p>
        </w:tc>
        <w:tc>
          <w:tcPr>
            <w:tcW w:type="dxa" w:w="5600"/>
            <w:tcMar>
              <w:top w:type="dxa" w:w="80"/>
              <w:left w:type="dxa" w:w="100"/>
              <w:bottom w:type="dxa" w:w="80"/>
              <w:right w:type="dxa" w:w="100"/>
            </w:tcMar>
          </w:tcPr>
          <w:p>
            <w:r>
              <w:rPr>
                <w:rFonts w:ascii="Calibri" w:cs="Calibri" w:eastAsia="Calibri" w:hAnsi="Calibri"/>
                <w:b w:val="false"/>
                <w:bCs w:val="false"/>
                <w:color w:val="222222"/>
                <w:sz w:val="19"/>
                <w:szCs w:val="19"/>
              </w:rPr>
              <w:t xml:space="preserve">pd.to_numeric(errors='coerce') across counts, durations, and volumes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All text columns</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w:t>
            </w:r>
          </w:p>
        </w:tc>
        <w:tc>
          <w:tcPr>
            <w:tcW w:type="dxa" w:w="5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Whitespace stripped from every object-dtype column</w:t>
            </w:r>
          </w:p>
        </w:tc>
      </w:tr>
    </w:tbl>
    <w:p>
      <w:pPr>
        <w:pStyle w:val="Heading3"/>
        <w:spacing w:after="100" w:before="200"/>
      </w:pPr>
      <w:r>
        <w:rPr>
          <w:rFonts w:ascii="Calibri" w:cs="Calibri" w:eastAsia="Calibri" w:hAnsi="Calibri"/>
          <w:b/>
          <w:bCs/>
          <w:color w:val="222222"/>
          <w:sz w:val="21"/>
          <w:szCs w:val="21"/>
        </w:rPr>
        <w:t xml:space="preserve">Binary Column Validation (Section 6)</w:t>
      </w:r>
    </w:p>
    <w:p>
      <w:pPr>
        <w:spacing w:after="160" w:line="276"/>
      </w:pPr>
      <w:r>
        <w:rPr>
          <w:rFonts w:ascii="Calibri" w:cs="Calibri" w:eastAsia="Calibri" w:hAnsi="Calibri"/>
          <w:color w:val="222222"/>
          <w:sz w:val="22"/>
          <w:szCs w:val="22"/>
        </w:rPr>
        <w:t xml:space="preserve">15 flag columns (e.g. has_diabetes, readmission_30d_flag, hai_flag, fraud_upcoding_flag, telehealth_used_flag) are checked to confirm their only non-null values are 0 or 1. Any other value is reported as an invalid entry requiring manual review — no values are silently corrected.</w:t>
      </w:r>
    </w:p>
    <w:p>
      <w:pPr>
        <w:pStyle w:val="Heading3"/>
        <w:spacing w:after="100" w:before="200"/>
      </w:pPr>
      <w:r>
        <w:rPr>
          <w:rFonts w:ascii="Calibri" w:cs="Calibri" w:eastAsia="Calibri" w:hAnsi="Calibri"/>
          <w:b/>
          <w:bCs/>
          <w:color w:val="222222"/>
          <w:sz w:val="21"/>
          <w:szCs w:val="21"/>
        </w:rPr>
        <w:t xml:space="preserve">Range Validation (Section 7) — report-only, no correction</w:t>
      </w:r>
    </w:p>
    <w:p>
      <w:pPr>
        <w:spacing w:after="160" w:line="276"/>
      </w:pPr>
      <w:r>
        <w:rPr>
          <w:rFonts w:ascii="Calibri" w:cs="Calibri" w:eastAsia="Calibri" w:hAnsi="Calibri"/>
          <w:color w:val="222222"/>
          <w:sz w:val="22"/>
          <w:szCs w:val="22"/>
        </w:rPr>
        <w:t xml:space="preserve">31 numeric columns are checked against clinically or operationally plausible ranges (for example: age 0–95, SpO2 70–100%, HbA1c 4.0–15.0%, LOS 0–60 days, CAHPS scores 1–5, HIMSS EMRAM stage 0–7). Out-of-range counts are printed for review; per instructor instruction, no values are replaced or removed at this stage.</w:t>
      </w:r>
    </w:p>
    <w:p>
      <w:pPr>
        <w:pStyle w:val="Heading3"/>
        <w:spacing w:after="100" w:before="200"/>
      </w:pPr>
      <w:r>
        <w:rPr>
          <w:rFonts w:ascii="Calibri" w:cs="Calibri" w:eastAsia="Calibri" w:hAnsi="Calibri"/>
          <w:b/>
          <w:bCs/>
          <w:color w:val="222222"/>
          <w:sz w:val="21"/>
          <w:szCs w:val="21"/>
        </w:rPr>
        <w:t xml:space="preserve">Timestamp Logic Fix (Section 8)</w:t>
      </w:r>
    </w:p>
    <w:p>
      <w:pPr>
        <w:spacing w:after="160" w:line="276"/>
      </w:pPr>
      <w:r>
        <w:rPr>
          <w:rFonts w:ascii="Calibri" w:cs="Calibri" w:eastAsia="Calibri" w:hAnsi="Calibri"/>
          <w:color w:val="222222"/>
          <w:sz w:val="22"/>
          <w:szCs w:val="22"/>
        </w:rPr>
        <w:t xml:space="preserve">One rule is actively enforced rather than just reported: a patient must be assessed by a physician before being formally admitted, so physician_assessment_timestamp must always be earlier than admit_timestamp. Where the raw data violates this (admit earlier than assessment), the two timestamp values are swapped. Four additional ordering rules are checked and reported only (triage before assessment, bed request before bed assignment, OR start before OR end, admission before discharge).</w:t>
      </w:r>
    </w:p>
    <w:p>
      <w:pPr>
        <w:pStyle w:val="Heading3"/>
        <w:spacing w:after="100" w:before="200"/>
      </w:pPr>
      <w:r>
        <w:rPr>
          <w:rFonts w:ascii="Calibri" w:cs="Calibri" w:eastAsia="Calibri" w:hAnsi="Calibri"/>
          <w:b/>
          <w:bCs/>
          <w:color w:val="222222"/>
          <w:sz w:val="21"/>
          <w:szCs w:val="21"/>
        </w:rPr>
        <w:t xml:space="preserve">Output (Sections 9–11)</w:t>
      </w:r>
    </w:p>
    <w:p>
      <w:pPr>
        <w:spacing w:after="160" w:line="276"/>
      </w:pPr>
      <w:r>
        <w:rPr>
          <w:rFonts w:ascii="Calibri" w:cs="Calibri" w:eastAsia="Calibri" w:hAnsi="Calibri"/>
          <w:color w:val="222222"/>
          <w:sz w:val="22"/>
          <w:szCs w:val="22"/>
        </w:rPr>
        <w:t xml:space="preserve">The script prints a final dtype summary for all 103 columns, writes the cleaned dataframe to encounters_v2_CLEAN.csv, and prints a pipeline summary (row/column counts, duplicate count, remaining structural nulls, and counts of columns fixed in each category).</w:t>
      </w:r>
    </w:p>
    <w:p>
      <w:pPr>
        <w:pStyle w:val="Heading2"/>
        <w:spacing w:after="120" w:before="300"/>
      </w:pPr>
      <w:r>
        <w:rPr>
          <w:rFonts w:ascii="Calibri" w:cs="Calibri" w:eastAsia="Calibri" w:hAnsi="Calibri"/>
          <w:b/>
          <w:bCs/>
          <w:color w:val="0E7C7B"/>
          <w:sz w:val="24"/>
          <w:szCs w:val="24"/>
        </w:rPr>
        <w:t xml:space="preserve">4.2 SQL Translation — 02_create_and_load_silver.sql</w:t>
      </w:r>
    </w:p>
    <w:p>
      <w:pPr>
        <w:spacing w:after="160" w:line="276"/>
      </w:pPr>
      <w:r>
        <w:rPr>
          <w:rFonts w:ascii="Calibri" w:cs="Calibri" w:eastAsia="Calibri" w:hAnsi="Calibri"/>
          <w:color w:val="222222"/>
          <w:sz w:val="22"/>
          <w:szCs w:val="22"/>
        </w:rPr>
        <w:t xml:space="preserve">This script is an explicit, documented translation of the Python cleaning logic into set-based T-SQL, so the same rules run natively and repeatably inside SQL Server against the full Bronze table. Its header comments map every section back to its Python counterpart.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Silver script section</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Python equivalent</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Implementation</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1 — Create table</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2 (load)</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silver.healthcare_cleaned dropped/recreated with typed columns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5.1–5.2 — Date/DateTime</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5.1–5.2</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TRY_CONVERT(DATETIME2 / DATE, TRIM(col)) in place of pd.to_datetime</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5.3 — String IDs</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5.3</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npi_billing / cpt_code kept as VARCHAR</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5.4–5.5 — Float/Int</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5.4–5.5</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TRY_CONVERT(FLOAT/INT, TRIM(col)) per column</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5.6 — Trim strings</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5.6</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TRIM() applied inline to every text column in the SELECT</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6 — Binary validation</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6</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CHECK (col IN (0,1)) constraints on all 15 flag columns</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7 — Range validation</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7</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silver.vw_range_validation_report — a QA view listing out-of-range counts per column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8 — Timestamp fix</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Section 8</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CASE expression performing the same admit ↔ physician_assessment swap</w:t>
            </w:r>
          </w:p>
        </w:tc>
      </w:tr>
    </w:tbl>
    <w:p>
      <w:pPr>
        <w:spacing w:after="160" w:line="276"/>
      </w:pPr>
      <w:r>
        <w:rPr>
          <w:rFonts w:ascii="Calibri" w:cs="Calibri" w:eastAsia="Calibri" w:hAnsi="Calibri"/>
          <w:color w:val="222222"/>
          <w:sz w:val="22"/>
          <w:szCs w:val="22"/>
        </w:rPr>
        <w:t xml:space="preserve">Key design points carried over faithfully from the Python version:</w:t>
      </w:r>
    </w:p>
    <w:p>
      <w:pPr>
        <w:pStyle w:val="ListParagraph"/>
        <w:numPr>
          <w:ilvl w:val="0"/>
          <w:numId w:val="2"/>
        </w:numPr>
        <w:spacing w:after="80"/>
      </w:pPr>
      <w:r>
        <w:rPr>
          <w:rFonts w:ascii="Calibri" w:cs="Calibri" w:eastAsia="Calibri" w:hAnsi="Calibri"/>
          <w:color w:val="222222"/>
          <w:sz w:val="22"/>
          <w:szCs w:val="22"/>
        </w:rPr>
        <w:t xml:space="preserve">Every column is wrapped in TRY_CONVERT rather than CONVERT, so a single malformed value becomes NULL instead of failing the entire batch insert — the SQL equivalent of errors='coerce'.</w:t>
      </w:r>
    </w:p>
    <w:p>
      <w:pPr>
        <w:pStyle w:val="ListParagraph"/>
        <w:numPr>
          <w:ilvl w:val="0"/>
          <w:numId w:val="2"/>
        </w:numPr>
        <w:spacing w:after="80"/>
      </w:pPr>
      <w:r>
        <w:rPr>
          <w:rFonts w:ascii="Calibri" w:cs="Calibri" w:eastAsia="Calibri" w:hAnsi="Calibri"/>
          <w:color w:val="222222"/>
          <w:sz w:val="22"/>
          <w:szCs w:val="22"/>
        </w:rPr>
        <w:t xml:space="preserve">The 15 binary flags are enforced with CHECK (col IN (0,1)) constraints at the table level, turning the Python "validate and report" step into a hard guarantee at the schema level.</w:t>
      </w:r>
    </w:p>
    <w:p>
      <w:pPr>
        <w:pStyle w:val="ListParagraph"/>
        <w:numPr>
          <w:ilvl w:val="0"/>
          <w:numId w:val="2"/>
        </w:numPr>
        <w:spacing w:after="80"/>
      </w:pPr>
      <w:r>
        <w:rPr>
          <w:rFonts w:ascii="Calibri" w:cs="Calibri" w:eastAsia="Calibri" w:hAnsi="Calibri"/>
          <w:color w:val="222222"/>
          <w:sz w:val="22"/>
          <w:szCs w:val="22"/>
        </w:rPr>
        <w:t xml:space="preserve">No imputation and no derived/calculated columns are introduced in Silver — nulls remain structural, and calculated metrics are deferred to DAX in Power BI, exactly as instructed.</w:t>
      </w:r>
    </w:p>
    <w:p>
      <w:pPr>
        <w:pStyle w:val="ListParagraph"/>
        <w:numPr>
          <w:ilvl w:val="0"/>
          <w:numId w:val="2"/>
        </w:numPr>
        <w:spacing w:after="80"/>
      </w:pPr>
      <w:r>
        <w:rPr>
          <w:rFonts w:ascii="Calibri" w:cs="Calibri" w:eastAsia="Calibri" w:hAnsi="Calibri"/>
          <w:color w:val="222222"/>
          <w:sz w:val="22"/>
          <w:szCs w:val="22"/>
        </w:rPr>
        <w:t xml:space="preserve">The physician_assessment_timestamp ↔ admit_timestamp swap is implemented with a CASE expression evaluated once per row inside the INSERT ... SELECT, reproducing the Python mask-and-swap logic in a single set-based pass.</w:t>
      </w:r>
    </w:p>
    <w:p>
      <w:pPr>
        <w:pStyle w:val="Heading3"/>
        <w:spacing w:after="100" w:before="200"/>
      </w:pPr>
      <w:r>
        <w:rPr>
          <w:rFonts w:ascii="Calibri" w:cs="Calibri" w:eastAsia="Calibri" w:hAnsi="Calibri"/>
          <w:b/>
          <w:bCs/>
          <w:color w:val="222222"/>
          <w:sz w:val="21"/>
          <w:szCs w:val="21"/>
        </w:rPr>
        <w:t xml:space="preserve">Timestamp verification (Section 8–9)</w:t>
      </w:r>
    </w:p>
    <w:p>
      <w:pPr>
        <w:spacing w:after="160" w:line="276"/>
      </w:pPr>
      <w:r>
        <w:rPr>
          <w:rFonts w:ascii="Calibri" w:cs="Calibri" w:eastAsia="Calibri" w:hAnsi="Calibri"/>
          <w:color w:val="222222"/>
          <w:sz w:val="22"/>
          <w:szCs w:val="22"/>
        </w:rPr>
        <w:t xml:space="preserve">After the load, the script re-runs all five ordering checks (including the post-swap physician-assessment-before-admit rule) as SELECT queries, so violations can be confirmed at zero before the data moves on to Gold.</w:t>
      </w:r>
    </w:p>
    <w:p>
      <w:pPr>
        <w:pBdr>
          <w:top w:val="single" w:color="B8860B" w:sz="4" w:space="4"/>
          <w:bottom w:val="single" w:color="B8860B" w:sz="4" w:space="4"/>
          <w:left w:val="single" w:color="B8860B" w:sz="12" w:space="4"/>
          <w:right w:val="single" w:color="B8860B" w:sz="4" w:space="4"/>
        </w:pBdr>
        <w:shd w:fill="FFF7E0" w:val="clear"/>
        <w:spacing w:after="200" w:before="100"/>
      </w:pPr>
      <w:r>
        <w:rPr>
          <w:rFonts w:ascii="Calibri" w:cs="Calibri" w:eastAsia="Calibri" w:hAnsi="Calibri"/>
          <w:i/>
          <w:iCs/>
          <w:color w:val="6B4E00"/>
          <w:sz w:val="20"/>
          <w:szCs w:val="20"/>
        </w:rPr>
        <w:t xml:space="preserve">Note: meta_cleaned_at (DATETIME2, default SYSUTCDATETIME()) is added to silver.healthcare_cleaned as an audit column, recording when each row was processed into Silver.</w:t>
      </w:r>
    </w:p>
    <w:p>
      <w:pPr>
        <w:pStyle w:val="Heading1"/>
        <w:pBdr>
          <w:bottom w:val="single" w:color="1F3864" w:sz="6" w:space="4"/>
        </w:pBdr>
        <w:spacing w:after="200" w:before="400"/>
      </w:pPr>
      <w:r>
        <w:rPr>
          <w:rFonts w:ascii="Calibri" w:cs="Calibri" w:eastAsia="Calibri" w:hAnsi="Calibri"/>
          <w:b/>
          <w:bCs/>
          <w:color w:val="1F3864"/>
          <w:sz w:val="30"/>
          <w:szCs w:val="30"/>
        </w:rPr>
        <w:t xml:space="preserve">5. Gold Layer — Star Schema</w:t>
      </w:r>
    </w:p>
    <w:p>
      <w:pPr>
        <w:spacing w:after="160" w:line="276"/>
      </w:pPr>
      <w:r>
        <w:rPr>
          <w:rFonts w:ascii="Calibri" w:cs="Calibri" w:eastAsia="Calibri" w:hAnsi="Calibri"/>
          <w:color w:val="222222"/>
          <w:sz w:val="22"/>
          <w:szCs w:val="22"/>
        </w:rPr>
        <w:t xml:space="preserve">03_create_and_load_gold.sql builds a classic Star Schema: one central fact table, gold.FACT_ENCOUNTERS, surrounded by conformed dimension tables. The script performs a safe teardown (dropping existing Gold tables in dependency order), recreates all eight tables, and then loads them from silver.healthcare_cleaned.</w:t>
      </w:r>
    </w:p>
    <w:p>
      <w:pPr>
        <w:pStyle w:val="Heading2"/>
        <w:spacing w:after="120" w:before="300"/>
      </w:pPr>
      <w:r>
        <w:rPr>
          <w:rFonts w:ascii="Calibri" w:cs="Calibri" w:eastAsia="Calibri" w:hAnsi="Calibri"/>
          <w:b/>
          <w:bCs/>
          <w:color w:val="0E7C7B"/>
          <w:sz w:val="24"/>
          <w:szCs w:val="24"/>
        </w:rPr>
        <w:t xml:space="preserve">5.1 Schema Map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2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1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Grain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Key Columns</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FACT_ENCOUNTERS</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Fact</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encounter</w:t>
            </w:r>
          </w:p>
        </w:tc>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encounter_id (PK), patient_id, claim_id, surgical_kit_id, nurse_emp_id, surgeon_emp_id, admit_date_key</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DIM_PATIENT</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patient</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patient_id (PK), birth_year, age, gender, race_ethnicity, state</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DIM_CLINICAL</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encounter</w:t>
            </w:r>
          </w:p>
        </w:tc>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encounter_id (PK/FK), diagnosis, vitals, labs, HEDIS flags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DIM_OPERATIONAL</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encounter</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encounter_id (PK/FK), OR times, unit, incident detail</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DIM_FINANCIAL</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claim</w:t>
            </w:r>
          </w:p>
        </w:tc>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claim_id (PK), encounter_id (FK), payer, charges, fraud flags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DIM_HR</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encounter</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encounter_id (PK/FK), nurse/surgeon IDs, burnout, CAHPS scores</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DIM_SUPPLY</w:t>
            </w:r>
          </w:p>
        </w:tc>
        <w:tc>
          <w:tcPr>
            <w:tcW w:type="dxa" w:w="1400"/>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surgical kit</w:t>
            </w:r>
          </w:p>
        </w:tc>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surgical_kit_id (PK), stock, reorder point, days of supply</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DIM_DATE</w:t>
            </w:r>
          </w:p>
        </w:tc>
        <w:tc>
          <w:tcPr>
            <w:tcW w:type="dxa" w:w="1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Dimension</w:t>
            </w:r>
          </w:p>
        </w:tc>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calendar day</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date_key (PK), year, quarter, month, week, day, is_weekend</w:t>
            </w:r>
          </w:p>
        </w:tc>
      </w:tr>
    </w:tbl>
    <w:p>
      <w:pPr>
        <w:spacing w:after="200"/>
      </w:pPr>
    </w:p>
    <w:p>
      <w:pPr>
        <w:pStyle w:val="Heading2"/>
        <w:spacing w:after="120" w:before="300"/>
      </w:pPr>
      <w:r>
        <w:rPr>
          <w:rFonts w:ascii="Calibri" w:cs="Calibri" w:eastAsia="Calibri" w:hAnsi="Calibri"/>
          <w:b/>
          <w:bCs/>
          <w:color w:val="0E7C7B"/>
          <w:sz w:val="24"/>
          <w:szCs w:val="24"/>
        </w:rPr>
        <w:t xml:space="preserve">5.2 Notable Modeling Decisions</w:t>
      </w:r>
    </w:p>
    <w:p>
      <w:pPr>
        <w:pStyle w:val="ListParagraph"/>
        <w:numPr>
          <w:ilvl w:val="0"/>
          <w:numId w:val="2"/>
        </w:numPr>
        <w:spacing w:after="80"/>
      </w:pPr>
      <w:r>
        <w:rPr>
          <w:rFonts w:ascii="Calibri" w:cs="Calibri" w:eastAsia="Calibri" w:hAnsi="Calibri"/>
          <w:color w:val="222222"/>
          <w:sz w:val="22"/>
          <w:szCs w:val="22"/>
        </w:rPr>
        <w:t xml:space="preserve">DIM_DATE is generated programmatically for 2020-01-01 through 2030-12-31 using a WHILE loop, rather than loaded from source data — a standard pattern for a conformed date dimension.</w:t>
      </w:r>
    </w:p>
    <w:p>
      <w:pPr>
        <w:pStyle w:val="ListParagraph"/>
        <w:numPr>
          <w:ilvl w:val="0"/>
          <w:numId w:val="2"/>
        </w:numPr>
        <w:spacing w:after="80"/>
      </w:pPr>
      <w:r>
        <w:rPr>
          <w:rFonts w:ascii="Calibri" w:cs="Calibri" w:eastAsia="Calibri" w:hAnsi="Calibri"/>
          <w:color w:val="222222"/>
          <w:sz w:val="22"/>
          <w:szCs w:val="22"/>
        </w:rPr>
        <w:t xml:space="preserve">DIM_PATIENT and DIM_SUPPLY are deduplicated with ROW_NUMBER() OVER (PARTITION BY ... ORDER BY admit_timestamp DESC), keeping the most recent record per natural key (patient_id / surgical_kit_id) since Silver can contain multiple encounter rows referencing the same patient or kit.</w:t>
      </w:r>
    </w:p>
    <w:p>
      <w:pPr>
        <w:pStyle w:val="ListParagraph"/>
        <w:numPr>
          <w:ilvl w:val="0"/>
          <w:numId w:val="2"/>
        </w:numPr>
        <w:spacing w:after="80"/>
      </w:pPr>
      <w:r>
        <w:rPr>
          <w:rFonts w:ascii="Calibri" w:cs="Calibri" w:eastAsia="Calibri" w:hAnsi="Calibri"/>
          <w:color w:val="222222"/>
          <w:sz w:val="22"/>
          <w:szCs w:val="22"/>
        </w:rPr>
        <w:t xml:space="preserve">Foreign keys tie FACT_ENCOUNTERS to DIM_PATIENT, DIM_SUPPLY, and DIM_DATE; the remaining dimensions (DIM_CLINICAL, DIM_OPERATIONAL, DIM_HR) are 1:1 extensions of the fact table keyed on encounter_id, which keeps FACT_ENCOUNTERS narrow while still enforcing referential integrity through their own FK constraints back to the fact table.</w:t>
      </w:r>
    </w:p>
    <w:p>
      <w:pPr>
        <w:pStyle w:val="ListParagraph"/>
        <w:numPr>
          <w:ilvl w:val="0"/>
          <w:numId w:val="2"/>
        </w:numPr>
        <w:spacing w:after="80"/>
      </w:pPr>
      <w:r>
        <w:rPr>
          <w:rFonts w:ascii="Calibri" w:cs="Calibri" w:eastAsia="Calibri" w:hAnsi="Calibri"/>
          <w:color w:val="222222"/>
          <w:sz w:val="22"/>
          <w:szCs w:val="22"/>
        </w:rPr>
        <w:t xml:space="preserve">DIM_FINANCIAL is grain-shifted to claim_id rather than encounter_id, since a small share of encounters have no claim — the load filters WHERE claim_id IS NOT NULL.</w:t>
      </w:r>
    </w:p>
    <w:p>
      <w:pPr>
        <w:pStyle w:val="Heading1"/>
        <w:pBdr>
          <w:bottom w:val="single" w:color="1F3864" w:sz="6" w:space="4"/>
        </w:pBdr>
        <w:spacing w:after="200" w:before="400"/>
      </w:pPr>
      <w:r>
        <w:rPr>
          <w:rFonts w:ascii="Calibri" w:cs="Calibri" w:eastAsia="Calibri" w:hAnsi="Calibri"/>
          <w:b/>
          <w:bCs/>
          <w:color w:val="1F3864"/>
          <w:sz w:val="30"/>
          <w:szCs w:val="30"/>
        </w:rPr>
        <w:t xml:space="preserve">6. Indexing Strategy &amp; Power BI Views</w:t>
      </w:r>
    </w:p>
    <w:p>
      <w:pPr>
        <w:spacing w:after="160" w:line="276"/>
      </w:pPr>
      <w:r>
        <w:rPr>
          <w:rFonts w:ascii="Calibri" w:cs="Calibri" w:eastAsia="Calibri" w:hAnsi="Calibri"/>
          <w:color w:val="222222"/>
          <w:sz w:val="22"/>
          <w:szCs w:val="22"/>
        </w:rPr>
        <w:t xml:space="preserve">04_Creating_Indexes_for_Lightning_Speed.sql has two responsibilities: creating supporting indexes on the Gold layer, and creating five reporting views that Power BI connects to directly, so report authors never need to write joins by hand.</w:t>
      </w:r>
    </w:p>
    <w:p>
      <w:pPr>
        <w:pStyle w:val="Heading2"/>
        <w:spacing w:after="120" w:before="300"/>
      </w:pPr>
      <w:r>
        <w:rPr>
          <w:rFonts w:ascii="Calibri" w:cs="Calibri" w:eastAsia="Calibri" w:hAnsi="Calibri"/>
          <w:b/>
          <w:bCs/>
          <w:color w:val="0E7C7B"/>
          <w:sz w:val="24"/>
          <w:szCs w:val="24"/>
        </w:rPr>
        <w:t xml:space="preserve">6.1 Indexes</w:t>
      </w:r>
    </w:p>
    <w:p>
      <w:pPr>
        <w:spacing w:after="160" w:line="276"/>
      </w:pPr>
      <w:r>
        <w:rPr>
          <w:rFonts w:ascii="Calibri" w:cs="Calibri" w:eastAsia="Calibri" w:hAnsi="Calibri"/>
          <w:color w:val="222222"/>
          <w:sz w:val="22"/>
          <w:szCs w:val="22"/>
        </w:rPr>
        <w:t xml:space="preserve">Every index is created with an IF NOT EXISTS guard so the script can be re-run safely. Indexes target the columns most frequently used in JOIN and WHERE clauses across the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Indexed column(s)</w:t>
            </w:r>
          </w:p>
        </w:tc>
        <w:tc>
          <w:tcPr>
            <w:tcW w:type="dxa" w:w="3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Rationale</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FACT_ENCOUNTERS</w:t>
            </w:r>
          </w:p>
        </w:tc>
        <w:tc>
          <w:tcPr>
            <w:tcW w:type="dxa" w:w="3600"/>
            <w:tcMar>
              <w:top w:type="dxa" w:w="80"/>
              <w:left w:type="dxa" w:w="100"/>
              <w:bottom w:type="dxa" w:w="80"/>
              <w:right w:type="dxa" w:w="100"/>
            </w:tcMar>
          </w:tcPr>
          <w:p>
            <w:r>
              <w:rPr>
                <w:rFonts w:ascii="Calibri" w:cs="Calibri" w:eastAsia="Calibri" w:hAnsi="Calibri"/>
                <w:b w:val="false"/>
                <w:bCs w:val="false"/>
                <w:color w:val="222222"/>
                <w:sz w:val="19"/>
                <w:szCs w:val="19"/>
              </w:rPr>
              <w:t xml:space="preserve">patient_id, admit_date_key, surgical_kit_id, readmission_30d_flag, hai_flag</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Core join keys and the two most-filtered quality flags</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DIM_CLINICAL</w:t>
            </w:r>
          </w:p>
        </w:tc>
        <w:tc>
          <w:tcPr>
            <w:tcW w:type="dxa" w:w="3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diagnosis_category, severity_index, has_diabetes</w:t>
            </w:r>
          </w:p>
        </w:tc>
        <w:tc>
          <w:tcPr>
            <w:tcW w:type="dxa" w:w="3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Frequent slicers on the Clinical Quality dashboard</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DIM_FINANCIAL</w:t>
            </w:r>
          </w:p>
        </w:tc>
        <w:tc>
          <w:tcPr>
            <w:tcW w:type="dxa" w:w="3600"/>
            <w:tcMar>
              <w:top w:type="dxa" w:w="80"/>
              <w:left w:type="dxa" w:w="100"/>
              <w:bottom w:type="dxa" w:w="80"/>
              <w:right w:type="dxa" w:w="100"/>
            </w:tcMar>
          </w:tcPr>
          <w:p>
            <w:r>
              <w:rPr>
                <w:rFonts w:ascii="Calibri" w:cs="Calibri" w:eastAsia="Calibri" w:hAnsi="Calibri"/>
                <w:b w:val="false"/>
                <w:bCs w:val="false"/>
                <w:color w:val="222222"/>
                <w:sz w:val="19"/>
                <w:szCs w:val="19"/>
              </w:rPr>
              <w:t xml:space="preserve">payer, claim_denial_flag, (fraud_upcoding_flag, fraud_duplicate_flag)</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Finance and fraud-review filtering</w:t>
            </w:r>
          </w:p>
        </w:tc>
      </w:tr>
      <w:tr>
        <w:tc>
          <w:tcPr>
            <w:tcW w:type="dxa" w:w="2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DIM_PATIENT</w:t>
            </w:r>
          </w:p>
        </w:tc>
        <w:tc>
          <w:tcPr>
            <w:tcW w:type="dxa" w:w="3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state, race_ethnicity</w:t>
            </w:r>
          </w:p>
        </w:tc>
        <w:tc>
          <w:tcPr>
            <w:tcW w:type="dxa" w:w="32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Health-equity and geographic slicing</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19"/>
                <w:szCs w:val="19"/>
              </w:rPr>
              <w:t xml:space="preserve">DIM_HR</w:t>
            </w:r>
          </w:p>
        </w:tc>
        <w:tc>
          <w:tcPr>
            <w:tcW w:type="dxa" w:w="3600"/>
            <w:tcMar>
              <w:top w:type="dxa" w:w="80"/>
              <w:left w:type="dxa" w:w="100"/>
              <w:bottom w:type="dxa" w:w="80"/>
              <w:right w:type="dxa" w:w="100"/>
            </w:tcMar>
          </w:tcPr>
          <w:p>
            <w:r>
              <w:rPr>
                <w:rFonts w:ascii="Calibri" w:cs="Calibri" w:eastAsia="Calibri" w:hAnsi="Calibri"/>
                <w:b w:val="false"/>
                <w:bCs w:val="false"/>
                <w:color w:val="222222"/>
                <w:sz w:val="19"/>
                <w:szCs w:val="19"/>
              </w:rPr>
              <w:t xml:space="preserve">burnout_exhaustion_mbi, turnover_risk_index</w:t>
            </w:r>
          </w:p>
        </w:tc>
        <w:tc>
          <w:tcPr>
            <w:tcW w:type="dxa" w:w="3200"/>
            <w:tcMar>
              <w:top w:type="dxa" w:w="80"/>
              <w:left w:type="dxa" w:w="100"/>
              <w:bottom w:type="dxa" w:w="80"/>
              <w:right w:type="dxa" w:w="100"/>
            </w:tcMar>
          </w:tcPr>
          <w:p>
            <w:r>
              <w:rPr>
                <w:rFonts w:ascii="Calibri" w:cs="Calibri" w:eastAsia="Calibri" w:hAnsi="Calibri"/>
                <w:b w:val="false"/>
                <w:bCs w:val="false"/>
                <w:color w:val="222222"/>
                <w:sz w:val="19"/>
                <w:szCs w:val="19"/>
              </w:rPr>
              <w:t xml:space="preserve">HR dashboard risk-threshold filtering</w:t>
            </w:r>
          </w:p>
        </w:tc>
      </w:tr>
    </w:tbl>
    <w:p>
      <w:pPr>
        <w:spacing w:after="200"/>
      </w:pPr>
    </w:p>
    <w:p>
      <w:pPr>
        <w:pStyle w:val="Heading2"/>
        <w:spacing w:after="120" w:before="300"/>
      </w:pPr>
      <w:r>
        <w:rPr>
          <w:rFonts w:ascii="Calibri" w:cs="Calibri" w:eastAsia="Calibri" w:hAnsi="Calibri"/>
          <w:b/>
          <w:bCs/>
          <w:color w:val="0E7C7B"/>
          <w:sz w:val="24"/>
          <w:szCs w:val="24"/>
        </w:rPr>
        <w:t xml:space="preserve">6.2 Power BI Reporting 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View</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Grain / Focus</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Key Derived Columns</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VW_EXECUTIVE_KPIs</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Year / quarter / month × diagnosis × state (aggregated)</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readmission_pct, hai_pct, net_revenue, avg_los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VW_CLINICAL_QUALITY</w:t>
            </w:r>
          </w:p>
        </w:tc>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encounter</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Combines clinical, operational, and patient demographic detail</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VW_FINANCIAL_SUMMARY</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claim</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net_revenue, charge_markup_ratio, fraud_any_flag, denial_reason (defaulted to 'CLEAN')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VW_HR_BURNOUT</w:t>
            </w:r>
          </w:p>
        </w:tc>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encounter (HR angle)</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burnout_composite (avg of exhaustion + cynicism), high_risk_flag (&gt;0.6), cahps_composite (8-question average)</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VW_SUPPLY_RISK</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One row per surgical kit</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supply_status (CRITICAL / WARNING / OK), expiry_risk_flag, total_usage</w:t>
            </w:r>
          </w:p>
        </w:tc>
      </w:tr>
    </w:tbl>
    <w:p>
      <w:pPr>
        <w:pBdr>
          <w:top w:val="single" w:color="B8860B" w:sz="4" w:space="4"/>
          <w:bottom w:val="single" w:color="B8860B" w:sz="4" w:space="4"/>
          <w:left w:val="single" w:color="B8860B" w:sz="12" w:space="4"/>
          <w:right w:val="single" w:color="B8860B" w:sz="4" w:space="4"/>
        </w:pBdr>
        <w:shd w:fill="FFF7E0" w:val="clear"/>
        <w:spacing w:after="200" w:before="100"/>
      </w:pPr>
      <w:r>
        <w:rPr>
          <w:rFonts w:ascii="Calibri" w:cs="Calibri" w:eastAsia="Calibri" w:hAnsi="Calibri"/>
          <w:i/>
          <w:iCs/>
          <w:color w:val="6B4E00"/>
          <w:sz w:val="20"/>
          <w:szCs w:val="20"/>
        </w:rPr>
        <w:t xml:space="preserve">Note: Ratios and composite scores (charge_markup_ratio, burnout_composite, cahps_composite, supply_status) are computed once inside these SQL views rather than duplicated across multiple DAX measures — this keeps the Power BI model's business logic centralized and consistent across all nine dashboards.</w:t>
      </w:r>
    </w:p>
    <w:p>
      <w:pPr>
        <w:pStyle w:val="Heading1"/>
        <w:pBdr>
          <w:bottom w:val="single" w:color="1F3864" w:sz="6" w:space="4"/>
        </w:pBdr>
        <w:spacing w:after="200" w:before="400"/>
      </w:pPr>
      <w:r>
        <w:rPr>
          <w:rFonts w:ascii="Calibri" w:cs="Calibri" w:eastAsia="Calibri" w:hAnsi="Calibri"/>
          <w:b/>
          <w:bCs/>
          <w:color w:val="1F3864"/>
          <w:sz w:val="30"/>
          <w:szCs w:val="30"/>
        </w:rPr>
        <w:t xml:space="preserve">7. Data Quality Checks — 05_quality_checks.sql</w:t>
      </w:r>
    </w:p>
    <w:p>
      <w:pPr>
        <w:spacing w:after="160" w:line="276"/>
      </w:pPr>
      <w:r>
        <w:rPr>
          <w:rFonts w:ascii="Calibri" w:cs="Calibri" w:eastAsia="Calibri" w:hAnsi="Calibri"/>
          <w:color w:val="222222"/>
          <w:sz w:val="22"/>
          <w:szCs w:val="22"/>
        </w:rPr>
        <w:t xml:space="preserve">The final script in the pipeline validates the integrity of the Gold layer before it is handed off to Power BI. It runs three categories of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Check</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What it verifies</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Method</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Row count</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Every Gold table has been populated and record counts are reasonable</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COUNT(*) unioned across all 8 tables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Null primary keys</w:t>
            </w:r>
          </w:p>
        </w:tc>
        <w:tc>
          <w:tcPr>
            <w:tcW w:type="dxa" w:w="4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No fact or dimension row is missing its primary/natural key</w:t>
            </w:r>
          </w:p>
        </w:tc>
        <w:tc>
          <w:tcPr>
            <w:tcW w:type="dxa" w:w="26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SUM(CASE WHEN key IS NULL THEN 1 ELSE 0 END) on encounter_id and patient_id</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Duplicate primary keys</w:t>
            </w:r>
          </w:p>
        </w:tc>
        <w:tc>
          <w:tcPr>
            <w:tcW w:type="dxa" w:w="4000"/>
            <w:tcMar>
              <w:top w:type="dxa" w:w="80"/>
              <w:left w:type="dxa" w:w="100"/>
              <w:bottom w:type="dxa" w:w="80"/>
              <w:right w:type="dxa" w:w="100"/>
            </w:tcMar>
          </w:tcPr>
          <w:p>
            <w:r>
              <w:rPr>
                <w:rFonts w:ascii="Calibri" w:cs="Calibri" w:eastAsia="Calibri" w:hAnsi="Calibri"/>
                <w:b w:val="false"/>
                <w:bCs w:val="false"/>
                <w:color w:val="222222"/>
                <w:sz w:val="19"/>
                <w:szCs w:val="19"/>
              </w:rPr>
              <w:t xml:space="preserve">FACT_ENCOUNTERS has no duplicate encounter_id values</w:t>
            </w:r>
          </w:p>
        </w:tc>
        <w:tc>
          <w:tcPr>
            <w:tcW w:type="dxa" w:w="2600"/>
            <w:tcMar>
              <w:top w:type="dxa" w:w="80"/>
              <w:left w:type="dxa" w:w="100"/>
              <w:bottom w:type="dxa" w:w="80"/>
              <w:right w:type="dxa" w:w="100"/>
            </w:tcMar>
          </w:tcPr>
          <w:p>
            <w:r>
              <w:rPr>
                <w:rFonts w:ascii="Calibri" w:cs="Calibri" w:eastAsia="Calibri" w:hAnsi="Calibri"/>
                <w:b w:val="false"/>
                <w:bCs w:val="false"/>
                <w:color w:val="222222"/>
                <w:sz w:val="19"/>
                <w:szCs w:val="19"/>
              </w:rPr>
              <w:t xml:space="preserve">GROUP BY encounter_id HAVING COUNT(*) &gt; 1</w:t>
            </w:r>
          </w:p>
        </w:tc>
      </w:tr>
    </w:tbl>
    <w:p>
      <w:pPr>
        <w:pBdr>
          <w:top w:val="single" w:color="B8860B" w:sz="4" w:space="4"/>
          <w:bottom w:val="single" w:color="B8860B" w:sz="4" w:space="4"/>
          <w:left w:val="single" w:color="B8860B" w:sz="12" w:space="4"/>
          <w:right w:val="single" w:color="B8860B" w:sz="4" w:space="4"/>
        </w:pBdr>
        <w:shd w:fill="FFF7E0" w:val="clear"/>
        <w:spacing w:after="200" w:before="100"/>
      </w:pPr>
      <w:r>
        <w:rPr>
          <w:rFonts w:ascii="Calibri" w:cs="Calibri" w:eastAsia="Calibri" w:hAnsi="Calibri"/>
          <w:i/>
          <w:iCs/>
          <w:color w:val="6B4E00"/>
          <w:sz w:val="20"/>
          <w:szCs w:val="20"/>
        </w:rPr>
        <w:t xml:space="preserve">Note: A clean result set here (zero nulls, zero duplicates, expected row counts) is the sign-off gate confirming the Gold layer is safe to publish to Power BI.</w:t>
      </w:r>
    </w:p>
    <w:p>
      <w:pPr>
        <w:pStyle w:val="Heading1"/>
        <w:pBdr>
          <w:bottom w:val="single" w:color="1F3864" w:sz="6" w:space="4"/>
        </w:pBdr>
        <w:spacing w:after="200" w:before="400"/>
      </w:pPr>
      <w:r>
        <w:rPr>
          <w:rFonts w:ascii="Calibri" w:cs="Calibri" w:eastAsia="Calibri" w:hAnsi="Calibri"/>
          <w:b/>
          <w:bCs/>
          <w:color w:val="1F3864"/>
          <w:sz w:val="30"/>
          <w:szCs w:val="30"/>
        </w:rPr>
        <w:t xml:space="preserve">8. Summary</w:t>
      </w:r>
    </w:p>
    <w:p>
      <w:pPr>
        <w:spacing w:after="160" w:line="276"/>
      </w:pPr>
      <w:r>
        <w:rPr>
          <w:rFonts w:ascii="Calibri" w:cs="Calibri" w:eastAsia="Calibri" w:hAnsi="Calibri"/>
          <w:color w:val="222222"/>
          <w:sz w:val="22"/>
          <w:szCs w:val="22"/>
        </w:rPr>
        <w:t xml:space="preserve">Together, these eight scripts implement a complete, repeatable Medallion pipeline: Python ingests and stages the raw CSV into Bronze; the same cleaning logic that was prototyped in Python is re-implemented as native T-SQL to populate a validated Silver layer; Gold reshapes that data into an 8-table Star Schema; indexes and reporting views optimize and simplify the Power BI connection; and a final QA script confirms the warehouse is structurally sound before publication.</w:t>
      </w:r>
    </w:p>
    <w:p>
      <w:pPr>
        <w:spacing w:after="160" w:line="276"/>
      </w:pPr>
      <w:r>
        <w:rPr>
          <w:rFonts w:ascii="Calibri" w:cs="Calibri" w:eastAsia="Calibri" w:hAnsi="Calibri"/>
          <w:color w:val="222222"/>
          <w:sz w:val="22"/>
          <w:szCs w:val="22"/>
        </w:rPr>
        <w:t xml:space="preserve">This documentation, together with the accompanying bug report, DAX measure reference, and dashboard redesign guide, forms the data-engineering section of the Data Ambassadors' DEPI graduation project deliverables.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Data Ambassadors | Healthcare DW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2026-07-08T14:58:07.937Z</dcterms:created>
  <dcterms:modified xsi:type="dcterms:W3CDTF">2026-07-08T14:58:07.948Z</dcterms:modified>
</cp:coreProperties>
</file>

<file path=docProps/custom.xml><?xml version="1.0" encoding="utf-8"?>
<Properties xmlns="http://schemas.openxmlformats.org/officeDocument/2006/custom-properties" xmlns:vt="http://schemas.openxmlformats.org/officeDocument/2006/docPropsVTypes"/>
</file>