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60"/>
        <w:jc w:val="center"/>
      </w:pPr>
      <w:r>
        <w:rPr>
          <w:rFonts w:ascii="Calibri" w:cs="Calibri" w:eastAsia="Calibri" w:hAnsi="Calibri"/>
          <w:b/>
          <w:bCs/>
          <w:color w:val="0B3D5C"/>
          <w:spacing w:val="14"/>
          <w:sz w:val="56"/>
          <w:szCs w:val="56"/>
        </w:rPr>
        <w:t xml:space="preserve">HEALTHCARE ANALYTICS</w:t>
      </w:r>
    </w:p>
    <w:p>
      <w:pPr>
        <w:spacing w:after="300"/>
        <w:jc w:val="center"/>
      </w:pPr>
      <w:r>
        <w:rPr>
          <w:rFonts w:ascii="Calibri" w:cs="Calibri" w:eastAsia="Calibri" w:hAnsi="Calibri"/>
          <w:b/>
          <w:bCs/>
          <w:color w:val="0E8388"/>
          <w:sz w:val="32"/>
          <w:szCs w:val="32"/>
        </w:rPr>
        <w:t xml:space="preserve">DEPI Graduation Project</w:t>
      </w:r>
    </w:p>
    <w:p>
      <w:pPr>
        <w:pBdr>
          <w:top w:val="single" w:color="C9A24B" w:sz="8" w:space="12"/>
          <w:bottom w:val="single" w:color="C9A24B" w:sz="8" w:space="12"/>
        </w:pBdr>
        <w:spacing w:after="200" w:before="200"/>
        <w:jc w:val="center"/>
      </w:pPr>
      <w:r>
        <w:rPr>
          <w:rFonts w:ascii="Calibri" w:cs="Calibri" w:eastAsia="Calibri" w:hAnsi="Calibri"/>
          <w:i/>
          <w:iCs/>
          <w:color w:val="3A3A3A"/>
          <w:sz w:val="26"/>
          <w:szCs w:val="26"/>
        </w:rPr>
        <w:t xml:space="preserve">Comprehensive Report on the Nine Power BI Dashboards</w:t>
      </w:r>
    </w:p>
    <w:p>
      <w:pPr>
        <w:spacing w:after="40" w:before="260"/>
        <w:jc w:val="center"/>
      </w:pPr>
      <w:r>
        <w:rPr>
          <w:rFonts w:ascii="Calibri" w:cs="Calibri" w:eastAsia="Calibri" w:hAnsi="Calibri"/>
          <w:color w:val="0B3D5C"/>
          <w:sz w:val="20"/>
          <w:szCs w:val="20"/>
        </w:rPr>
        <w:t xml:space="preserve">Visual Explanations  ·  Three-Layer Analysis (Descriptive / Diagnostic / Prescriptive)</w:t>
      </w:r>
    </w:p>
    <w:p>
      <w:pPr>
        <w:spacing w:after="900"/>
        <w:jc w:val="center"/>
      </w:pPr>
      <w:r>
        <w:rPr>
          <w:rFonts w:ascii="Calibri" w:cs="Calibri" w:eastAsia="Calibri" w:hAnsi="Calibri"/>
          <w:color w:val="0B3D5C"/>
          <w:sz w:val="20"/>
          <w:szCs w:val="20"/>
        </w:rPr>
        <w:t xml:space="preserve">Business Q&amp;A  ·  Executive Recommendations</w:t>
      </w:r>
    </w:p>
    <w:p>
      <w:pPr>
        <w:spacing w:after="40"/>
        <w:jc w:val="center"/>
      </w:pPr>
      <w:r>
        <w:rPr>
          <w:rFonts w:ascii="Calibri" w:cs="Calibri" w:eastAsia="Calibri" w:hAnsi="Calibri"/>
          <w:b/>
          <w:bCs/>
          <w:color w:val="0B3D5C"/>
          <w:sz w:val="24"/>
          <w:szCs w:val="24"/>
        </w:rPr>
        <w:t xml:space="preserve">Data Ambassadors Team</w:t>
      </w:r>
    </w:p>
    <w:p>
      <w:pPr>
        <w:spacing w:after="0"/>
        <w:jc w:val="center"/>
      </w:pPr>
      <w:r>
        <w:rPr>
          <w:rFonts w:ascii="Calibri" w:cs="Calibri" w:eastAsia="Calibri" w:hAnsi="Calibri"/>
          <w:i/>
          <w:iCs/>
          <w:color w:val="0E8388"/>
          <w:sz w:val="20"/>
          <w:szCs w:val="20"/>
        </w:rPr>
        <w:t xml:space="preserve">DEPI Data Analysis Track</w:t>
      </w:r>
    </w:p>
    <w:p>
      <w:pPr>
        <w:pageBreakBefore/>
        <w:pBdr>
          <w:bottom w:val="single" w:color="0E8388" w:sz="16" w:space="8"/>
        </w:pBdr>
        <w:spacing w:after="200"/>
      </w:pPr>
      <w:r>
        <w:rPr>
          <w:rFonts w:ascii="Calibri" w:cs="Calibri" w:eastAsia="Calibri" w:hAnsi="Calibri"/>
          <w:b/>
          <w:bCs/>
          <w:color w:val="0B3D5C"/>
          <w:spacing w:val="8"/>
          <w:sz w:val="34"/>
          <w:szCs w:val="34"/>
        </w:rPr>
        <w:t xml:space="preserve">CONTENTS</w:t>
      </w:r>
    </w:p>
    <w:p>
      <w:pPr>
        <w:tabs>
          <w:tab w:val="right" w:pos="9026" w:leader="dot"/>
        </w:tabs>
        <w:spacing w:after="130"/>
      </w:pPr>
      <w:r>
        <w:rPr>
          <w:rFonts w:ascii="Calibri" w:cs="Calibri" w:eastAsia="Calibri" w:hAnsi="Calibri"/>
          <w:color w:val="0B3D5C"/>
          <w:sz w:val="22"/>
          <w:szCs w:val="22"/>
        </w:rPr>
        <w:t xml:space="preserve">Introduction &amp; Methodology</w:t>
      </w:r>
    </w:p>
    <w:p>
      <w:pPr>
        <w:tabs>
          <w:tab w:val="right" w:pos="9026" w:leader="dot"/>
        </w:tabs>
        <w:spacing w:after="130"/>
      </w:pPr>
      <w:r>
        <w:rPr>
          <w:rFonts w:ascii="Calibri" w:cs="Calibri" w:eastAsia="Calibri" w:hAnsi="Calibri"/>
          <w:color w:val="0B3D5C"/>
          <w:sz w:val="22"/>
          <w:szCs w:val="22"/>
        </w:rPr>
        <w:t xml:space="preserve">Dashboard 1 — Executive Dashboard</w:t>
      </w:r>
    </w:p>
    <w:p>
      <w:pPr>
        <w:tabs>
          <w:tab w:val="right" w:pos="9026" w:leader="dot"/>
        </w:tabs>
        <w:spacing w:after="130"/>
      </w:pPr>
      <w:r>
        <w:rPr>
          <w:rFonts w:ascii="Calibri" w:cs="Calibri" w:eastAsia="Calibri" w:hAnsi="Calibri"/>
          <w:color w:val="0B3D5C"/>
          <w:sz w:val="22"/>
          <w:szCs w:val="22"/>
        </w:rPr>
        <w:t xml:space="preserve">Dashboard 2 — Finance &amp; Revenue Cycle Dashboard</w:t>
      </w:r>
    </w:p>
    <w:p>
      <w:pPr>
        <w:tabs>
          <w:tab w:val="right" w:pos="9026" w:leader="dot"/>
        </w:tabs>
        <w:spacing w:after="130"/>
      </w:pPr>
      <w:r>
        <w:rPr>
          <w:rFonts w:ascii="Calibri" w:cs="Calibri" w:eastAsia="Calibri" w:hAnsi="Calibri"/>
          <w:color w:val="0B3D5C"/>
          <w:sz w:val="22"/>
          <w:szCs w:val="22"/>
        </w:rPr>
        <w:t xml:space="preserve">Dashboard 3 — Patient Experience Dashboard (CAHPS)</w:t>
      </w:r>
    </w:p>
    <w:p>
      <w:pPr>
        <w:tabs>
          <w:tab w:val="right" w:pos="9026" w:leader="dot"/>
        </w:tabs>
        <w:spacing w:after="130"/>
      </w:pPr>
      <w:r>
        <w:rPr>
          <w:rFonts w:ascii="Calibri" w:cs="Calibri" w:eastAsia="Calibri" w:hAnsi="Calibri"/>
          <w:color w:val="0B3D5C"/>
          <w:sz w:val="22"/>
          <w:szCs w:val="22"/>
        </w:rPr>
        <w:t xml:space="preserve">Dashboard 4 — Health Equity Dashboard</w:t>
      </w:r>
    </w:p>
    <w:p>
      <w:pPr>
        <w:tabs>
          <w:tab w:val="right" w:pos="9026" w:leader="dot"/>
        </w:tabs>
        <w:spacing w:after="130"/>
      </w:pPr>
      <w:r>
        <w:rPr>
          <w:rFonts w:ascii="Calibri" w:cs="Calibri" w:eastAsia="Calibri" w:hAnsi="Calibri"/>
          <w:color w:val="0B3D5C"/>
          <w:sz w:val="22"/>
          <w:szCs w:val="22"/>
        </w:rPr>
        <w:t xml:space="preserve">Dashboard 5 — Clinical Quality Dashboard</w:t>
      </w:r>
    </w:p>
    <w:p>
      <w:pPr>
        <w:tabs>
          <w:tab w:val="right" w:pos="9026" w:leader="dot"/>
        </w:tabs>
        <w:spacing w:after="130"/>
      </w:pPr>
      <w:r>
        <w:rPr>
          <w:rFonts w:ascii="Calibri" w:cs="Calibri" w:eastAsia="Calibri" w:hAnsi="Calibri"/>
          <w:color w:val="0B3D5C"/>
          <w:sz w:val="22"/>
          <w:szCs w:val="22"/>
        </w:rPr>
        <w:t xml:space="preserve">Dashboard 6 — ER &amp; Patient Flow Dashboard</w:t>
      </w:r>
    </w:p>
    <w:p>
      <w:pPr>
        <w:tabs>
          <w:tab w:val="right" w:pos="9026" w:leader="dot"/>
        </w:tabs>
        <w:spacing w:after="130"/>
      </w:pPr>
      <w:r>
        <w:rPr>
          <w:rFonts w:ascii="Calibri" w:cs="Calibri" w:eastAsia="Calibri" w:hAnsi="Calibri"/>
          <w:color w:val="0B3D5C"/>
          <w:sz w:val="22"/>
          <w:szCs w:val="22"/>
        </w:rPr>
        <w:t xml:space="preserve">Dashboard 7 — HR &amp; Staff Performance Dashboard</w:t>
      </w:r>
    </w:p>
    <w:p>
      <w:pPr>
        <w:tabs>
          <w:tab w:val="right" w:pos="9026" w:leader="dot"/>
        </w:tabs>
        <w:spacing w:after="130"/>
      </w:pPr>
      <w:r>
        <w:rPr>
          <w:rFonts w:ascii="Calibri" w:cs="Calibri" w:eastAsia="Calibri" w:hAnsi="Calibri"/>
          <w:color w:val="0B3D5C"/>
          <w:sz w:val="22"/>
          <w:szCs w:val="22"/>
        </w:rPr>
        <w:t xml:space="preserve">Dashboard 8 — OR Efficiency Dashboard</w:t>
      </w:r>
    </w:p>
    <w:p>
      <w:pPr>
        <w:tabs>
          <w:tab w:val="right" w:pos="9026" w:leader="dot"/>
        </w:tabs>
        <w:spacing w:after="130"/>
      </w:pPr>
      <w:r>
        <w:rPr>
          <w:rFonts w:ascii="Calibri" w:cs="Calibri" w:eastAsia="Calibri" w:hAnsi="Calibri"/>
          <w:color w:val="0B3D5C"/>
          <w:sz w:val="22"/>
          <w:szCs w:val="22"/>
        </w:rPr>
        <w:t xml:space="preserve">Dashboard 9 — Supply Chain Dashboard</w:t>
      </w:r>
    </w:p>
    <w:p>
      <w:pPr>
        <w:tabs>
          <w:tab w:val="right" w:pos="9026" w:leader="dot"/>
        </w:tabs>
        <w:spacing w:after="130"/>
      </w:pPr>
      <w:r>
        <w:rPr>
          <w:rFonts w:ascii="Calibri" w:cs="Calibri" w:eastAsia="Calibri" w:hAnsi="Calibri"/>
          <w:color w:val="0B3D5C"/>
          <w:sz w:val="22"/>
          <w:szCs w:val="22"/>
        </w:rPr>
        <w:t xml:space="preserve">Executive Recommendations Summary</w:t>
      </w:r>
    </w:p>
    <w:p>
      <w:pPr>
        <w:pageBreakBefore/>
        <w:pBdr>
          <w:bottom w:val="single" w:color="0E8388" w:sz="16" w:space="8"/>
        </w:pBdr>
        <w:spacing w:after="80"/>
      </w:pPr>
      <w:r>
        <w:rPr>
          <w:rFonts w:ascii="Calibri" w:cs="Calibri" w:eastAsia="Calibri" w:hAnsi="Calibri"/>
          <w:b/>
          <w:bCs/>
          <w:color w:val="0B3D5C"/>
          <w:spacing w:val="8"/>
          <w:sz w:val="34"/>
          <w:szCs w:val="34"/>
        </w:rPr>
        <w:t xml:space="preserve">INTRODUCTION &amp; METHODOLOGY</w:t>
      </w:r>
    </w:p>
    <w:p>
      <w:pPr>
        <w:spacing w:after="200" w:before="0" w:line="288"/>
        <w:jc w:val="left"/>
      </w:pPr>
      <w:r>
        <w:rPr>
          <w:rFonts w:ascii="Calibri" w:cs="Calibri" w:eastAsia="Calibri" w:hAnsi="Calibri"/>
          <w:b w:val="false"/>
          <w:bCs w:val="false"/>
          <w:i w:val="false"/>
          <w:iCs w:val="false"/>
          <w:color w:val="3A3A3A"/>
          <w:sz w:val="22"/>
          <w:szCs w:val="22"/>
        </w:rPr>
        <w:t xml:space="preserve">Hospital management sent an email to the Data Ambassadors data-analysis team, describing several concerns felt across the organization but not yet backed by data:</w:t>
      </w:r>
    </w:p>
    <w:p>
      <w:pPr>
        <w:pBdr>
          <w:left w:val="single" w:color="C9A24B" w:sz="18" w:space="10"/>
        </w:pBdr>
        <w:spacing w:after="140" w:before="60"/>
        <w:ind w:left="300"/>
      </w:pPr>
      <w:r>
        <w:rPr>
          <w:rFonts w:ascii="Calibri" w:cs="Calibri" w:eastAsia="Calibri" w:hAnsi="Calibri"/>
          <w:i/>
          <w:iCs/>
          <w:color w:val="3A3A3A"/>
          <w:sz w:val="21"/>
          <w:szCs w:val="21"/>
        </w:rPr>
        <w:t xml:space="preserve">“We feel there is financial leakage in the revenue cycle, and a large percentage of insurance claims are being denied or delayed in collection, but we don't know the real reason.”</w:t>
      </w:r>
    </w:p>
    <w:p>
      <w:pPr>
        <w:pBdr>
          <w:left w:val="single" w:color="C9A24B" w:sz="18" w:space="10"/>
        </w:pBdr>
        <w:spacing w:after="140" w:before="60"/>
        <w:ind w:left="300"/>
      </w:pPr>
      <w:r>
        <w:rPr>
          <w:rFonts w:ascii="Calibri" w:cs="Calibri" w:eastAsia="Calibri" w:hAnsi="Calibri"/>
          <w:i/>
          <w:iCs/>
          <w:color w:val="3A3A3A"/>
          <w:sz w:val="21"/>
          <w:szCs w:val="21"/>
        </w:rPr>
        <w:t xml:space="preserve">“The rate of patients returning to the hospital within a month of discharge is high, and this is costing us money and regulatory risk with CMS, and it's not clear exactly why it's happening.”</w:t>
      </w:r>
    </w:p>
    <w:p>
      <w:pPr>
        <w:pBdr>
          <w:left w:val="single" w:color="C9A24B" w:sz="18" w:space="10"/>
        </w:pBdr>
        <w:spacing w:after="140" w:before="60"/>
        <w:ind w:left="300"/>
      </w:pPr>
      <w:r>
        <w:rPr>
          <w:rFonts w:ascii="Calibri" w:cs="Calibri" w:eastAsia="Calibri" w:hAnsi="Calibri"/>
          <w:i/>
          <w:iCs/>
          <w:color w:val="3A3A3A"/>
          <w:sz w:val="21"/>
          <w:szCs w:val="21"/>
        </w:rPr>
        <w:t xml:space="preserve">“We have recurring complaints from patients about long wait times, especially for bed assignment, and we feel that the overall patient experience needs improvement.”</w:t>
      </w:r>
    </w:p>
    <w:p>
      <w:pPr>
        <w:pBdr>
          <w:left w:val="single" w:color="C9A24B" w:sz="18" w:space="10"/>
        </w:pBdr>
        <w:spacing w:after="140" w:before="60"/>
        <w:ind w:left="300"/>
      </w:pPr>
      <w:r>
        <w:rPr>
          <w:rFonts w:ascii="Calibri" w:cs="Calibri" w:eastAsia="Calibri" w:hAnsi="Calibri"/>
          <w:i/>
          <w:iCs/>
          <w:color w:val="3A3A3A"/>
          <w:sz w:val="21"/>
          <w:szCs w:val="21"/>
        </w:rPr>
        <w:t xml:space="preserve">“The nursing team feels significant strain, and the turnover rate has started to worry us, and we want to understand this before it gets worse.”</w:t>
      </w:r>
    </w:p>
    <w:p>
      <w:pPr>
        <w:pBdr>
          <w:left w:val="single" w:color="C9A24B" w:sz="18" w:space="10"/>
        </w:pBdr>
        <w:spacing w:after="140" w:before="60"/>
        <w:ind w:left="300"/>
      </w:pPr>
      <w:r>
        <w:rPr>
          <w:rFonts w:ascii="Calibri" w:cs="Calibri" w:eastAsia="Calibri" w:hAnsi="Calibri"/>
          <w:i/>
          <w:iCs/>
          <w:color w:val="3A3A3A"/>
          <w:sz w:val="21"/>
          <w:szCs w:val="21"/>
        </w:rPr>
        <w:t xml:space="preserve">“There is fluctuation in the availability of some surgical kits and supplies, and it's not clear to us whether we are using our operating rooms at maximum possible efficiency or not.”</w:t>
      </w:r>
    </w:p>
    <w:p>
      <w:pPr>
        <w:pBdr>
          <w:left w:val="single" w:color="C9A24B" w:sz="18" w:space="10"/>
        </w:pBdr>
        <w:spacing w:after="140" w:before="60"/>
        <w:ind w:left="300"/>
      </w:pPr>
      <w:r>
        <w:rPr>
          <w:rFonts w:ascii="Calibri" w:cs="Calibri" w:eastAsia="Calibri" w:hAnsi="Calibri"/>
          <w:i/>
          <w:iCs/>
          <w:color w:val="3A3A3A"/>
          <w:sz w:val="21"/>
          <w:szCs w:val="21"/>
        </w:rPr>
        <w:t xml:space="preserve">“We want to make sure that the care we provide is equitable across all patient groups, regardless of their race, age, or insurance type.”</w:t>
      </w:r>
    </w:p>
    <w:p>
      <w:pPr>
        <w:pBdr>
          <w:left w:val="single" w:color="C9A24B" w:sz="18" w:space="10"/>
        </w:pBdr>
        <w:spacing w:after="140" w:before="60"/>
        <w:ind w:left="300"/>
      </w:pPr>
      <w:r>
        <w:rPr>
          <w:rFonts w:ascii="Calibri" w:cs="Calibri" w:eastAsia="Calibri" w:hAnsi="Calibri"/>
          <w:i/>
          <w:iCs/>
          <w:color w:val="3A3A3A"/>
          <w:sz w:val="21"/>
          <w:szCs w:val="21"/>
        </w:rPr>
        <w:t xml:space="preserve">“In short: we have a set of problems we sense, but we don't know the size of each problem, its real cause, or the priority. We want from you a complete picture built on data, not impressions.”</w:t>
      </w:r>
    </w:p>
    <w:p>
      <w:pPr>
        <w:spacing w:after="0" w:before="200"/>
      </w:pPr>
    </w:p>
    <w:p>
      <w:pPr>
        <w:shd w:fill="E4F3F3" w:color="auto" w:val="clear"/>
        <w:spacing w:after="200" w:before="200"/>
      </w:pPr>
      <w:r>
        <w:rPr>
          <w:rFonts w:ascii="Calibri" w:cs="Calibri" w:eastAsia="Calibri" w:hAnsi="Calibri"/>
          <w:b/>
          <w:bCs/>
          <w:color w:val="0B3D5C"/>
          <w:sz w:val="22"/>
          <w:szCs w:val="22"/>
        </w:rPr>
        <w:t xml:space="preserve">Our team responded by building nine dashboards, explaining every visual and finding, performing descriptive, diagnostic, and prescriptive analyses, providing recommendations, and answering the business questions raised above.</w:t>
      </w:r>
    </w:p>
    <w:p>
      <w:pPr>
        <w:pageBreakBefore/>
        <w:pBdr>
          <w:bottom w:val="single" w:color="0E8388" w:sz="16" w:space="8"/>
        </w:pBdr>
        <w:spacing w:after="40" w:before="0"/>
      </w:pPr>
      <w:r>
        <w:rPr>
          <w:rFonts w:ascii="Calibri" w:cs="Calibri" w:eastAsia="Calibri" w:hAnsi="Calibri"/>
          <w:b/>
          <w:bCs/>
          <w:color w:val="0E8388"/>
          <w:spacing w:val="20"/>
          <w:sz w:val="20"/>
          <w:szCs w:val="20"/>
        </w:rPr>
        <w:t xml:space="preserve">DASHBOARD 1</w:t>
      </w:r>
    </w:p>
    <w:p>
      <w:pPr>
        <w:spacing w:after="60" w:before="40"/>
      </w:pPr>
      <w:r>
        <w:rPr>
          <w:rFonts w:ascii="Calibri" w:cs="Calibri" w:eastAsia="Calibri" w:hAnsi="Calibri"/>
          <w:b/>
          <w:bCs/>
          <w:color w:val="0B3D5C"/>
          <w:sz w:val="40"/>
          <w:szCs w:val="40"/>
        </w:rPr>
        <w:t xml:space="preserve">Executive Dashboard</w:t>
      </w:r>
    </w:p>
    <w:p>
      <w:pPr>
        <w:spacing w:after="260" w:before="0"/>
      </w:pPr>
      <w:r>
        <w:rPr>
          <w:rFonts w:ascii="Calibri" w:cs="Calibri" w:eastAsia="Calibri" w:hAnsi="Calibri"/>
          <w:i/>
          <w:iCs/>
          <w:color w:val="0E8388"/>
          <w:sz w:val="22"/>
          <w:szCs w:val="22"/>
        </w:rPr>
        <w:t xml:space="preserve">Executive Management Overview</w:t>
      </w:r>
    </w:p>
    <w:p>
      <w:pPr>
        <w:spacing w:after="240" w:before="0" w:line="288"/>
        <w:jc w:val="left"/>
      </w:pPr>
      <w:r>
        <w:rPr>
          <w:rFonts w:ascii="Calibri" w:cs="Calibri" w:eastAsia="Calibri" w:hAnsi="Calibri"/>
          <w:b w:val="false"/>
          <w:bCs w:val="false"/>
          <w:i w:val="false"/>
          <w:iCs w:val="false"/>
          <w:color w:val="3A3A3A"/>
          <w:sz w:val="22"/>
          <w:szCs w:val="22"/>
        </w:rPr>
        <w:t xml:space="preserve">The purpose of this dashboard is to give a quick, panoramic view for the highest management level (C-Suite) of the hospital's overall health — size, quality, revenue, and patient experience — on a single screen without operational detail.</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000"/>
      </w:tblGrid>
      <w:tr>
        <w:trPr>
          <w:tblHeader/>
        </w:trPr>
        <w:tc>
          <w:tcPr>
            <w:tcW w:type="pct" w:w="32%"/>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KEY INDICATOR</w:t>
            </w:r>
          </w:p>
        </w:tc>
        <w:tc>
          <w:tcPr>
            <w:tcW w:type="pct" w:w="18%"/>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VALUE</w:t>
            </w:r>
          </w:p>
        </w:tc>
        <w:tc>
          <w:tcPr>
            <w:tcW w:type="pct" w:w="50%"/>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DESCRIPTION</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Total Encounters</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1M</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Total number of visits/cases in the database (COUNTROWS of the fact table).</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Readmission Rate %</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16.88%</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Percentage of patients who returned to the hospital within 30 days of discharge.</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HAI Rate %</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9.32%</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Rate of hospital-acquired infections.</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Net Revenue Per Encounter</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$16.742K</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Average net revenue after excluding denied claims, per case.</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CAHPS Composite Score</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3.05</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Composite average of patient experience rating (out of 5).</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Fraud Encounter Rate %</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7.32%</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Percentage of cases flagged for fraud (Upcoding/Unbundling/Duplicate).</w:t>
            </w:r>
          </w:p>
        </w:tc>
      </w:tr>
    </w:tbl>
    <w:p>
      <w:pPr>
        <w:spacing w:after="60"/>
      </w:pPr>
    </w:p>
    <w:p>
      <w:pPr>
        <w:pBdr>
          <w:left w:val="single" w:color="0E8388" w:sz="24" w:space="6"/>
        </w:pBdr>
        <w:spacing w:after="140" w:before="320"/>
        <w:ind w:left="100"/>
      </w:pPr>
      <w:r>
        <w:rPr>
          <w:rFonts w:ascii="Calibri" w:cs="Calibri" w:eastAsia="Calibri" w:hAnsi="Calibri"/>
          <w:b/>
          <w:bCs/>
          <w:color w:val="0B3D5C"/>
          <w:spacing w:val="8"/>
          <w:sz w:val="26"/>
          <w:szCs w:val="26"/>
        </w:rPr>
        <w:t xml:space="preserve">VISUALS BREAKDOWN</w:t>
      </w:r>
    </w:p>
    <w:p>
      <w:pPr>
        <w:spacing w:after="60" w:before="160"/>
      </w:pPr>
      <w:r>
        <w:rPr>
          <w:rFonts w:ascii="Calibri" w:cs="Calibri" w:eastAsia="Calibri" w:hAnsi="Calibri"/>
          <w:b/>
          <w:bCs/>
          <w:color w:val="1F5C8B"/>
          <w:sz w:val="21"/>
          <w:szCs w:val="21"/>
        </w:rPr>
        <w:t xml:space="preserve">1. Monthly Patient Volume Trend — Line Chart</w:t>
      </w:r>
    </w:p>
    <w:p>
      <w:pPr>
        <w:spacing w:after="100" w:before="0" w:line="288"/>
        <w:jc w:val="left"/>
      </w:pPr>
      <w:r>
        <w:rPr>
          <w:rFonts w:ascii="Calibri" w:cs="Calibri" w:eastAsia="Calibri" w:hAnsi="Calibri"/>
          <w:b w:val="false"/>
          <w:bCs w:val="false"/>
          <w:i w:val="false"/>
          <w:iCs w:val="false"/>
          <w:color w:val="3A3A3A"/>
          <w:sz w:val="20"/>
          <w:szCs w:val="20"/>
        </w:rPr>
        <w:t xml:space="preserve">Shows monthly visit counts (Total Encounters) across the year. The line fluctuates between roughly 79K and 85K, with the lowest point in February (~79K) and recurring peaks in March, May, and October (~85K). The shape shows mild seasonal fluctuation without a clear upward or downward trend across the year.</w:t>
      </w:r>
    </w:p>
    <w:p>
      <w:pPr>
        <w:spacing w:after="60" w:before="160"/>
      </w:pPr>
      <w:r>
        <w:rPr>
          <w:rFonts w:ascii="Calibri" w:cs="Calibri" w:eastAsia="Calibri" w:hAnsi="Calibri"/>
          <w:b/>
          <w:bCs/>
          <w:color w:val="1F5C8B"/>
          <w:sz w:val="21"/>
          <w:szCs w:val="21"/>
        </w:rPr>
        <w:t xml:space="preserve">2. Net Revenue &amp; Readmission Rate by Service Line — Horizontal Bar Chart</w:t>
      </w:r>
    </w:p>
    <w:p>
      <w:pPr>
        <w:spacing w:after="100" w:before="0" w:line="288"/>
        <w:jc w:val="left"/>
      </w:pPr>
      <w:r>
        <w:rPr>
          <w:rFonts w:ascii="Calibri" w:cs="Calibri" w:eastAsia="Calibri" w:hAnsi="Calibri"/>
          <w:b w:val="false"/>
          <w:bCs w:val="false"/>
          <w:i w:val="false"/>
          <w:iCs w:val="false"/>
          <w:color w:val="3A3A3A"/>
          <w:sz w:val="20"/>
          <w:szCs w:val="20"/>
        </w:rPr>
        <w:t xml:space="preserve">Compares total net revenue by diagnosis category. MSK (orthopedics) leads by a wide margin (~$6B), followed by ONC (oncology) and CV (cardiology) at about $3–3.5B each, then GI, ENDO, GU, PULM, and DERM at progressively lower values. The visual is also linked to Avg LOS Days and Total Encounters as tooltips to explain the drivers of higher revenue.</w:t>
      </w:r>
    </w:p>
    <w:p>
      <w:pPr>
        <w:spacing w:after="60" w:before="160"/>
      </w:pPr>
      <w:r>
        <w:rPr>
          <w:rFonts w:ascii="Calibri" w:cs="Calibri" w:eastAsia="Calibri" w:hAnsi="Calibri"/>
          <w:b/>
          <w:bCs/>
          <w:color w:val="1F5C8B"/>
          <w:sz w:val="21"/>
          <w:szCs w:val="21"/>
        </w:rPr>
        <w:t xml:space="preserve">3. 30-Day Readmission Rate Trend (Monthly) — Horizontal Bar Chart with reference line</w:t>
      </w:r>
    </w:p>
    <w:p>
      <w:pPr>
        <w:spacing w:after="100" w:before="0" w:line="288"/>
        <w:jc w:val="left"/>
      </w:pPr>
      <w:r>
        <w:rPr>
          <w:rFonts w:ascii="Calibri" w:cs="Calibri" w:eastAsia="Calibri" w:hAnsi="Calibri"/>
          <w:b w:val="false"/>
          <w:bCs w:val="false"/>
          <w:i w:val="false"/>
          <w:iCs w:val="false"/>
          <w:color w:val="3A3A3A"/>
          <w:sz w:val="20"/>
          <w:szCs w:val="20"/>
        </w:rPr>
        <w:t xml:space="preserve">Shows the 30-day readmission rate per month, with a dashed red reference line at 15% (benchmark). Nearly all months sit above this line (between 16.6% and 17.2%), meaning the problem persists throughout the year and is not seasonal or occasional.</w:t>
      </w:r>
    </w:p>
    <w:p>
      <w:pPr>
        <w:spacing w:after="60" w:before="160"/>
      </w:pPr>
      <w:r>
        <w:rPr>
          <w:rFonts w:ascii="Calibri" w:cs="Calibri" w:eastAsia="Calibri" w:hAnsi="Calibri"/>
          <w:b/>
          <w:bCs/>
          <w:color w:val="1F5C8B"/>
          <w:sz w:val="21"/>
          <w:szCs w:val="21"/>
        </w:rPr>
        <w:t xml:space="preserve">4. Payer / Total Encounters — Table</w:t>
      </w:r>
    </w:p>
    <w:p>
      <w:pPr>
        <w:spacing w:after="100" w:before="0" w:line="288"/>
        <w:jc w:val="left"/>
      </w:pPr>
      <w:r>
        <w:rPr>
          <w:rFonts w:ascii="Calibri" w:cs="Calibri" w:eastAsia="Calibri" w:hAnsi="Calibri"/>
          <w:b w:val="false"/>
          <w:bCs w:val="false"/>
          <w:i w:val="false"/>
          <w:iCs w:val="false"/>
          <w:color w:val="3A3A3A"/>
          <w:sz w:val="20"/>
          <w:szCs w:val="20"/>
        </w:rPr>
        <w:t xml:space="preserve">Shows the distribution of case counts by payer: Medicare leads with 350,891 cases (35%), Medicaid 199,125 (20%), BlueCross 180,006, Aetna 100,102, UnitedHealth 79,847, Cigna 49,756, and Self-Pay 40,273. The total is exactly one million cases, reflecting the hospital's heavy reliance on government insurance (Medicare + Medicaid represent 55% of volume).</w:t>
      </w:r>
    </w:p>
    <w:p>
      <w:pPr>
        <w:shd w:fill="E4F3F3" w:color="auto" w:val="clear"/>
        <w:spacing w:after="200" w:before="100"/>
      </w:pPr>
      <w:r>
        <w:rPr>
          <w:rFonts w:ascii="Calibri" w:cs="Calibri" w:eastAsia="Calibri" w:hAnsi="Calibri"/>
          <w:i/>
          <w:iCs/>
          <w:color w:val="0B3D5C"/>
          <w:sz w:val="19"/>
          <w:szCs w:val="19"/>
        </w:rPr>
        <w:t xml:space="preserve">🔎  Available slicers: year (2024), quarter, diagnosis_category, payer — allowing management to drill down quickly by period, service line, or payer.</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THREE-LAYER ANALYSIS</w:t>
      </w:r>
    </w:p>
    <w:p>
      <w:pPr>
        <w:shd w:fill="E9F5EF" w:color="auto" w:val="clear"/>
        <w:spacing w:after="90" w:before="200"/>
      </w:pPr>
      <w:r>
        <w:rPr>
          <w:rFonts w:ascii="Calibri" w:cs="Calibri" w:eastAsia="Calibri" w:hAnsi="Calibri"/>
          <w:b/>
          <w:bCs/>
          <w:color w:val="1F5C8B"/>
          <w:spacing w:val="4"/>
          <w:sz w:val="21"/>
          <w:szCs w:val="21"/>
        </w:rPr>
        <w:t xml:space="preserve">I.  DESCRIPTIVE — What is happening?</w:t>
      </w:r>
    </w:p>
    <w:p>
      <w:pPr>
        <w:pStyle w:val="ListParagraph"/>
        <w:numPr>
          <w:ilvl w:val="0"/>
          <w:numId w:val="1"/>
        </w:numPr>
        <w:spacing w:after="100" w:line="276"/>
      </w:pPr>
      <w:r>
        <w:rPr>
          <w:rFonts w:ascii="Calibri" w:cs="Calibri" w:eastAsia="Calibri" w:hAnsi="Calibri"/>
          <w:color w:val="3A3A3A"/>
          <w:sz w:val="20"/>
          <w:szCs w:val="20"/>
        </w:rPr>
        <w:t xml:space="preserve">Operating volume is stable at about one million cases annually, with a monthly rate of 79–85 thousand cases, without clear growth or contraction.</w:t>
      </w:r>
    </w:p>
    <w:p>
      <w:pPr>
        <w:pStyle w:val="ListParagraph"/>
        <w:numPr>
          <w:ilvl w:val="0"/>
          <w:numId w:val="1"/>
        </w:numPr>
        <w:spacing w:after="100" w:line="276"/>
      </w:pPr>
      <w:r>
        <w:rPr>
          <w:rFonts w:ascii="Calibri" w:cs="Calibri" w:eastAsia="Calibri" w:hAnsi="Calibri"/>
          <w:color w:val="3A3A3A"/>
          <w:sz w:val="20"/>
          <w:szCs w:val="20"/>
        </w:rPr>
        <w:t xml:space="preserve">The readmission rate of 16.88% is above the 15% target benchmark in nearly every month of the year.</w:t>
      </w:r>
    </w:p>
    <w:p>
      <w:pPr>
        <w:pStyle w:val="ListParagraph"/>
        <w:numPr>
          <w:ilvl w:val="0"/>
          <w:numId w:val="1"/>
        </w:numPr>
        <w:spacing w:after="100" w:line="276"/>
      </w:pPr>
      <w:r>
        <w:rPr>
          <w:rFonts w:ascii="Calibri" w:cs="Calibri" w:eastAsia="Calibri" w:hAnsi="Calibri"/>
          <w:color w:val="3A3A3A"/>
          <w:sz w:val="20"/>
          <w:szCs w:val="20"/>
        </w:rPr>
        <w:t xml:space="preserve">The orthopedics (MSK) service line is the largest revenue driver, though not necessarily the highest in medical complexity.</w:t>
      </w:r>
    </w:p>
    <w:p>
      <w:pPr>
        <w:pStyle w:val="ListParagraph"/>
        <w:numPr>
          <w:ilvl w:val="0"/>
          <w:numId w:val="1"/>
        </w:numPr>
        <w:spacing w:after="100" w:line="276"/>
      </w:pPr>
      <w:r>
        <w:rPr>
          <w:rFonts w:ascii="Calibri" w:cs="Calibri" w:eastAsia="Calibri" w:hAnsi="Calibri"/>
          <w:color w:val="3A3A3A"/>
          <w:sz w:val="20"/>
          <w:szCs w:val="20"/>
        </w:rPr>
        <w:t xml:space="preserve">The detected fraud rate (7.32%) and infection rate (9.32%) both sit in a range that warrants continuous management follow-up.</w:t>
      </w:r>
    </w:p>
    <w:p>
      <w:pPr>
        <w:shd w:fill="FBF1E0" w:color="auto" w:val="clear"/>
        <w:spacing w:after="90" w:before="200"/>
      </w:pPr>
      <w:r>
        <w:rPr>
          <w:rFonts w:ascii="Calibri" w:cs="Calibri" w:eastAsia="Calibri" w:hAnsi="Calibri"/>
          <w:b/>
          <w:bCs/>
          <w:color w:val="B5701A"/>
          <w:spacing w:val="4"/>
          <w:sz w:val="21"/>
          <w:szCs w:val="21"/>
        </w:rPr>
        <w:t xml:space="preserve">II.  DIAGNOSTIC — Why is it happening?</w:t>
      </w:r>
    </w:p>
    <w:p>
      <w:pPr>
        <w:pStyle w:val="ListParagraph"/>
        <w:numPr>
          <w:ilvl w:val="0"/>
          <w:numId w:val="1"/>
        </w:numPr>
        <w:spacing w:after="100" w:line="276"/>
      </w:pPr>
      <w:r>
        <w:rPr>
          <w:rFonts w:ascii="Calibri" w:cs="Calibri" w:eastAsia="Calibri" w:hAnsi="Calibri"/>
          <w:color w:val="3A3A3A"/>
          <w:sz w:val="20"/>
          <w:szCs w:val="20"/>
        </w:rPr>
        <w:t xml:space="preserve">The readmission rate staying above 15% throughout the year (not just one month) points to a structural problem in the post-discharge pathway rather than a one-off event; this aligns with Follow-Up Compliance in the Clinical Quality dashboard being only 74.5%, meaning a quarter of patients don't receive follow-up within 48 hours.</w:t>
      </w:r>
    </w:p>
    <w:p>
      <w:pPr>
        <w:pStyle w:val="ListParagraph"/>
        <w:numPr>
          <w:ilvl w:val="0"/>
          <w:numId w:val="1"/>
        </w:numPr>
        <w:spacing w:after="100" w:line="276"/>
      </w:pPr>
      <w:r>
        <w:rPr>
          <w:rFonts w:ascii="Calibri" w:cs="Calibri" w:eastAsia="Calibri" w:hAnsi="Calibri"/>
          <w:color w:val="3A3A3A"/>
          <w:sz w:val="20"/>
          <w:szCs w:val="20"/>
        </w:rPr>
        <w:t xml:space="preserve">The concentration of revenue in MSK, ONC, and CV is not coincidental: these specialties have a higher severity_index and DRG weight per the data dictionary, so higher OR time and cost translate into higher revenue — but they are also more prone to readmission based on severity.</w:t>
      </w:r>
    </w:p>
    <w:p>
      <w:pPr>
        <w:pStyle w:val="ListParagraph"/>
        <w:numPr>
          <w:ilvl w:val="0"/>
          <w:numId w:val="1"/>
        </w:numPr>
        <w:spacing w:after="100" w:line="276"/>
      </w:pPr>
      <w:r>
        <w:rPr>
          <w:rFonts w:ascii="Calibri" w:cs="Calibri" w:eastAsia="Calibri" w:hAnsi="Calibri"/>
          <w:color w:val="3A3A3A"/>
          <w:sz w:val="20"/>
          <w:szCs w:val="20"/>
        </w:rPr>
        <w:t xml:space="preserve">The hospital's 55% reliance on Medicare and Medicaid means exposure to any regulatory change in CMS programs (such as HRRP or HACRP) has a direct and significant financial impact on the hospital as a whole.</w:t>
      </w:r>
    </w:p>
    <w:p>
      <w:pPr>
        <w:shd w:fill="E9F5EF" w:color="auto" w:val="clear"/>
        <w:spacing w:after="90" w:before="200"/>
      </w:pPr>
      <w:r>
        <w:rPr>
          <w:rFonts w:ascii="Calibri" w:cs="Calibri" w:eastAsia="Calibri" w:hAnsi="Calibri"/>
          <w:b/>
          <w:bCs/>
          <w:color w:val="2E7D5B"/>
          <w:spacing w:val="4"/>
          <w:sz w:val="21"/>
          <w:szCs w:val="21"/>
        </w:rPr>
        <w:t xml:space="preserve">III.  PRESCRIPTIVE — What should we do?</w:t>
      </w:r>
    </w:p>
    <w:p>
      <w:pPr>
        <w:pStyle w:val="ListParagraph"/>
        <w:numPr>
          <w:ilvl w:val="0"/>
          <w:numId w:val="1"/>
        </w:numPr>
        <w:spacing w:after="100" w:line="276"/>
      </w:pPr>
      <w:r>
        <w:rPr>
          <w:rFonts w:ascii="Calibri" w:cs="Calibri" w:eastAsia="Calibri" w:hAnsi="Calibri"/>
          <w:color w:val="3A3A3A"/>
          <w:sz w:val="20"/>
          <w:szCs w:val="20"/>
        </w:rPr>
        <w:t xml:space="preserve">Link the Readmission Rate metric to an actual improvement plan (Care Transition Program) specifically targeting MSK, ONC, and CV, since they are highest in both revenue and severity simultaneously.</w:t>
      </w:r>
    </w:p>
    <w:p>
      <w:pPr>
        <w:pStyle w:val="ListParagraph"/>
        <w:numPr>
          <w:ilvl w:val="0"/>
          <w:numId w:val="1"/>
        </w:numPr>
        <w:spacing w:after="100" w:line="276"/>
      </w:pPr>
      <w:r>
        <w:rPr>
          <w:rFonts w:ascii="Calibri" w:cs="Calibri" w:eastAsia="Calibri" w:hAnsi="Calibri"/>
          <w:color w:val="3A3A3A"/>
          <w:sz w:val="20"/>
          <w:szCs w:val="20"/>
        </w:rPr>
        <w:t xml:space="preserve">Use the Fraud Encounter Rate as a monthly (not just annual) operational metric to detect any sudden spike requiring immediate intervention from the fraud, waste, and abuse (FWA) team.</w:t>
      </w:r>
    </w:p>
    <w:p>
      <w:pPr>
        <w:pStyle w:val="ListParagraph"/>
        <w:numPr>
          <w:ilvl w:val="0"/>
          <w:numId w:val="1"/>
        </w:numPr>
        <w:spacing w:after="100" w:line="276"/>
      </w:pPr>
      <w:r>
        <w:rPr>
          <w:rFonts w:ascii="Calibri" w:cs="Calibri" w:eastAsia="Calibri" w:hAnsi="Calibri"/>
          <w:color w:val="3A3A3A"/>
          <w:sz w:val="20"/>
          <w:szCs w:val="20"/>
        </w:rPr>
        <w:t xml:space="preserve">Add a Payer Mix Trend indicator (change in proportions over time) to the executive dashboard to track any shift toward the less profitable Medicaid/Self-Pay segments.</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BUSINESS Q&amp;A</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Which service line is the most profitable?</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MSK (orthopedics) has the highest total net revenue by a clear margin over the other categories, followed by ONC and CV.</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Is the readmission rate a seasonal or ongoing problem?</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Ongoing; nearly every month exceeds the 15% reference line, indicating a structural problem in the post-discharge follow-up system rather than a seasonal one.</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Who is the largest payer by volume?</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Medicare, with 350,891 cases (35% of total cases), followed by Medicaid at 20%.</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Is there a relationship between revenue and readmission rate by service line?</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Yes — the highest-revenue service lines (MSK, ONC, CV) tend to have the highest severity_index and are therefore more prone to readmission, warranting special monitoring.</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What is the current level of patient confidence in the service?</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CAHPS Composite Score is only 3.05 out of 5, a moderate level that calls for a genuine patient-experience improvement plan, not just numerical tracking.</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RECOMMENDATIONS</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Launch a Care Transition program focused on the top three revenue- and severity-ranked lines (MSK, ONC, CV) to reduce readmissions before targeting other departments.</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Prepare a monthly (not annual) report for the Fraud Encounter Rate, since any sudden increase means financial leakage worth rapid investigation.</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Review contracting strategy with lower-reimbursement payers (Medicaid) versus increasing the share of higher-revenue-per-case contracts such as BlueCross and Cigna.</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Integrate the CAHPS Composite Score into management performance incentives so improving patient experience isn't the responsibility of a single department alone.</w:t>
      </w:r>
    </w:p>
    <w:p>
      <w:pPr>
        <w:pageBreakBefore/>
        <w:pBdr>
          <w:bottom w:val="single" w:color="0E8388" w:sz="16" w:space="8"/>
        </w:pBdr>
        <w:spacing w:after="40" w:before="0"/>
      </w:pPr>
      <w:r>
        <w:rPr>
          <w:rFonts w:ascii="Calibri" w:cs="Calibri" w:eastAsia="Calibri" w:hAnsi="Calibri"/>
          <w:b/>
          <w:bCs/>
          <w:color w:val="0E8388"/>
          <w:spacing w:val="20"/>
          <w:sz w:val="20"/>
          <w:szCs w:val="20"/>
        </w:rPr>
        <w:t xml:space="preserve">DASHBOARD 2</w:t>
      </w:r>
    </w:p>
    <w:p>
      <w:pPr>
        <w:spacing w:after="60" w:before="40"/>
      </w:pPr>
      <w:r>
        <w:rPr>
          <w:rFonts w:ascii="Calibri" w:cs="Calibri" w:eastAsia="Calibri" w:hAnsi="Calibri"/>
          <w:b/>
          <w:bCs/>
          <w:color w:val="0B3D5C"/>
          <w:sz w:val="40"/>
          <w:szCs w:val="40"/>
        </w:rPr>
        <w:t xml:space="preserve">Finance &amp; Revenue Cycle Dashboard</w:t>
      </w:r>
    </w:p>
    <w:p>
      <w:pPr>
        <w:spacing w:after="260" w:before="0"/>
      </w:pPr>
      <w:r>
        <w:rPr>
          <w:rFonts w:ascii="Calibri" w:cs="Calibri" w:eastAsia="Calibri" w:hAnsi="Calibri"/>
          <w:i/>
          <w:iCs/>
          <w:color w:val="0E8388"/>
          <w:sz w:val="22"/>
          <w:szCs w:val="22"/>
        </w:rPr>
        <w:t xml:space="preserve">Revenue Cycle Management &amp; CFO View</w:t>
      </w:r>
    </w:p>
    <w:p>
      <w:pPr>
        <w:spacing w:after="240" w:before="0" w:line="288"/>
        <w:jc w:val="left"/>
      </w:pPr>
      <w:r>
        <w:rPr>
          <w:rFonts w:ascii="Calibri" w:cs="Calibri" w:eastAsia="Calibri" w:hAnsi="Calibri"/>
          <w:b w:val="false"/>
          <w:bCs w:val="false"/>
          <w:i w:val="false"/>
          <w:iCs w:val="false"/>
          <w:color w:val="3A3A3A"/>
          <w:sz w:val="22"/>
          <w:szCs w:val="22"/>
        </w:rPr>
        <w:t xml:space="preserve">A dashboard dedicated to the Revenue Cycle Management team and CFO to track revenue collection, claim denials, fraud exposure, and utilization of costly medical assets.</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000"/>
      </w:tblGrid>
      <w:tr>
        <w:trPr>
          <w:tblHeader/>
        </w:trPr>
        <w:tc>
          <w:tcPr>
            <w:tcW w:type="pct" w:w="32%"/>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KEY INDICATOR</w:t>
            </w:r>
          </w:p>
        </w:tc>
        <w:tc>
          <w:tcPr>
            <w:tcW w:type="pct" w:w="18%"/>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VALUE</w:t>
            </w:r>
          </w:p>
        </w:tc>
        <w:tc>
          <w:tcPr>
            <w:tcW w:type="pct" w:w="50%"/>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DESCRIPTION</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Total Net Revenue</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$16.74bn</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Net revenue after excluding denied claims.</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Clean Claim Rate %</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86.69%</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Percentage of claims that pass without denial on first submission.</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Total Fraud Exposure USD</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$3.092bn</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Total value of claims flagged for fraud (Upcoding + Unbundling + Duplicate).</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Equipment Utilization Rate %</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5.1%</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Average utilization of high-cost medical equipment relative to total daily operating capacity.</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Claim Denial Rate %</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13.31%</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Percentage of claims denied by insurers.</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Days in AR</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365.00</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Average number of days to collect accounts receivable.</w:t>
            </w:r>
          </w:p>
        </w:tc>
      </w:tr>
    </w:tbl>
    <w:p>
      <w:pPr>
        <w:spacing w:after="60"/>
      </w:pPr>
    </w:p>
    <w:p>
      <w:pPr>
        <w:pBdr>
          <w:left w:val="single" w:color="0E8388" w:sz="24" w:space="6"/>
        </w:pBdr>
        <w:spacing w:after="140" w:before="320"/>
        <w:ind w:left="100"/>
      </w:pPr>
      <w:r>
        <w:rPr>
          <w:rFonts w:ascii="Calibri" w:cs="Calibri" w:eastAsia="Calibri" w:hAnsi="Calibri"/>
          <w:b/>
          <w:bCs/>
          <w:color w:val="0B3D5C"/>
          <w:spacing w:val="8"/>
          <w:sz w:val="26"/>
          <w:szCs w:val="26"/>
        </w:rPr>
        <w:t xml:space="preserve">VISUALS BREAKDOWN</w:t>
      </w:r>
    </w:p>
    <w:p>
      <w:pPr>
        <w:spacing w:after="60" w:before="160"/>
      </w:pPr>
      <w:r>
        <w:rPr>
          <w:rFonts w:ascii="Calibri" w:cs="Calibri" w:eastAsia="Calibri" w:hAnsi="Calibri"/>
          <w:b/>
          <w:bCs/>
          <w:color w:val="1F5C8B"/>
          <w:sz w:val="21"/>
          <w:szCs w:val="21"/>
        </w:rPr>
        <w:t xml:space="preserve">1. Fraud Exposure by Category — Column Chart</w:t>
      </w:r>
    </w:p>
    <w:p>
      <w:pPr>
        <w:spacing w:after="100" w:before="0" w:line="288"/>
        <w:jc w:val="left"/>
      </w:pPr>
      <w:r>
        <w:rPr>
          <w:rFonts w:ascii="Calibri" w:cs="Calibri" w:eastAsia="Calibri" w:hAnsi="Calibri"/>
          <w:b w:val="false"/>
          <w:bCs w:val="false"/>
          <w:i w:val="false"/>
          <w:iCs w:val="false"/>
          <w:color w:val="3A3A3A"/>
          <w:sz w:val="20"/>
          <w:szCs w:val="20"/>
        </w:rPr>
        <w:t xml:space="preserve">Compares financial exposure (in dollars) by fraud type: Upcoding Exposure is the largest by a wide margin ($2.12bn), followed by Unbundling ($0.60bn), then Duplicate ($0.45bn). Over-coding (inflating the reported service level) is the most financially dangerous fraud type at the hospital.</w:t>
      </w:r>
    </w:p>
    <w:p>
      <w:pPr>
        <w:spacing w:after="60" w:before="160"/>
      </w:pPr>
      <w:r>
        <w:rPr>
          <w:rFonts w:ascii="Calibri" w:cs="Calibri" w:eastAsia="Calibri" w:hAnsi="Calibri"/>
          <w:b/>
          <w:bCs/>
          <w:color w:val="1F5C8B"/>
          <w:sz w:val="21"/>
          <w:szCs w:val="21"/>
        </w:rPr>
        <w:t xml:space="preserve">2. Submitted Charges vs Collected Net Revenue by Payer — Dual Bar Chart</w:t>
      </w:r>
    </w:p>
    <w:p>
      <w:pPr>
        <w:spacing w:after="100" w:before="0" w:line="288"/>
        <w:jc w:val="left"/>
      </w:pPr>
      <w:r>
        <w:rPr>
          <w:rFonts w:ascii="Calibri" w:cs="Calibri" w:eastAsia="Calibri" w:hAnsi="Calibri"/>
          <w:b w:val="false"/>
          <w:bCs w:val="false"/>
          <w:i w:val="false"/>
          <w:iCs w:val="false"/>
          <w:color w:val="3A3A3A"/>
          <w:sz w:val="20"/>
          <w:szCs w:val="20"/>
        </w:rPr>
        <w:t xml:space="preserve">Compares total submitted charges against actual collected net revenue for each payer. Medicare submits the highest charges ($10.7bn) but collects only $5.6bn (~52%), and Medicaid collects $2.6bn out of $6.0bn (~43%), while BlueCross has a relatively higher collection rate (~60%). The large gap between billed and collected reflects either significant contractual discounts or a high denial rate.</w:t>
      </w:r>
    </w:p>
    <w:p>
      <w:pPr>
        <w:spacing w:after="60" w:before="160"/>
      </w:pPr>
      <w:r>
        <w:rPr>
          <w:rFonts w:ascii="Calibri" w:cs="Calibri" w:eastAsia="Calibri" w:hAnsi="Calibri"/>
          <w:b/>
          <w:bCs/>
          <w:color w:val="1F5C8B"/>
          <w:sz w:val="21"/>
          <w:szCs w:val="21"/>
        </w:rPr>
        <w:t xml:space="preserve">3. Claim Denial Reasons by CARC Code — Horizontal Bar Chart</w:t>
      </w:r>
    </w:p>
    <w:p>
      <w:pPr>
        <w:spacing w:after="100" w:before="0" w:line="288"/>
        <w:jc w:val="left"/>
      </w:pPr>
      <w:r>
        <w:rPr>
          <w:rFonts w:ascii="Calibri" w:cs="Calibri" w:eastAsia="Calibri" w:hAnsi="Calibri"/>
          <w:b w:val="false"/>
          <w:bCs w:val="false"/>
          <w:i w:val="false"/>
          <w:iCs w:val="false"/>
          <w:color w:val="3A3A3A"/>
          <w:sz w:val="20"/>
          <w:szCs w:val="20"/>
        </w:rPr>
        <w:t xml:space="preserve">Ranks claim denial reasons by CARC code: CO-16 (missing information) is the most frequent at 28K cases, followed by CO-50 (not medically necessary) at 21.3K, then CO-197 (missing prior authorization) at 18.7K. Fraud-related reasons (CO-18 duplicate, CO-11/CO-50/CO-4 upcoding, CO-97 unbundling) also appear in large numbers.</w:t>
      </w:r>
    </w:p>
    <w:p>
      <w:pPr>
        <w:spacing w:after="60" w:before="160"/>
      </w:pPr>
      <w:r>
        <w:rPr>
          <w:rFonts w:ascii="Calibri" w:cs="Calibri" w:eastAsia="Calibri" w:hAnsi="Calibri"/>
          <w:b/>
          <w:bCs/>
          <w:color w:val="1F5C8B"/>
          <w:sz w:val="21"/>
          <w:szCs w:val="21"/>
        </w:rPr>
        <w:t xml:space="preserve">4. Equipment Utilization Rate by Asset Type — Horizontal Bar Chart</w:t>
      </w:r>
    </w:p>
    <w:p>
      <w:pPr>
        <w:spacing w:after="100" w:before="0" w:line="288"/>
        <w:jc w:val="left"/>
      </w:pPr>
      <w:r>
        <w:rPr>
          <w:rFonts w:ascii="Calibri" w:cs="Calibri" w:eastAsia="Calibri" w:hAnsi="Calibri"/>
          <w:b w:val="false"/>
          <w:bCs w:val="false"/>
          <w:i w:val="false"/>
          <w:iCs w:val="false"/>
          <w:color w:val="3A3A3A"/>
          <w:sz w:val="20"/>
          <w:szCs w:val="20"/>
        </w:rPr>
        <w:t xml:space="preserve">Measures utilization by equipment type: the Cath Lab has the highest utilization (12.4%), followed by MRI (9.6%) and PET Scanner (9.3%), while the Dermatoscope (1.0%) and X-Ray (1.3%) are the lowest. Overall rates are very low (under 13% for all), indicating significant unused operating capacity across all assets.</w:t>
      </w:r>
    </w:p>
    <w:p>
      <w:pPr>
        <w:spacing w:after="60" w:before="160"/>
      </w:pPr>
      <w:r>
        <w:rPr>
          <w:rFonts w:ascii="Calibri" w:cs="Calibri" w:eastAsia="Calibri" w:hAnsi="Calibri"/>
          <w:b/>
          <w:bCs/>
          <w:color w:val="1F5C8B"/>
          <w:sz w:val="21"/>
          <w:szCs w:val="21"/>
        </w:rPr>
        <w:t xml:space="preserve">5. Average Net Revenue Per Encounter by Payer — Horizontal Bar Chart</w:t>
      </w:r>
    </w:p>
    <w:p>
      <w:pPr>
        <w:spacing w:after="100" w:before="0" w:line="288"/>
        <w:jc w:val="left"/>
      </w:pPr>
      <w:r>
        <w:rPr>
          <w:rFonts w:ascii="Calibri" w:cs="Calibri" w:eastAsia="Calibri" w:hAnsi="Calibri"/>
          <w:b w:val="false"/>
          <w:bCs w:val="false"/>
          <w:i w:val="false"/>
          <w:iCs w:val="false"/>
          <w:color w:val="3A3A3A"/>
          <w:sz w:val="20"/>
          <w:szCs w:val="20"/>
        </w:rPr>
        <w:t xml:space="preserve">Shows average net revenue per case by payer: Self-Pay is highest ($25.9K), followed by Cigna ($19.0K) and Aetna ($18.6K), while Medicaid is lowest ($13.0K). Self-Pay ranking at the top is counter-intuitive at first glance — it mostly reflects that Self-Pay cases are limited in number and include cases with higher submitted charges (no contractual discount), not necessarily higher actual collections.</w:t>
      </w:r>
    </w:p>
    <w:p>
      <w:pPr>
        <w:shd w:fill="E4F3F3" w:color="auto" w:val="clear"/>
        <w:spacing w:after="200" w:before="100"/>
      </w:pPr>
      <w:r>
        <w:rPr>
          <w:rFonts w:ascii="Calibri" w:cs="Calibri" w:eastAsia="Calibri" w:hAnsi="Calibri"/>
          <w:i/>
          <w:iCs/>
          <w:color w:val="0B3D5C"/>
          <w:sz w:val="19"/>
          <w:szCs w:val="19"/>
        </w:rPr>
        <w:t xml:space="preserve">🔎  Slicers: payer, diagnosis_category, year (2024).</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THREE-LAYER ANALYSIS</w:t>
      </w:r>
    </w:p>
    <w:p>
      <w:pPr>
        <w:shd w:fill="E9F5EF" w:color="auto" w:val="clear"/>
        <w:spacing w:after="90" w:before="200"/>
      </w:pPr>
      <w:r>
        <w:rPr>
          <w:rFonts w:ascii="Calibri" w:cs="Calibri" w:eastAsia="Calibri" w:hAnsi="Calibri"/>
          <w:b/>
          <w:bCs/>
          <w:color w:val="1F5C8B"/>
          <w:spacing w:val="4"/>
          <w:sz w:val="21"/>
          <w:szCs w:val="21"/>
        </w:rPr>
        <w:t xml:space="preserve">I.  DESCRIPTIVE — What is happening?</w:t>
      </w:r>
    </w:p>
    <w:p>
      <w:pPr>
        <w:pStyle w:val="ListParagraph"/>
        <w:numPr>
          <w:ilvl w:val="0"/>
          <w:numId w:val="1"/>
        </w:numPr>
        <w:spacing w:after="100" w:line="276"/>
      </w:pPr>
      <w:r>
        <w:rPr>
          <w:rFonts w:ascii="Calibri" w:cs="Calibri" w:eastAsia="Calibri" w:hAnsi="Calibri"/>
          <w:color w:val="3A3A3A"/>
          <w:sz w:val="20"/>
          <w:szCs w:val="20"/>
        </w:rPr>
        <w:t xml:space="preserve">A claim denial rate of 13.31% and Days in AR reaching a full year (365 days) is very high compared to the industry benchmark (typically 40–50 days).</w:t>
      </w:r>
    </w:p>
    <w:p>
      <w:pPr>
        <w:pStyle w:val="ListParagraph"/>
        <w:numPr>
          <w:ilvl w:val="0"/>
          <w:numId w:val="1"/>
        </w:numPr>
        <w:spacing w:after="100" w:line="276"/>
      </w:pPr>
      <w:r>
        <w:rPr>
          <w:rFonts w:ascii="Calibri" w:cs="Calibri" w:eastAsia="Calibri" w:hAnsi="Calibri"/>
          <w:color w:val="3A3A3A"/>
          <w:sz w:val="20"/>
          <w:szCs w:val="20"/>
        </w:rPr>
        <w:t xml:space="preserve">Fraud exposure ($3.09bn) is concentrated over 70% in the Upcoding category alone.</w:t>
      </w:r>
    </w:p>
    <w:p>
      <w:pPr>
        <w:pStyle w:val="ListParagraph"/>
        <w:numPr>
          <w:ilvl w:val="0"/>
          <w:numId w:val="1"/>
        </w:numPr>
        <w:spacing w:after="100" w:line="276"/>
      </w:pPr>
      <w:r>
        <w:rPr>
          <w:rFonts w:ascii="Calibri" w:cs="Calibri" w:eastAsia="Calibri" w:hAnsi="Calibri"/>
          <w:color w:val="3A3A3A"/>
          <w:sz w:val="20"/>
          <w:szCs w:val="20"/>
        </w:rPr>
        <w:t xml:space="preserve">Utilization of costly equipment (Cath Lab, MRI, PET) doesn't exceed 12–13% of maximum capacity.</w:t>
      </w:r>
    </w:p>
    <w:p>
      <w:pPr>
        <w:pStyle w:val="ListParagraph"/>
        <w:numPr>
          <w:ilvl w:val="0"/>
          <w:numId w:val="1"/>
        </w:numPr>
        <w:spacing w:after="100" w:line="276"/>
      </w:pPr>
      <w:r>
        <w:rPr>
          <w:rFonts w:ascii="Calibri" w:cs="Calibri" w:eastAsia="Calibri" w:hAnsi="Calibri"/>
          <w:color w:val="3A3A3A"/>
          <w:sz w:val="20"/>
          <w:szCs w:val="20"/>
        </w:rPr>
        <w:t xml:space="preserve">The top three denial reasons (CO-16, CO-50, CO-197) combined represent the vast majority of denials, and all are administrative/documentation reasons that are procedurally solvable, not fundamentally clinical.</w:t>
      </w:r>
    </w:p>
    <w:p>
      <w:pPr>
        <w:shd w:fill="FBF1E0" w:color="auto" w:val="clear"/>
        <w:spacing w:after="90" w:before="200"/>
      </w:pPr>
      <w:r>
        <w:rPr>
          <w:rFonts w:ascii="Calibri" w:cs="Calibri" w:eastAsia="Calibri" w:hAnsi="Calibri"/>
          <w:b/>
          <w:bCs/>
          <w:color w:val="B5701A"/>
          <w:spacing w:val="4"/>
          <w:sz w:val="21"/>
          <w:szCs w:val="21"/>
        </w:rPr>
        <w:t xml:space="preserve">II.  DIAGNOSTIC — Why is it happening?</w:t>
      </w:r>
    </w:p>
    <w:p>
      <w:pPr>
        <w:pStyle w:val="ListParagraph"/>
        <w:numPr>
          <w:ilvl w:val="0"/>
          <w:numId w:val="1"/>
        </w:numPr>
        <w:spacing w:after="100" w:line="276"/>
      </w:pPr>
      <w:r>
        <w:rPr>
          <w:rFonts w:ascii="Calibri" w:cs="Calibri" w:eastAsia="Calibri" w:hAnsi="Calibri"/>
          <w:color w:val="3A3A3A"/>
          <w:sz w:val="20"/>
          <w:szCs w:val="20"/>
        </w:rPr>
        <w:t xml:space="preserve">The 13.31% denial rate is directly linked to claim_denial_flag, which rises sharply in the presence of fraud_upcoding_flag (+45 points) and fraud_duplicate_flag (+55 points) per the data logic — explaining why Upcoding Exposure ($2.12bn) is so large: nearly every fraud case is automatically denied, lost as revenue, and also wastes administrative time on resubmission.</w:t>
      </w:r>
    </w:p>
    <w:p>
      <w:pPr>
        <w:pStyle w:val="ListParagraph"/>
        <w:numPr>
          <w:ilvl w:val="0"/>
          <w:numId w:val="1"/>
        </w:numPr>
        <w:spacing w:after="100" w:line="276"/>
      </w:pPr>
      <w:r>
        <w:rPr>
          <w:rFonts w:ascii="Calibri" w:cs="Calibri" w:eastAsia="Calibri" w:hAnsi="Calibri"/>
          <w:color w:val="3A3A3A"/>
          <w:sz w:val="20"/>
          <w:szCs w:val="20"/>
        </w:rPr>
        <w:t xml:space="preserve">The large gap between Submitted Charges and Net Revenue in Medicare and Medicaid (~50% collection) is partly natural due to the known government contractual discount, but combined with the 13.31% denial rate, it means part of the gap is improvable, not purely contractual.</w:t>
      </w:r>
    </w:p>
    <w:p>
      <w:pPr>
        <w:pStyle w:val="ListParagraph"/>
        <w:numPr>
          <w:ilvl w:val="0"/>
          <w:numId w:val="1"/>
        </w:numPr>
        <w:spacing w:after="100" w:line="276"/>
      </w:pPr>
      <w:r>
        <w:rPr>
          <w:rFonts w:ascii="Calibri" w:cs="Calibri" w:eastAsia="Calibri" w:hAnsi="Calibri"/>
          <w:color w:val="3A3A3A"/>
          <w:sz w:val="20"/>
          <w:szCs w:val="20"/>
        </w:rPr>
        <w:t xml:space="preserve">Collection days (365) are abnormally high compared to the relatively moderate denial rate; this points to a slow claim-resubmission (appeal) cycle rather than a problem with denial itself — especially since 65% of denied claims are never resubmitted, according to the data dictionary.</w:t>
      </w:r>
    </w:p>
    <w:p>
      <w:pPr>
        <w:shd w:fill="E9F5EF" w:color="auto" w:val="clear"/>
        <w:spacing w:after="90" w:before="200"/>
      </w:pPr>
      <w:r>
        <w:rPr>
          <w:rFonts w:ascii="Calibri" w:cs="Calibri" w:eastAsia="Calibri" w:hAnsi="Calibri"/>
          <w:b/>
          <w:bCs/>
          <w:color w:val="2E7D5B"/>
          <w:spacing w:val="4"/>
          <w:sz w:val="21"/>
          <w:szCs w:val="21"/>
        </w:rPr>
        <w:t xml:space="preserve">III.  PRESCRIPTIVE — What should we do?</w:t>
      </w:r>
    </w:p>
    <w:p>
      <w:pPr>
        <w:pStyle w:val="ListParagraph"/>
        <w:numPr>
          <w:ilvl w:val="0"/>
          <w:numId w:val="1"/>
        </w:numPr>
        <w:spacing w:after="100" w:line="276"/>
      </w:pPr>
      <w:r>
        <w:rPr>
          <w:rFonts w:ascii="Calibri" w:cs="Calibri" w:eastAsia="Calibri" w:hAnsi="Calibri"/>
          <w:color w:val="3A3A3A"/>
          <w:sz w:val="20"/>
          <w:szCs w:val="20"/>
        </w:rPr>
        <w:t xml:space="preserve">Create a dedicated Denial Work Queue for CO-16 and CO-197 reasons specifically, since they are purely documentation-related (missing information / missing prior authorization) and can be reduced by over 50% with simple pre-submission procedures.</w:t>
      </w:r>
    </w:p>
    <w:p>
      <w:pPr>
        <w:pStyle w:val="ListParagraph"/>
        <w:numPr>
          <w:ilvl w:val="0"/>
          <w:numId w:val="1"/>
        </w:numPr>
        <w:spacing w:after="100" w:line="276"/>
      </w:pPr>
      <w:r>
        <w:rPr>
          <w:rFonts w:ascii="Calibri" w:cs="Calibri" w:eastAsia="Calibri" w:hAnsi="Calibri"/>
          <w:color w:val="3A3A3A"/>
          <w:sz w:val="20"/>
          <w:szCs w:val="20"/>
        </w:rPr>
        <w:t xml:space="preserve">Shift the Upcoding detection model from reactive (after denial) to proactive (before submission) via automated review of claims with abnormally high submitted charges before sending to the insurer.</w:t>
      </w:r>
    </w:p>
    <w:p>
      <w:pPr>
        <w:pStyle w:val="ListParagraph"/>
        <w:numPr>
          <w:ilvl w:val="0"/>
          <w:numId w:val="1"/>
        </w:numPr>
        <w:spacing w:after="100" w:line="276"/>
      </w:pPr>
      <w:r>
        <w:rPr>
          <w:rFonts w:ascii="Calibri" w:cs="Calibri" w:eastAsia="Calibri" w:hAnsi="Calibri"/>
          <w:color w:val="3A3A3A"/>
          <w:sz w:val="20"/>
          <w:szCs w:val="20"/>
        </w:rPr>
        <w:t xml:space="preserve">Renegotiate utilization of costly equipment (especially PET and Cath Lab) through better case scheduling to raise utilization from 12% toward a reasonable minimum of 25–30% to justify the capital cost.</w:t>
      </w:r>
    </w:p>
    <w:p>
      <w:pPr>
        <w:pStyle w:val="ListParagraph"/>
        <w:numPr>
          <w:ilvl w:val="0"/>
          <w:numId w:val="1"/>
        </w:numPr>
        <w:spacing w:after="100" w:line="276"/>
      </w:pPr>
      <w:r>
        <w:rPr>
          <w:rFonts w:ascii="Calibri" w:cs="Calibri" w:eastAsia="Calibri" w:hAnsi="Calibri"/>
          <w:color w:val="3A3A3A"/>
          <w:sz w:val="20"/>
          <w:szCs w:val="20"/>
        </w:rPr>
        <w:t xml:space="preserve">Set an explicit operational target to reduce Days in AR from 365 to under 90 within a year, by automating resubmission of correctable denied claims.</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BUSINESS Q&amp;A</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What is the largest source of financial leakage in the revenue cycle?</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Upcoding fraud represents $2.12bn out of the total $3.09bn fraud exposure — over 68%.</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What are the most frequent claim denial reasons?</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CO-16 (missing information) at 28K claims, followed by CO-50 (not medically necessary) at 21.3K, then CO-197 (missing prior authorization) at 18.7K.</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Which payer generates the highest revenue per case for the hospital?</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Self-Pay has the highest average revenue per case ($25.9K), followed by Cigna ($19.0K) then Aetna ($18.6K); Medicaid is the lowest ($13.0K).</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Is costly equipment being utilized efficiently?</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No; the highest utilization rate (Cath Lab) doesn't exceed 12.4%, far below the desired industry rate (ideally over 60–70%).</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Why is the collection period (Days in AR) so high?</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Due to the accumulation of denied claims that are never resubmitted (65% of them per industry data), plus a slow appeal cycle — which calls for automating the resubmission process.</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RECOMMENDATIONS</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Build a real-time alert dashboard for any claim where submitted_charge significantly exceeds the procedure average, to control upcoding before submission rather than after denial.</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Assign a small Denial Recovery Team focused exclusively on CO-16 and CO-197 reasons since their resolution is procedural and quick-return.</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Review Cath Lab and PET Scanner scheduling to raise utilization, since every additional percentage point means a better return on already costly capital investment.</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Tie the RCM team's financial performance incentive to the Days in AR metric, not just total revenue volume, to encourage faster collection.</w:t>
      </w:r>
    </w:p>
    <w:p>
      <w:pPr>
        <w:pageBreakBefore/>
        <w:pBdr>
          <w:bottom w:val="single" w:color="0E8388" w:sz="16" w:space="8"/>
        </w:pBdr>
        <w:spacing w:after="40" w:before="0"/>
      </w:pPr>
      <w:r>
        <w:rPr>
          <w:rFonts w:ascii="Calibri" w:cs="Calibri" w:eastAsia="Calibri" w:hAnsi="Calibri"/>
          <w:b/>
          <w:bCs/>
          <w:color w:val="0E8388"/>
          <w:spacing w:val="20"/>
          <w:sz w:val="20"/>
          <w:szCs w:val="20"/>
        </w:rPr>
        <w:t xml:space="preserve">DASHBOARD 3</w:t>
      </w:r>
    </w:p>
    <w:p>
      <w:pPr>
        <w:spacing w:after="60" w:before="40"/>
      </w:pPr>
      <w:r>
        <w:rPr>
          <w:rFonts w:ascii="Calibri" w:cs="Calibri" w:eastAsia="Calibri" w:hAnsi="Calibri"/>
          <w:b/>
          <w:bCs/>
          <w:color w:val="0B3D5C"/>
          <w:sz w:val="40"/>
          <w:szCs w:val="40"/>
        </w:rPr>
        <w:t xml:space="preserve">Patient Experience Dashboard (CAHPS)</w:t>
      </w:r>
    </w:p>
    <w:p>
      <w:pPr>
        <w:spacing w:after="260" w:before="0"/>
      </w:pPr>
      <w:r>
        <w:rPr>
          <w:rFonts w:ascii="Calibri" w:cs="Calibri" w:eastAsia="Calibri" w:hAnsi="Calibri"/>
          <w:i/>
          <w:iCs/>
          <w:color w:val="0E8388"/>
          <w:sz w:val="22"/>
          <w:szCs w:val="22"/>
        </w:rPr>
        <w:t xml:space="preserve">Patient Experience &amp; Satisfaction</w:t>
      </w:r>
    </w:p>
    <w:p>
      <w:pPr>
        <w:spacing w:after="240" w:before="0" w:line="288"/>
        <w:jc w:val="left"/>
      </w:pPr>
      <w:r>
        <w:rPr>
          <w:rFonts w:ascii="Calibri" w:cs="Calibri" w:eastAsia="Calibri" w:hAnsi="Calibri"/>
          <w:b w:val="false"/>
          <w:bCs w:val="false"/>
          <w:i w:val="false"/>
          <w:iCs w:val="false"/>
          <w:color w:val="3A3A3A"/>
          <w:sz w:val="22"/>
          <w:szCs w:val="22"/>
        </w:rPr>
        <w:t xml:space="preserve">General idea: this dashboard tracks patient experience from three interconnected angles — speed of communication with nursing staff, perceived wait time, and digital (Telehealth) adoption — and links them to nurse workload and burnout.</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0B3D5C" w:sz="4"/>
              <w:left w:val="single" w:color="0B3D5C" w:sz="4"/>
              <w:bottom w:val="single" w:color="0B3D5C" w:sz="4"/>
              <w:right w:val="single" w:color="0B3D5C" w:sz="4"/>
            </w:tcBorders>
            <w:shd w:fill="0B3D5C" w:color="auto" w:val="clear"/>
            <w:tcMar>
              <w:top w:type="dxa" w:w="160"/>
              <w:left w:type="dxa" w:w="80"/>
              <w:bottom w:type="dxa" w:w="40"/>
              <w:right w:type="dxa" w:w="80"/>
            </w:tcMar>
            <w:vAlign w:val="center"/>
          </w:tcPr>
          <w:p>
            <w:pPr>
              <w:jc w:val="center"/>
            </w:pPr>
            <w:r>
              <w:rPr>
                <w:rFonts w:ascii="Calibri" w:cs="Calibri" w:eastAsia="Calibri" w:hAnsi="Calibri"/>
                <w:b/>
                <w:bCs/>
                <w:color w:val="C9A24B"/>
                <w:sz w:val="30"/>
                <w:szCs w:val="30"/>
              </w:rPr>
              <w:t xml:space="preserve">3.05</w:t>
            </w:r>
          </w:p>
        </w:tc>
        <w:tc>
          <w:tcPr>
            <w:tcW w:type="pct" w:w="20%"/>
            <w:tcBorders>
              <w:top w:val="single" w:color="0B3D5C" w:sz="4"/>
              <w:left w:val="single" w:color="0B3D5C" w:sz="4"/>
              <w:bottom w:val="single" w:color="0B3D5C" w:sz="4"/>
              <w:right w:val="single" w:color="0B3D5C" w:sz="4"/>
            </w:tcBorders>
            <w:shd w:fill="0B3D5C" w:color="auto" w:val="clear"/>
            <w:tcMar>
              <w:top w:type="dxa" w:w="160"/>
              <w:left w:type="dxa" w:w="80"/>
              <w:bottom w:type="dxa" w:w="40"/>
              <w:right w:type="dxa" w:w="80"/>
            </w:tcMar>
            <w:vAlign w:val="center"/>
          </w:tcPr>
          <w:p>
            <w:pPr>
              <w:jc w:val="center"/>
            </w:pPr>
            <w:r>
              <w:rPr>
                <w:rFonts w:ascii="Calibri" w:cs="Calibri" w:eastAsia="Calibri" w:hAnsi="Calibri"/>
                <w:b/>
                <w:bCs/>
                <w:color w:val="C9A24B"/>
                <w:sz w:val="30"/>
                <w:szCs w:val="30"/>
              </w:rPr>
              <w:t xml:space="preserve">5.4%</w:t>
            </w:r>
          </w:p>
        </w:tc>
        <w:tc>
          <w:tcPr>
            <w:tcW w:type="pct" w:w="20%"/>
            <w:tcBorders>
              <w:top w:val="single" w:color="0B3D5C" w:sz="4"/>
              <w:left w:val="single" w:color="0B3D5C" w:sz="4"/>
              <w:bottom w:val="single" w:color="0B3D5C" w:sz="4"/>
              <w:right w:val="single" w:color="0B3D5C" w:sz="4"/>
            </w:tcBorders>
            <w:shd w:fill="0B3D5C" w:color="auto" w:val="clear"/>
            <w:tcMar>
              <w:top w:type="dxa" w:w="160"/>
              <w:left w:type="dxa" w:w="80"/>
              <w:bottom w:type="dxa" w:w="40"/>
              <w:right w:type="dxa" w:w="80"/>
            </w:tcMar>
            <w:vAlign w:val="center"/>
          </w:tcPr>
          <w:p>
            <w:pPr>
              <w:jc w:val="center"/>
            </w:pPr>
            <w:r>
              <w:rPr>
                <w:rFonts w:ascii="Calibri" w:cs="Calibri" w:eastAsia="Calibri" w:hAnsi="Calibri"/>
                <w:b/>
                <w:bCs/>
                <w:color w:val="C9A24B"/>
                <w:sz w:val="30"/>
                <w:szCs w:val="30"/>
              </w:rPr>
              <w:t xml:space="preserve">3.05</w:t>
            </w:r>
          </w:p>
        </w:tc>
        <w:tc>
          <w:tcPr>
            <w:tcW w:type="pct" w:w="20%"/>
            <w:tcBorders>
              <w:top w:val="single" w:color="0B3D5C" w:sz="4"/>
              <w:left w:val="single" w:color="0B3D5C" w:sz="4"/>
              <w:bottom w:val="single" w:color="0B3D5C" w:sz="4"/>
              <w:right w:val="single" w:color="0B3D5C" w:sz="4"/>
            </w:tcBorders>
            <w:shd w:fill="0B3D5C" w:color="auto" w:val="clear"/>
            <w:tcMar>
              <w:top w:type="dxa" w:w="160"/>
              <w:left w:type="dxa" w:w="80"/>
              <w:bottom w:type="dxa" w:w="40"/>
              <w:right w:type="dxa" w:w="80"/>
            </w:tcMar>
            <w:vAlign w:val="center"/>
          </w:tcPr>
          <w:p>
            <w:pPr>
              <w:jc w:val="center"/>
            </w:pPr>
            <w:r>
              <w:rPr>
                <w:rFonts w:ascii="Calibri" w:cs="Calibri" w:eastAsia="Calibri" w:hAnsi="Calibri"/>
                <w:b/>
                <w:bCs/>
                <w:color w:val="C9A24B"/>
                <w:sz w:val="30"/>
                <w:szCs w:val="30"/>
              </w:rPr>
              <w:t xml:space="preserve">34.3%</w:t>
            </w:r>
          </w:p>
        </w:tc>
        <w:tc>
          <w:tcPr>
            <w:tcW w:type="pct" w:w="20%"/>
            <w:tcBorders>
              <w:top w:val="single" w:color="0B3D5C" w:sz="4"/>
              <w:left w:val="single" w:color="0B3D5C" w:sz="4"/>
              <w:bottom w:val="single" w:color="0B3D5C" w:sz="4"/>
              <w:right w:val="single" w:color="0B3D5C" w:sz="4"/>
            </w:tcBorders>
            <w:shd w:fill="0B3D5C" w:color="auto" w:val="clear"/>
            <w:tcMar>
              <w:top w:type="dxa" w:w="160"/>
              <w:left w:type="dxa" w:w="80"/>
              <w:bottom w:type="dxa" w:w="40"/>
              <w:right w:type="dxa" w:w="80"/>
            </w:tcMar>
            <w:vAlign w:val="center"/>
          </w:tcPr>
          <w:p>
            <w:pPr>
              <w:jc w:val="center"/>
            </w:pPr>
            <w:r>
              <w:rPr>
                <w:rFonts w:ascii="Calibri" w:cs="Calibri" w:eastAsia="Calibri" w:hAnsi="Calibri"/>
                <w:b/>
                <w:bCs/>
                <w:color w:val="C9A24B"/>
                <w:sz w:val="30"/>
                <w:szCs w:val="30"/>
              </w:rPr>
              <w:t xml:space="preserve">1.49</w:t>
            </w:r>
          </w:p>
        </w:tc>
      </w:tr>
      <w:tr>
        <w:tc>
          <w:tcPr>
            <w:tcBorders>
              <w:top w:val="single" w:color="0B3D5C" w:sz="4"/>
              <w:left w:val="single" w:color="0B3D5C" w:sz="4"/>
              <w:bottom w:val="single" w:color="0B3D5C" w:sz="4"/>
              <w:right w:val="single" w:color="0B3D5C" w:sz="4"/>
            </w:tcBorders>
            <w:shd w:fill="082C43" w:color="auto" w:val="clear"/>
            <w:tcMar>
              <w:top w:type="dxa" w:w="40"/>
              <w:left w:type="dxa" w:w="80"/>
              <w:bottom w:type="dxa" w:w="160"/>
              <w:right w:type="dxa" w:w="80"/>
            </w:tcMar>
            <w:vAlign w:val="center"/>
          </w:tcPr>
          <w:p>
            <w:pPr>
              <w:jc w:val="center"/>
            </w:pPr>
            <w:r>
              <w:rPr>
                <w:rFonts w:ascii="Calibri" w:cs="Calibri" w:eastAsia="Calibri" w:hAnsi="Calibri"/>
                <w:color w:val="FFFFFF"/>
                <w:spacing w:val="4"/>
                <w:sz w:val="16"/>
                <w:szCs w:val="16"/>
              </w:rPr>
              <w:t xml:space="preserve">CAHPS Composite Score</w:t>
            </w:r>
          </w:p>
        </w:tc>
        <w:tc>
          <w:tcPr>
            <w:tcBorders>
              <w:top w:val="single" w:color="0B3D5C" w:sz="4"/>
              <w:left w:val="single" w:color="0B3D5C" w:sz="4"/>
              <w:bottom w:val="single" w:color="0B3D5C" w:sz="4"/>
              <w:right w:val="single" w:color="0B3D5C" w:sz="4"/>
            </w:tcBorders>
            <w:shd w:fill="082C43" w:color="auto" w:val="clear"/>
            <w:tcMar>
              <w:top w:type="dxa" w:w="40"/>
              <w:left w:type="dxa" w:w="80"/>
              <w:bottom w:type="dxa" w:w="160"/>
              <w:right w:type="dxa" w:w="80"/>
            </w:tcMar>
            <w:vAlign w:val="center"/>
          </w:tcPr>
          <w:p>
            <w:pPr>
              <w:jc w:val="center"/>
            </w:pPr>
            <w:r>
              <w:rPr>
                <w:rFonts w:ascii="Calibri" w:cs="Calibri" w:eastAsia="Calibri" w:hAnsi="Calibri"/>
                <w:color w:val="FFFFFF"/>
                <w:spacing w:val="4"/>
                <w:sz w:val="16"/>
                <w:szCs w:val="16"/>
              </w:rPr>
              <w:t xml:space="preserve">CMS Star Met %</w:t>
            </w:r>
          </w:p>
        </w:tc>
        <w:tc>
          <w:tcPr>
            <w:tcBorders>
              <w:top w:val="single" w:color="0B3D5C" w:sz="4"/>
              <w:left w:val="single" w:color="0B3D5C" w:sz="4"/>
              <w:bottom w:val="single" w:color="0B3D5C" w:sz="4"/>
              <w:right w:val="single" w:color="0B3D5C" w:sz="4"/>
            </w:tcBorders>
            <w:shd w:fill="082C43" w:color="auto" w:val="clear"/>
            <w:tcMar>
              <w:top w:type="dxa" w:w="40"/>
              <w:left w:type="dxa" w:w="80"/>
              <w:bottom w:type="dxa" w:w="160"/>
              <w:right w:type="dxa" w:w="80"/>
            </w:tcMar>
            <w:vAlign w:val="center"/>
          </w:tcPr>
          <w:p>
            <w:pPr>
              <w:jc w:val="center"/>
            </w:pPr>
            <w:r>
              <w:rPr>
                <w:rFonts w:ascii="Calibri" w:cs="Calibri" w:eastAsia="Calibri" w:hAnsi="Calibri"/>
                <w:color w:val="FFFFFF"/>
                <w:spacing w:val="4"/>
                <w:sz w:val="16"/>
                <w:szCs w:val="16"/>
              </w:rPr>
              <w:t xml:space="preserve">CAHPS Care Transition</w:t>
            </w:r>
          </w:p>
        </w:tc>
        <w:tc>
          <w:tcPr>
            <w:tcBorders>
              <w:top w:val="single" w:color="0B3D5C" w:sz="4"/>
              <w:left w:val="single" w:color="0B3D5C" w:sz="4"/>
              <w:bottom w:val="single" w:color="0B3D5C" w:sz="4"/>
              <w:right w:val="single" w:color="0B3D5C" w:sz="4"/>
            </w:tcBorders>
            <w:shd w:fill="082C43" w:color="auto" w:val="clear"/>
            <w:tcMar>
              <w:top w:type="dxa" w:w="40"/>
              <w:left w:type="dxa" w:w="80"/>
              <w:bottom w:type="dxa" w:w="160"/>
              <w:right w:type="dxa" w:w="80"/>
            </w:tcMar>
            <w:vAlign w:val="center"/>
          </w:tcPr>
          <w:p>
            <w:pPr>
              <w:jc w:val="center"/>
            </w:pPr>
            <w:r>
              <w:rPr>
                <w:rFonts w:ascii="Calibri" w:cs="Calibri" w:eastAsia="Calibri" w:hAnsi="Calibri"/>
                <w:color w:val="FFFFFF"/>
                <w:spacing w:val="4"/>
                <w:sz w:val="16"/>
                <w:szCs w:val="16"/>
              </w:rPr>
              <w:t xml:space="preserve">Telehealth Adoption %</w:t>
            </w:r>
          </w:p>
        </w:tc>
        <w:tc>
          <w:tcPr>
            <w:tcBorders>
              <w:top w:val="single" w:color="0B3D5C" w:sz="4"/>
              <w:left w:val="single" w:color="0B3D5C" w:sz="4"/>
              <w:bottom w:val="single" w:color="0B3D5C" w:sz="4"/>
              <w:right w:val="single" w:color="0B3D5C" w:sz="4"/>
            </w:tcBorders>
            <w:shd w:fill="082C43" w:color="auto" w:val="clear"/>
            <w:tcMar>
              <w:top w:type="dxa" w:w="40"/>
              <w:left w:type="dxa" w:w="80"/>
              <w:bottom w:type="dxa" w:w="160"/>
              <w:right w:type="dxa" w:w="80"/>
            </w:tcMar>
            <w:vAlign w:val="center"/>
          </w:tcPr>
          <w:p>
            <w:pPr>
              <w:jc w:val="center"/>
            </w:pPr>
            <w:r>
              <w:rPr>
                <w:rFonts w:ascii="Calibri" w:cs="Calibri" w:eastAsia="Calibri" w:hAnsi="Calibri"/>
                <w:color w:val="FFFFFF"/>
                <w:spacing w:val="4"/>
                <w:sz w:val="16"/>
                <w:szCs w:val="16"/>
              </w:rPr>
              <w:t xml:space="preserve">Perceived vs Actual Wait Ratio</w:t>
            </w:r>
          </w:p>
        </w:tc>
      </w:tr>
    </w:tbl>
    <w:p>
      <w:pPr>
        <w:spacing w:after="60"/>
      </w:pPr>
    </w:p>
    <w:p>
      <w:pPr>
        <w:pBdr>
          <w:left w:val="single" w:color="0E8388" w:sz="24" w:space="6"/>
        </w:pBdr>
        <w:spacing w:after="140" w:before="320"/>
        <w:ind w:left="100"/>
      </w:pPr>
      <w:r>
        <w:rPr>
          <w:rFonts w:ascii="Calibri" w:cs="Calibri" w:eastAsia="Calibri" w:hAnsi="Calibri"/>
          <w:b/>
          <w:bCs/>
          <w:color w:val="0B3D5C"/>
          <w:spacing w:val="8"/>
          <w:sz w:val="26"/>
          <w:szCs w:val="26"/>
        </w:rPr>
        <w:t xml:space="preserve">VISUALS BREAKDOWN</w:t>
      </w:r>
    </w:p>
    <w:p>
      <w:pPr>
        <w:spacing w:after="60" w:before="160"/>
      </w:pPr>
      <w:r>
        <w:rPr>
          <w:rFonts w:ascii="Calibri" w:cs="Calibri" w:eastAsia="Calibri" w:hAnsi="Calibri"/>
          <w:b/>
          <w:bCs/>
          <w:color w:val="1F5C8B"/>
          <w:sz w:val="21"/>
          <w:szCs w:val="21"/>
        </w:rPr>
        <w:t xml:space="preserve">1. Perceived vs Actual Bed Wait Time by Hospital Unit — Dual Bar Chart</w:t>
      </w:r>
    </w:p>
    <w:p>
      <w:pPr>
        <w:spacing w:after="100" w:before="0" w:line="288"/>
        <w:jc w:val="left"/>
      </w:pPr>
      <w:r>
        <w:rPr>
          <w:rFonts w:ascii="Calibri" w:cs="Calibri" w:eastAsia="Calibri" w:hAnsi="Calibri"/>
          <w:b w:val="false"/>
          <w:bCs w:val="false"/>
          <w:i w:val="false"/>
          <w:iCs w:val="false"/>
          <w:color w:val="3A3A3A"/>
          <w:sz w:val="20"/>
          <w:szCs w:val="20"/>
        </w:rPr>
        <w:t xml:space="preserve">Compares actual bed-assignment time versus the time the patient feels it took, per unit (Cardiac, ICU, Ortho, etc.). Notably, in every unit without exception, perceived time is higher than actual time by roughly the same ratio (about 1.5x) — meaning the problem isn't just service speed, but also managing patient expectations.</w:t>
      </w:r>
    </w:p>
    <w:p>
      <w:pPr>
        <w:spacing w:after="60" w:before="160"/>
      </w:pPr>
      <w:r>
        <w:rPr>
          <w:rFonts w:ascii="Calibri" w:cs="Calibri" w:eastAsia="Calibri" w:hAnsi="Calibri"/>
          <w:b/>
          <w:bCs/>
          <w:color w:val="1F5C8B"/>
          <w:sz w:val="21"/>
          <w:szCs w:val="21"/>
        </w:rPr>
        <w:t xml:space="preserve">2. Telehealth Adoption Rate % by Age Band — Horizontal Bar Chart</w:t>
      </w:r>
    </w:p>
    <w:p>
      <w:pPr>
        <w:spacing w:after="100" w:before="0" w:line="288"/>
        <w:jc w:val="left"/>
      </w:pPr>
      <w:r>
        <w:rPr>
          <w:rFonts w:ascii="Calibri" w:cs="Calibri" w:eastAsia="Calibri" w:hAnsi="Calibri"/>
          <w:b w:val="false"/>
          <w:bCs w:val="false"/>
          <w:i w:val="false"/>
          <w:iCs w:val="false"/>
          <w:color w:val="3A3A3A"/>
          <w:sz w:val="20"/>
          <w:szCs w:val="20"/>
        </w:rPr>
        <w:t xml:space="preserve">Shows that digital service adoption declines progressively with age: the 18–34 group is highest (close to 50%), and the 80+ group is lowest (about 20%), reflecting a clear generational digital divide.</w:t>
      </w:r>
    </w:p>
    <w:p>
      <w:pPr>
        <w:spacing w:after="60" w:before="160"/>
      </w:pPr>
      <w:r>
        <w:rPr>
          <w:rFonts w:ascii="Calibri" w:cs="Calibri" w:eastAsia="Calibri" w:hAnsi="Calibri"/>
          <w:b/>
          <w:bCs/>
          <w:color w:val="1F5C8B"/>
          <w:sz w:val="21"/>
          <w:szCs w:val="21"/>
        </w:rPr>
        <w:t xml:space="preserve">3. CAHPS Sub-Scores by Nurse Unit — Table</w:t>
      </w:r>
    </w:p>
    <w:p>
      <w:pPr>
        <w:spacing w:after="100" w:before="0" w:line="288"/>
        <w:jc w:val="left"/>
      </w:pPr>
      <w:r>
        <w:rPr>
          <w:rFonts w:ascii="Calibri" w:cs="Calibri" w:eastAsia="Calibri" w:hAnsi="Calibri"/>
          <w:b w:val="false"/>
          <w:bCs w:val="false"/>
          <w:i w:val="false"/>
          <w:iCs w:val="false"/>
          <w:color w:val="3A3A3A"/>
          <w:sz w:val="20"/>
          <w:szCs w:val="20"/>
        </w:rPr>
        <w:t xml:space="preserve">A table showing the average number of patients per nurse and the responsiveness rate for each nursing unit. Values are nearly constant across units (about 5.5 patients/nurse, responsiveness around 3.05), meaning workload distribution is relatively fair — but this doesn't explain the small satisfaction differences between units.</w:t>
      </w:r>
    </w:p>
    <w:p>
      <w:pPr>
        <w:spacing w:after="60" w:before="160"/>
      </w:pPr>
      <w:r>
        <w:rPr>
          <w:rFonts w:ascii="Calibri" w:cs="Calibri" w:eastAsia="Calibri" w:hAnsi="Calibri"/>
          <w:b/>
          <w:bCs/>
          <w:color w:val="1F5C8B"/>
          <w:sz w:val="21"/>
          <w:szCs w:val="21"/>
        </w:rPr>
        <w:t xml:space="preserve">4. Burnout Level vs Nurse Communication Score by Unit — Scatter Chart with trend line</w:t>
      </w:r>
    </w:p>
    <w:p>
      <w:pPr>
        <w:spacing w:after="100" w:before="0" w:line="288"/>
        <w:jc w:val="left"/>
      </w:pPr>
      <w:r>
        <w:rPr>
          <w:rFonts w:ascii="Calibri" w:cs="Calibri" w:eastAsia="Calibri" w:hAnsi="Calibri"/>
          <w:b w:val="false"/>
          <w:bCs w:val="false"/>
          <w:i w:val="false"/>
          <w:iCs w:val="false"/>
          <w:color w:val="3A3A3A"/>
          <w:sz w:val="20"/>
          <w:szCs w:val="20"/>
        </w:rPr>
        <w:t xml:space="preserve">The most important visual in this dashboard: shows a near-linear inverse relationship between nurse burnout and patient satisfaction with communication. As burnout rises, communication rating falls — and vice versa.</w:t>
      </w:r>
    </w:p>
    <w:p>
      <w:pPr>
        <w:spacing w:after="60" w:before="160"/>
      </w:pPr>
      <w:r>
        <w:rPr>
          <w:rFonts w:ascii="Calibri" w:cs="Calibri" w:eastAsia="Calibri" w:hAnsi="Calibri"/>
          <w:b/>
          <w:bCs/>
          <w:color w:val="1F5C8B"/>
          <w:sz w:val="21"/>
          <w:szCs w:val="21"/>
        </w:rPr>
        <w:t xml:space="preserve">5. Staffing Ratio vs Patient Responsiveness Score — Bar Chart</w:t>
      </w:r>
    </w:p>
    <w:p>
      <w:pPr>
        <w:spacing w:after="100" w:before="0" w:line="288"/>
        <w:jc w:val="left"/>
      </w:pPr>
      <w:r>
        <w:rPr>
          <w:rFonts w:ascii="Calibri" w:cs="Calibri" w:eastAsia="Calibri" w:hAnsi="Calibri"/>
          <w:b w:val="false"/>
          <w:bCs w:val="false"/>
          <w:i w:val="false"/>
          <w:iCs w:val="false"/>
          <w:color w:val="3A3A3A"/>
          <w:sz w:val="20"/>
          <w:szCs w:val="20"/>
        </w:rPr>
        <w:t xml:space="preserve">Links the number of patients per nurse (3 to 8) to responsiveness rate. Values are close across all levels, meaning the effect isn't very clear in this aggregate view, though the causal relationship is better established in the burnout analysis (visual #4).</w:t>
      </w:r>
    </w:p>
    <w:p>
      <w:pPr>
        <w:shd w:fill="E4F3F3" w:color="auto" w:val="clear"/>
        <w:spacing w:after="200" w:before="100"/>
      </w:pPr>
      <w:r>
        <w:rPr>
          <w:rFonts w:ascii="Calibri" w:cs="Calibri" w:eastAsia="Calibri" w:hAnsi="Calibri"/>
          <w:i/>
          <w:iCs/>
          <w:color w:val="0B3D5C"/>
          <w:sz w:val="19"/>
          <w:szCs w:val="19"/>
        </w:rPr>
        <w:t xml:space="preserve">🔎  Available filters: year, unit (unit_assigned), race (race_ethnicity).</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THREE-LAYER ANALYSIS</w:t>
      </w:r>
    </w:p>
    <w:p>
      <w:pPr>
        <w:shd w:fill="E9F5EF" w:color="auto" w:val="clear"/>
        <w:spacing w:after="90" w:before="200"/>
      </w:pPr>
      <w:r>
        <w:rPr>
          <w:rFonts w:ascii="Calibri" w:cs="Calibri" w:eastAsia="Calibri" w:hAnsi="Calibri"/>
          <w:b/>
          <w:bCs/>
          <w:color w:val="1F5C8B"/>
          <w:spacing w:val="4"/>
          <w:sz w:val="21"/>
          <w:szCs w:val="21"/>
        </w:rPr>
        <w:t xml:space="preserve">I.  DESCRIPTIVE — What is happening?</w:t>
      </w:r>
    </w:p>
    <w:p>
      <w:pPr>
        <w:pStyle w:val="ListParagraph"/>
        <w:numPr>
          <w:ilvl w:val="0"/>
          <w:numId w:val="1"/>
        </w:numPr>
        <w:spacing w:after="100" w:line="276"/>
      </w:pPr>
      <w:r>
        <w:rPr>
          <w:rFonts w:ascii="Calibri" w:cs="Calibri" w:eastAsia="Calibri" w:hAnsi="Calibri"/>
          <w:color w:val="3A3A3A"/>
          <w:sz w:val="20"/>
          <w:szCs w:val="20"/>
        </w:rPr>
        <w:t xml:space="preserve">Overall patient experience is moderate (3.05 out of 5) — not poor, but far from excellent.</w:t>
      </w:r>
    </w:p>
    <w:p>
      <w:pPr>
        <w:pStyle w:val="ListParagraph"/>
        <w:numPr>
          <w:ilvl w:val="0"/>
          <w:numId w:val="1"/>
        </w:numPr>
        <w:spacing w:after="100" w:line="276"/>
      </w:pPr>
      <w:r>
        <w:rPr>
          <w:rFonts w:ascii="Calibri" w:cs="Calibri" w:eastAsia="Calibri" w:hAnsi="Calibri"/>
          <w:color w:val="3A3A3A"/>
          <w:sz w:val="20"/>
          <w:szCs w:val="20"/>
        </w:rPr>
        <w:t xml:space="preserve">Digital adoption is only 34.3%, with a clear age gap.</w:t>
      </w:r>
    </w:p>
    <w:p>
      <w:pPr>
        <w:pStyle w:val="ListParagraph"/>
        <w:numPr>
          <w:ilvl w:val="0"/>
          <w:numId w:val="1"/>
        </w:numPr>
        <w:spacing w:after="100" w:line="276"/>
      </w:pPr>
      <w:r>
        <w:rPr>
          <w:rFonts w:ascii="Calibri" w:cs="Calibri" w:eastAsia="Calibri" w:hAnsi="Calibri"/>
          <w:color w:val="3A3A3A"/>
          <w:sz w:val="20"/>
          <w:szCs w:val="20"/>
        </w:rPr>
        <w:t xml:space="preserve">Patient perception of wait time is consistently higher (~1.5x) than actual time across all units.</w:t>
      </w:r>
    </w:p>
    <w:p>
      <w:pPr>
        <w:pStyle w:val="ListParagraph"/>
        <w:numPr>
          <w:ilvl w:val="0"/>
          <w:numId w:val="1"/>
        </w:numPr>
        <w:spacing w:after="100" w:line="276"/>
      </w:pPr>
      <w:r>
        <w:rPr>
          <w:rFonts w:ascii="Calibri" w:cs="Calibri" w:eastAsia="Calibri" w:hAnsi="Calibri"/>
          <w:color w:val="3A3A3A"/>
          <w:sz w:val="20"/>
          <w:szCs w:val="20"/>
        </w:rPr>
        <w:t xml:space="preserve">The CMS Star benchmark achievement rate is very low: only 5.4%.</w:t>
      </w:r>
    </w:p>
    <w:p>
      <w:pPr>
        <w:shd w:fill="FBF1E0" w:color="auto" w:val="clear"/>
        <w:spacing w:after="90" w:before="200"/>
      </w:pPr>
      <w:r>
        <w:rPr>
          <w:rFonts w:ascii="Calibri" w:cs="Calibri" w:eastAsia="Calibri" w:hAnsi="Calibri"/>
          <w:b/>
          <w:bCs/>
          <w:color w:val="B5701A"/>
          <w:spacing w:val="4"/>
          <w:sz w:val="21"/>
          <w:szCs w:val="21"/>
        </w:rPr>
        <w:t xml:space="preserve">II.  DIAGNOSTIC — Why is it happening?</w:t>
      </w:r>
    </w:p>
    <w:p>
      <w:pPr>
        <w:pStyle w:val="ListParagraph"/>
        <w:numPr>
          <w:ilvl w:val="0"/>
          <w:numId w:val="1"/>
        </w:numPr>
        <w:spacing w:after="100" w:line="276"/>
      </w:pPr>
      <w:r>
        <w:rPr>
          <w:rFonts w:ascii="Calibri" w:cs="Calibri" w:eastAsia="Calibri" w:hAnsi="Calibri"/>
          <w:color w:val="3A3A3A"/>
          <w:sz w:val="20"/>
          <w:szCs w:val="20"/>
        </w:rPr>
        <w:t xml:space="preserve">The consistency of the 1.5x ratio across all units is not coincidental — it appears linked to weak management of patient expectations during waiting, not just the actual duration.</w:t>
      </w:r>
    </w:p>
    <w:p>
      <w:pPr>
        <w:pStyle w:val="ListParagraph"/>
        <w:numPr>
          <w:ilvl w:val="0"/>
          <w:numId w:val="1"/>
        </w:numPr>
        <w:spacing w:after="100" w:line="276"/>
      </w:pPr>
      <w:r>
        <w:rPr>
          <w:rFonts w:ascii="Calibri" w:cs="Calibri" w:eastAsia="Calibri" w:hAnsi="Calibri"/>
          <w:color w:val="3A3A3A"/>
          <w:sz w:val="20"/>
          <w:szCs w:val="20"/>
        </w:rPr>
        <w:t xml:space="preserve">The inverse relationship between burnout and communication confirms the problem isn't “too few nurses” (the ratio is nearly equal across units) but the psychological state of the existing staff.</w:t>
      </w:r>
    </w:p>
    <w:p>
      <w:pPr>
        <w:pStyle w:val="ListParagraph"/>
        <w:numPr>
          <w:ilvl w:val="0"/>
          <w:numId w:val="1"/>
        </w:numPr>
        <w:spacing w:after="100" w:line="276"/>
      </w:pPr>
      <w:r>
        <w:rPr>
          <w:rFonts w:ascii="Calibri" w:cs="Calibri" w:eastAsia="Calibri" w:hAnsi="Calibri"/>
          <w:color w:val="3A3A3A"/>
          <w:sz w:val="20"/>
          <w:szCs w:val="20"/>
        </w:rPr>
        <w:t xml:space="preserve">The low CMS Star rate despite a moderate Composite score means some sub-dimensions (such as pain management or discharge information) are pulling the average down and need separate analysis.</w:t>
      </w:r>
    </w:p>
    <w:p>
      <w:pPr>
        <w:shd w:fill="E9F5EF" w:color="auto" w:val="clear"/>
        <w:spacing w:after="90" w:before="200"/>
      </w:pPr>
      <w:r>
        <w:rPr>
          <w:rFonts w:ascii="Calibri" w:cs="Calibri" w:eastAsia="Calibri" w:hAnsi="Calibri"/>
          <w:b/>
          <w:bCs/>
          <w:color w:val="2E7D5B"/>
          <w:spacing w:val="4"/>
          <w:sz w:val="21"/>
          <w:szCs w:val="21"/>
        </w:rPr>
        <w:t xml:space="preserve">III.  PRESCRIPTIVE — What should we do?</w:t>
      </w:r>
    </w:p>
    <w:p>
      <w:pPr>
        <w:pStyle w:val="ListParagraph"/>
        <w:numPr>
          <w:ilvl w:val="0"/>
          <w:numId w:val="1"/>
        </w:numPr>
        <w:spacing w:after="100" w:line="276"/>
      </w:pPr>
      <w:r>
        <w:rPr>
          <w:rFonts w:ascii="Calibri" w:cs="Calibri" w:eastAsia="Calibri" w:hAnsi="Calibri"/>
          <w:color w:val="3A3A3A"/>
          <w:sz w:val="20"/>
          <w:szCs w:val="20"/>
        </w:rPr>
        <w:t xml:space="preserve">Implement a proactive patient notification system for expected delays (screen or SMS) instead of focusing only on reducing actual time.</w:t>
      </w:r>
    </w:p>
    <w:p>
      <w:pPr>
        <w:pStyle w:val="ListParagraph"/>
        <w:numPr>
          <w:ilvl w:val="0"/>
          <w:numId w:val="1"/>
        </w:numPr>
        <w:spacing w:after="100" w:line="276"/>
      </w:pPr>
      <w:r>
        <w:rPr>
          <w:rFonts w:ascii="Calibri" w:cs="Calibri" w:eastAsia="Calibri" w:hAnsi="Calibri"/>
          <w:color w:val="3A3A3A"/>
          <w:sz w:val="20"/>
          <w:szCs w:val="20"/>
        </w:rPr>
        <w:t xml:space="preserve">Launch a psychological support and burnout program for nurses in the highest-burnout units, as a priority for improving patient experience, not just a separate HR initiative.</w:t>
      </w:r>
    </w:p>
    <w:p>
      <w:pPr>
        <w:pStyle w:val="ListParagraph"/>
        <w:numPr>
          <w:ilvl w:val="0"/>
          <w:numId w:val="1"/>
        </w:numPr>
        <w:spacing w:after="100" w:line="276"/>
      </w:pPr>
      <w:r>
        <w:rPr>
          <w:rFonts w:ascii="Calibri" w:cs="Calibri" w:eastAsia="Calibri" w:hAnsi="Calibri"/>
          <w:color w:val="3A3A3A"/>
          <w:sz w:val="20"/>
          <w:szCs w:val="20"/>
        </w:rPr>
        <w:t xml:space="preserve">Run a simplified digital-adoption campaign for seniors (65+) with direct phone support.</w:t>
      </w:r>
    </w:p>
    <w:p>
      <w:pPr>
        <w:pStyle w:val="ListParagraph"/>
        <w:numPr>
          <w:ilvl w:val="0"/>
          <w:numId w:val="1"/>
        </w:numPr>
        <w:spacing w:after="100" w:line="276"/>
      </w:pPr>
      <w:r>
        <w:rPr>
          <w:rFonts w:ascii="Calibri" w:cs="Calibri" w:eastAsia="Calibri" w:hAnsi="Calibri"/>
          <w:color w:val="3A3A3A"/>
          <w:sz w:val="20"/>
          <w:szCs w:val="20"/>
        </w:rPr>
        <w:t xml:space="preserve">Break down the CAHPS Composite score into its sub-dimensions to identify the weakest dimension preventing achievement of the CMS Star benchmark.</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BUSINESS Q&amp;A</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Is actual wait time or perception the problem?</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Both, but the consistency of the gap (1.49x) across all units means a large part of the problem is expectation management.</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Which age group has the lowest digital adoption?</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The 80+ group (about 20%), versus ~50% for the 18–34 group.</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Is there a relationship between nurse burnout and patient experience?</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Yes, a clear, near-linear inverse relationship.</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Is the patient-to-nurse ratio the cause of weak responsiveness?</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No, the ratio is nearly constant; the stronger factor is burnout.</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What is the CMS Star achievement rate?</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Only 5.4% — a low rate that needs a focused improvement plan.</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RECOMMENDATIONS</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Deploy a proactive communication tool (messages/screens) to reduce the gap between actual and perceived time.</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Invest directly in a nurse wellbeing program — the strongest indicator linked to patient experience in the data.</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Budget for simplified-design Telehealth apps for seniors, with alternative phone support.</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Break down the CAHPS Composite monthly to precisely identify the weakest dimension.</w:t>
      </w:r>
    </w:p>
    <w:p>
      <w:pPr>
        <w:pageBreakBefore/>
        <w:pBdr>
          <w:bottom w:val="single" w:color="0E8388" w:sz="16" w:space="8"/>
        </w:pBdr>
        <w:spacing w:after="40" w:before="0"/>
      </w:pPr>
      <w:r>
        <w:rPr>
          <w:rFonts w:ascii="Calibri" w:cs="Calibri" w:eastAsia="Calibri" w:hAnsi="Calibri"/>
          <w:b/>
          <w:bCs/>
          <w:color w:val="0E8388"/>
          <w:spacing w:val="20"/>
          <w:sz w:val="20"/>
          <w:szCs w:val="20"/>
        </w:rPr>
        <w:t xml:space="preserve">DASHBOARD 4</w:t>
      </w:r>
    </w:p>
    <w:p>
      <w:pPr>
        <w:spacing w:after="60" w:before="40"/>
      </w:pPr>
      <w:r>
        <w:rPr>
          <w:rFonts w:ascii="Calibri" w:cs="Calibri" w:eastAsia="Calibri" w:hAnsi="Calibri"/>
          <w:b/>
          <w:bCs/>
          <w:color w:val="0B3D5C"/>
          <w:sz w:val="40"/>
          <w:szCs w:val="40"/>
        </w:rPr>
        <w:t xml:space="preserve">Health Equity Dashboard</w:t>
      </w:r>
    </w:p>
    <w:p>
      <w:pPr>
        <w:spacing w:after="260" w:before="0"/>
      </w:pPr>
      <w:r>
        <w:rPr>
          <w:rFonts w:ascii="Calibri" w:cs="Calibri" w:eastAsia="Calibri" w:hAnsi="Calibri"/>
          <w:i/>
          <w:iCs/>
          <w:color w:val="0E8388"/>
          <w:sz w:val="22"/>
          <w:szCs w:val="22"/>
        </w:rPr>
        <w:t xml:space="preserve">Equity of Care Across Patient Groups</w:t>
      </w:r>
    </w:p>
    <w:p>
      <w:pPr>
        <w:spacing w:after="240" w:before="0" w:line="288"/>
        <w:jc w:val="left"/>
      </w:pPr>
      <w:r>
        <w:rPr>
          <w:rFonts w:ascii="Calibri" w:cs="Calibri" w:eastAsia="Calibri" w:hAnsi="Calibri"/>
          <w:b w:val="false"/>
          <w:bCs w:val="false"/>
          <w:i w:val="false"/>
          <w:iCs w:val="false"/>
          <w:color w:val="3A3A3A"/>
          <w:sz w:val="22"/>
          <w:szCs w:val="22"/>
        </w:rPr>
        <w:t xml:space="preserve">General idea: this dashboard examines whether care quality, clinical outcomes, and financial outcomes are equitable across racial and age groups, in line with CMS requirements for stratified reporting.</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B3D5C" w:sz="4"/>
              <w:left w:val="single" w:color="0B3D5C" w:sz="4"/>
              <w:bottom w:val="single" w:color="0B3D5C" w:sz="4"/>
              <w:right w:val="single" w:color="0B3D5C" w:sz="4"/>
            </w:tcBorders>
            <w:shd w:fill="0B3D5C" w:color="auto" w:val="clear"/>
            <w:tcMar>
              <w:top w:type="dxa" w:w="160"/>
              <w:left w:type="dxa" w:w="80"/>
              <w:bottom w:type="dxa" w:w="40"/>
              <w:right w:type="dxa" w:w="80"/>
            </w:tcMar>
            <w:vAlign w:val="center"/>
          </w:tcPr>
          <w:p>
            <w:pPr>
              <w:jc w:val="center"/>
            </w:pPr>
            <w:r>
              <w:rPr>
                <w:rFonts w:ascii="Calibri" w:cs="Calibri" w:eastAsia="Calibri" w:hAnsi="Calibri"/>
                <w:b/>
                <w:bCs/>
                <w:color w:val="C9A24B"/>
                <w:sz w:val="30"/>
                <w:szCs w:val="30"/>
              </w:rPr>
              <w:t xml:space="preserve">16.88%</w:t>
            </w:r>
          </w:p>
        </w:tc>
        <w:tc>
          <w:tcPr>
            <w:tcW w:type="pct" w:w="25%"/>
            <w:tcBorders>
              <w:top w:val="single" w:color="0B3D5C" w:sz="4"/>
              <w:left w:val="single" w:color="0B3D5C" w:sz="4"/>
              <w:bottom w:val="single" w:color="0B3D5C" w:sz="4"/>
              <w:right w:val="single" w:color="0B3D5C" w:sz="4"/>
            </w:tcBorders>
            <w:shd w:fill="0B3D5C" w:color="auto" w:val="clear"/>
            <w:tcMar>
              <w:top w:type="dxa" w:w="160"/>
              <w:left w:type="dxa" w:w="80"/>
              <w:bottom w:type="dxa" w:w="40"/>
              <w:right w:type="dxa" w:w="80"/>
            </w:tcMar>
            <w:vAlign w:val="center"/>
          </w:tcPr>
          <w:p>
            <w:pPr>
              <w:jc w:val="center"/>
            </w:pPr>
            <w:r>
              <w:rPr>
                <w:rFonts w:ascii="Calibri" w:cs="Calibri" w:eastAsia="Calibri" w:hAnsi="Calibri"/>
                <w:b/>
                <w:bCs/>
                <w:color w:val="C9A24B"/>
                <w:sz w:val="30"/>
                <w:szCs w:val="30"/>
              </w:rPr>
              <w:t xml:space="preserve">9.32%</w:t>
            </w:r>
          </w:p>
        </w:tc>
        <w:tc>
          <w:tcPr>
            <w:tcW w:type="pct" w:w="25%"/>
            <w:tcBorders>
              <w:top w:val="single" w:color="0B3D5C" w:sz="4"/>
              <w:left w:val="single" w:color="0B3D5C" w:sz="4"/>
              <w:bottom w:val="single" w:color="0B3D5C" w:sz="4"/>
              <w:right w:val="single" w:color="0B3D5C" w:sz="4"/>
            </w:tcBorders>
            <w:shd w:fill="0B3D5C" w:color="auto" w:val="clear"/>
            <w:tcMar>
              <w:top w:type="dxa" w:w="160"/>
              <w:left w:type="dxa" w:w="80"/>
              <w:bottom w:type="dxa" w:w="40"/>
              <w:right w:type="dxa" w:w="80"/>
            </w:tcMar>
            <w:vAlign w:val="center"/>
          </w:tcPr>
          <w:p>
            <w:pPr>
              <w:jc w:val="center"/>
            </w:pPr>
            <w:r>
              <w:rPr>
                <w:rFonts w:ascii="Calibri" w:cs="Calibri" w:eastAsia="Calibri" w:hAnsi="Calibri"/>
                <w:b/>
                <w:bCs/>
                <w:color w:val="C9A24B"/>
                <w:sz w:val="30"/>
                <w:szCs w:val="30"/>
              </w:rPr>
              <w:t xml:space="preserve">13.31%</w:t>
            </w:r>
          </w:p>
        </w:tc>
        <w:tc>
          <w:tcPr>
            <w:tcW w:type="pct" w:w="25%"/>
            <w:tcBorders>
              <w:top w:val="single" w:color="0B3D5C" w:sz="4"/>
              <w:left w:val="single" w:color="0B3D5C" w:sz="4"/>
              <w:bottom w:val="single" w:color="0B3D5C" w:sz="4"/>
              <w:right w:val="single" w:color="0B3D5C" w:sz="4"/>
            </w:tcBorders>
            <w:shd w:fill="0B3D5C" w:color="auto" w:val="clear"/>
            <w:tcMar>
              <w:top w:type="dxa" w:w="160"/>
              <w:left w:type="dxa" w:w="80"/>
              <w:bottom w:type="dxa" w:w="40"/>
              <w:right w:type="dxa" w:w="80"/>
            </w:tcMar>
            <w:vAlign w:val="center"/>
          </w:tcPr>
          <w:p>
            <w:pPr>
              <w:jc w:val="center"/>
            </w:pPr>
            <w:r>
              <w:rPr>
                <w:rFonts w:ascii="Calibri" w:cs="Calibri" w:eastAsia="Calibri" w:hAnsi="Calibri"/>
                <w:b/>
                <w:bCs/>
                <w:color w:val="C9A24B"/>
                <w:sz w:val="30"/>
                <w:szCs w:val="30"/>
              </w:rPr>
              <w:t xml:space="preserve">34.3%</w:t>
            </w:r>
          </w:p>
        </w:tc>
      </w:tr>
      <w:tr>
        <w:tc>
          <w:tcPr>
            <w:tcBorders>
              <w:top w:val="single" w:color="0B3D5C" w:sz="4"/>
              <w:left w:val="single" w:color="0B3D5C" w:sz="4"/>
              <w:bottom w:val="single" w:color="0B3D5C" w:sz="4"/>
              <w:right w:val="single" w:color="0B3D5C" w:sz="4"/>
            </w:tcBorders>
            <w:shd w:fill="082C43" w:color="auto" w:val="clear"/>
            <w:tcMar>
              <w:top w:type="dxa" w:w="40"/>
              <w:left w:type="dxa" w:w="80"/>
              <w:bottom w:type="dxa" w:w="160"/>
              <w:right w:type="dxa" w:w="80"/>
            </w:tcMar>
            <w:vAlign w:val="center"/>
          </w:tcPr>
          <w:p>
            <w:pPr>
              <w:jc w:val="center"/>
            </w:pPr>
            <w:r>
              <w:rPr>
                <w:rFonts w:ascii="Calibri" w:cs="Calibri" w:eastAsia="Calibri" w:hAnsi="Calibri"/>
                <w:color w:val="FFFFFF"/>
                <w:spacing w:val="4"/>
                <w:sz w:val="16"/>
                <w:szCs w:val="16"/>
              </w:rPr>
              <w:t xml:space="preserve">Readmission Rate %</w:t>
            </w:r>
          </w:p>
        </w:tc>
        <w:tc>
          <w:tcPr>
            <w:tcBorders>
              <w:top w:val="single" w:color="0B3D5C" w:sz="4"/>
              <w:left w:val="single" w:color="0B3D5C" w:sz="4"/>
              <w:bottom w:val="single" w:color="0B3D5C" w:sz="4"/>
              <w:right w:val="single" w:color="0B3D5C" w:sz="4"/>
            </w:tcBorders>
            <w:shd w:fill="082C43" w:color="auto" w:val="clear"/>
            <w:tcMar>
              <w:top w:type="dxa" w:w="40"/>
              <w:left w:type="dxa" w:w="80"/>
              <w:bottom w:type="dxa" w:w="160"/>
              <w:right w:type="dxa" w:w="80"/>
            </w:tcMar>
            <w:vAlign w:val="center"/>
          </w:tcPr>
          <w:p>
            <w:pPr>
              <w:jc w:val="center"/>
            </w:pPr>
            <w:r>
              <w:rPr>
                <w:rFonts w:ascii="Calibri" w:cs="Calibri" w:eastAsia="Calibri" w:hAnsi="Calibri"/>
                <w:color w:val="FFFFFF"/>
                <w:spacing w:val="4"/>
                <w:sz w:val="16"/>
                <w:szCs w:val="16"/>
              </w:rPr>
              <w:t xml:space="preserve">HAI Rate %</w:t>
            </w:r>
          </w:p>
        </w:tc>
        <w:tc>
          <w:tcPr>
            <w:tcBorders>
              <w:top w:val="single" w:color="0B3D5C" w:sz="4"/>
              <w:left w:val="single" w:color="0B3D5C" w:sz="4"/>
              <w:bottom w:val="single" w:color="0B3D5C" w:sz="4"/>
              <w:right w:val="single" w:color="0B3D5C" w:sz="4"/>
            </w:tcBorders>
            <w:shd w:fill="082C43" w:color="auto" w:val="clear"/>
            <w:tcMar>
              <w:top w:type="dxa" w:w="40"/>
              <w:left w:type="dxa" w:w="80"/>
              <w:bottom w:type="dxa" w:w="160"/>
              <w:right w:type="dxa" w:w="80"/>
            </w:tcMar>
            <w:vAlign w:val="center"/>
          </w:tcPr>
          <w:p>
            <w:pPr>
              <w:jc w:val="center"/>
            </w:pPr>
            <w:r>
              <w:rPr>
                <w:rFonts w:ascii="Calibri" w:cs="Calibri" w:eastAsia="Calibri" w:hAnsi="Calibri"/>
                <w:color w:val="FFFFFF"/>
                <w:spacing w:val="4"/>
                <w:sz w:val="16"/>
                <w:szCs w:val="16"/>
              </w:rPr>
              <w:t xml:space="preserve">Claim Denial Rate %</w:t>
            </w:r>
          </w:p>
        </w:tc>
        <w:tc>
          <w:tcPr>
            <w:tcBorders>
              <w:top w:val="single" w:color="0B3D5C" w:sz="4"/>
              <w:left w:val="single" w:color="0B3D5C" w:sz="4"/>
              <w:bottom w:val="single" w:color="0B3D5C" w:sz="4"/>
              <w:right w:val="single" w:color="0B3D5C" w:sz="4"/>
            </w:tcBorders>
            <w:shd w:fill="082C43" w:color="auto" w:val="clear"/>
            <w:tcMar>
              <w:top w:type="dxa" w:w="40"/>
              <w:left w:type="dxa" w:w="80"/>
              <w:bottom w:type="dxa" w:w="160"/>
              <w:right w:type="dxa" w:w="80"/>
            </w:tcMar>
            <w:vAlign w:val="center"/>
          </w:tcPr>
          <w:p>
            <w:pPr>
              <w:jc w:val="center"/>
            </w:pPr>
            <w:r>
              <w:rPr>
                <w:rFonts w:ascii="Calibri" w:cs="Calibri" w:eastAsia="Calibri" w:hAnsi="Calibri"/>
                <w:color w:val="FFFFFF"/>
                <w:spacing w:val="4"/>
                <w:sz w:val="16"/>
                <w:szCs w:val="16"/>
              </w:rPr>
              <w:t xml:space="preserve">Telehealth Adoption %</w:t>
            </w:r>
          </w:p>
        </w:tc>
      </w:tr>
    </w:tbl>
    <w:p>
      <w:pPr>
        <w:spacing w:after="60"/>
      </w:pPr>
    </w:p>
    <w:p>
      <w:pPr>
        <w:pBdr>
          <w:left w:val="single" w:color="0E8388" w:sz="24" w:space="6"/>
        </w:pBdr>
        <w:spacing w:after="140" w:before="320"/>
        <w:ind w:left="100"/>
      </w:pPr>
      <w:r>
        <w:rPr>
          <w:rFonts w:ascii="Calibri" w:cs="Calibri" w:eastAsia="Calibri" w:hAnsi="Calibri"/>
          <w:b/>
          <w:bCs/>
          <w:color w:val="0B3D5C"/>
          <w:spacing w:val="8"/>
          <w:sz w:val="26"/>
          <w:szCs w:val="26"/>
        </w:rPr>
        <w:t xml:space="preserve">VISUALS BREAKDOWN</w:t>
      </w:r>
    </w:p>
    <w:p>
      <w:pPr>
        <w:spacing w:after="60" w:before="160"/>
      </w:pPr>
      <w:r>
        <w:rPr>
          <w:rFonts w:ascii="Calibri" w:cs="Calibri" w:eastAsia="Calibri" w:hAnsi="Calibri"/>
          <w:b/>
          <w:bCs/>
          <w:color w:val="1F5C8B"/>
          <w:sz w:val="21"/>
          <w:szCs w:val="21"/>
        </w:rPr>
        <w:t xml:space="preserve">1. 30-Day Readmission Rate by Race/Ethnicity — Column Chart with reference line</w:t>
      </w:r>
    </w:p>
    <w:p>
      <w:pPr>
        <w:spacing w:after="100" w:before="0" w:line="288"/>
        <w:jc w:val="left"/>
      </w:pPr>
      <w:r>
        <w:rPr>
          <w:rFonts w:ascii="Calibri" w:cs="Calibri" w:eastAsia="Calibri" w:hAnsi="Calibri"/>
          <w:b w:val="false"/>
          <w:bCs w:val="false"/>
          <w:i w:val="false"/>
          <w:iCs w:val="false"/>
          <w:color w:val="3A3A3A"/>
          <w:sz w:val="20"/>
          <w:szCs w:val="20"/>
        </w:rPr>
        <w:t xml:space="preserve">Compares readmission rates between groups (Asian, White, Black, Other, Hispanic). Values are very close and all near the 15% reference line, without sharp racial differences at the aggregate level.</w:t>
      </w:r>
    </w:p>
    <w:p>
      <w:pPr>
        <w:spacing w:after="60" w:before="160"/>
      </w:pPr>
      <w:r>
        <w:rPr>
          <w:rFonts w:ascii="Calibri" w:cs="Calibri" w:eastAsia="Calibri" w:hAnsi="Calibri"/>
          <w:b/>
          <w:bCs/>
          <w:color w:val="1F5C8B"/>
          <w:sz w:val="21"/>
          <w:szCs w:val="21"/>
        </w:rPr>
        <w:t xml:space="preserve">2. Hospital-Acquired Infection Rate by Race/Ethnicity — Column Chart</w:t>
      </w:r>
    </w:p>
    <w:p>
      <w:pPr>
        <w:spacing w:after="100" w:before="0" w:line="288"/>
        <w:jc w:val="left"/>
      </w:pPr>
      <w:r>
        <w:rPr>
          <w:rFonts w:ascii="Calibri" w:cs="Calibri" w:eastAsia="Calibri" w:hAnsi="Calibri"/>
          <w:b w:val="false"/>
          <w:bCs w:val="false"/>
          <w:i w:val="false"/>
          <w:iCs w:val="false"/>
          <w:color w:val="3A3A3A"/>
          <w:sz w:val="20"/>
          <w:szCs w:val="20"/>
        </w:rPr>
        <w:t xml:space="preserve">The HAI rate is nearly equal across all groups (close to 9%) — this specific metric doesn't show a clear racial disparity.</w:t>
      </w:r>
    </w:p>
    <w:p>
      <w:pPr>
        <w:spacing w:after="60" w:before="160"/>
      </w:pPr>
      <w:r>
        <w:rPr>
          <w:rFonts w:ascii="Calibri" w:cs="Calibri" w:eastAsia="Calibri" w:hAnsi="Calibri"/>
          <w:b/>
          <w:bCs/>
          <w:color w:val="1F5C8B"/>
          <w:sz w:val="21"/>
          <w:szCs w:val="21"/>
        </w:rPr>
        <w:t xml:space="preserve">3. Telehealth Adoption Rate by Age Group and Race — Clustered Bar Chart</w:t>
      </w:r>
    </w:p>
    <w:p>
      <w:pPr>
        <w:spacing w:after="100" w:before="0" w:line="288"/>
        <w:jc w:val="left"/>
      </w:pPr>
      <w:r>
        <w:rPr>
          <w:rFonts w:ascii="Calibri" w:cs="Calibri" w:eastAsia="Calibri" w:hAnsi="Calibri"/>
          <w:b w:val="false"/>
          <w:bCs w:val="false"/>
          <w:i w:val="false"/>
          <w:iCs w:val="false"/>
          <w:color w:val="3A3A3A"/>
          <w:sz w:val="20"/>
          <w:szCs w:val="20"/>
        </w:rPr>
        <w:t xml:space="preserve">Breaks down digital adoption by age and race together. The age gap appears clearly within each racial group individually — meaning the decisive factor is age, not race.</w:t>
      </w:r>
    </w:p>
    <w:p>
      <w:pPr>
        <w:spacing w:after="60" w:before="160"/>
      </w:pPr>
      <w:r>
        <w:rPr>
          <w:rFonts w:ascii="Calibri" w:cs="Calibri" w:eastAsia="Calibri" w:hAnsi="Calibri"/>
          <w:b/>
          <w:bCs/>
          <w:color w:val="1F5C8B"/>
          <w:sz w:val="21"/>
          <w:szCs w:val="21"/>
        </w:rPr>
        <w:t xml:space="preserve">4. HEDIS HbA1c Poor Control Rate by Race &amp; Age Group — Matrix Table</w:t>
      </w:r>
    </w:p>
    <w:p>
      <w:pPr>
        <w:spacing w:after="100" w:before="0" w:line="288"/>
        <w:jc w:val="left"/>
      </w:pPr>
      <w:r>
        <w:rPr>
          <w:rFonts w:ascii="Calibri" w:cs="Calibri" w:eastAsia="Calibri" w:hAnsi="Calibri"/>
          <w:b w:val="false"/>
          <w:bCs w:val="false"/>
          <w:i w:val="false"/>
          <w:iCs w:val="false"/>
          <w:color w:val="3A3A3A"/>
          <w:sz w:val="20"/>
          <w:szCs w:val="20"/>
        </w:rPr>
        <w:t xml:space="preserve">The most important visual in the dashboard: the rate of poor diabetes control (HbA1c &gt; 9%) for each age and racial group. Overall, the Asian group is highest (29.42%), and Black is lowest (27.89%). But notably, young Black patients (18–34) have the lowest poor-control rate (20.95%), while the same age group among Asian patients has the highest rate in the entire table (34.06%) — an unexpected pattern deserving separate clinical investigation.</w:t>
      </w:r>
    </w:p>
    <w:p>
      <w:pPr>
        <w:spacing w:after="60" w:before="160"/>
      </w:pPr>
      <w:r>
        <w:rPr>
          <w:rFonts w:ascii="Calibri" w:cs="Calibri" w:eastAsia="Calibri" w:hAnsi="Calibri"/>
          <w:b/>
          <w:bCs/>
          <w:color w:val="1F5C8B"/>
          <w:sz w:val="21"/>
          <w:szCs w:val="21"/>
        </w:rPr>
        <w:t xml:space="preserve">5. Claim Denial Rate &amp; Avg Patient Financial Burden by Race — Combo Chart (Bar + Line)</w:t>
      </w:r>
    </w:p>
    <w:p>
      <w:pPr>
        <w:spacing w:after="100" w:before="0" w:line="288"/>
        <w:jc w:val="left"/>
      </w:pPr>
      <w:r>
        <w:rPr>
          <w:rFonts w:ascii="Calibri" w:cs="Calibri" w:eastAsia="Calibri" w:hAnsi="Calibri"/>
          <w:b w:val="false"/>
          <w:bCs w:val="false"/>
          <w:i w:val="false"/>
          <w:iCs w:val="false"/>
          <w:color w:val="3A3A3A"/>
          <w:sz w:val="20"/>
          <w:szCs w:val="20"/>
        </w:rPr>
        <w:t xml:space="preserve">Compares claim denial rate (bars) with average financial burden on the patient (line). The ‘Other’ group has the highest financial burden (~$3,560) despite a moderate denial rate, and the Asian group has the lowest burden (~$3,500) — the relationship between denial and financial burden is not simply linear.</w:t>
      </w:r>
    </w:p>
    <w:p>
      <w:pPr>
        <w:spacing w:after="60" w:before="160"/>
      </w:pPr>
      <w:r>
        <w:rPr>
          <w:rFonts w:ascii="Calibri" w:cs="Calibri" w:eastAsia="Calibri" w:hAnsi="Calibri"/>
          <w:b/>
          <w:bCs/>
          <w:color w:val="1F5C8B"/>
          <w:sz w:val="21"/>
          <w:szCs w:val="21"/>
        </w:rPr>
        <w:t xml:space="preserve">6. HEDIS HbA1c Poor Glycemic Control by Race/Ethnicity — Horizontal Bar Chart</w:t>
      </w:r>
    </w:p>
    <w:p>
      <w:pPr>
        <w:spacing w:after="100" w:before="0" w:line="288"/>
        <w:jc w:val="left"/>
      </w:pPr>
      <w:r>
        <w:rPr>
          <w:rFonts w:ascii="Calibri" w:cs="Calibri" w:eastAsia="Calibri" w:hAnsi="Calibri"/>
          <w:b w:val="false"/>
          <w:bCs w:val="false"/>
          <w:i w:val="false"/>
          <w:iCs w:val="false"/>
          <w:color w:val="3A3A3A"/>
          <w:sz w:val="20"/>
          <w:szCs w:val="20"/>
        </w:rPr>
        <w:t xml:space="preserve">A simplified version (without age breakdown) of the same metric: Asian leads (~29.4%), followed by White and Hispanic, then Black and Other. The gap between the highest and lowest group is only about two percentage points.</w:t>
      </w:r>
    </w:p>
    <w:p>
      <w:pPr>
        <w:shd w:fill="E4F3F3" w:color="auto" w:val="clear"/>
        <w:spacing w:after="200" w:before="100"/>
      </w:pPr>
      <w:r>
        <w:rPr>
          <w:rFonts w:ascii="Calibri" w:cs="Calibri" w:eastAsia="Calibri" w:hAnsi="Calibri"/>
          <w:i/>
          <w:iCs/>
          <w:color w:val="0B3D5C"/>
          <w:sz w:val="19"/>
          <w:szCs w:val="19"/>
        </w:rPr>
        <w:t xml:space="preserve">🔎  Available filters: year, gender, Severity_Quartile, age group, has_diabetes — allowing isolation of the effect of age or severity from the effect of race.</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THREE-LAYER ANALYSIS</w:t>
      </w:r>
    </w:p>
    <w:p>
      <w:pPr>
        <w:shd w:fill="E9F5EF" w:color="auto" w:val="clear"/>
        <w:spacing w:after="90" w:before="200"/>
      </w:pPr>
      <w:r>
        <w:rPr>
          <w:rFonts w:ascii="Calibri" w:cs="Calibri" w:eastAsia="Calibri" w:hAnsi="Calibri"/>
          <w:b/>
          <w:bCs/>
          <w:color w:val="1F5C8B"/>
          <w:spacing w:val="4"/>
          <w:sz w:val="21"/>
          <w:szCs w:val="21"/>
        </w:rPr>
        <w:t xml:space="preserve">I.  DESCRIPTIVE — What is happening?</w:t>
      </w:r>
    </w:p>
    <w:p>
      <w:pPr>
        <w:pStyle w:val="ListParagraph"/>
        <w:numPr>
          <w:ilvl w:val="0"/>
          <w:numId w:val="1"/>
        </w:numPr>
        <w:spacing w:after="100" w:line="276"/>
      </w:pPr>
      <w:r>
        <w:rPr>
          <w:rFonts w:ascii="Calibri" w:cs="Calibri" w:eastAsia="Calibri" w:hAnsi="Calibri"/>
          <w:color w:val="3A3A3A"/>
          <w:sz w:val="20"/>
          <w:szCs w:val="20"/>
        </w:rPr>
        <w:t xml:space="preserve">Aggregate clinical indicators (Readmission, HAI) don't show sharp racial disparity when viewed in aggregate.</w:t>
      </w:r>
    </w:p>
    <w:p>
      <w:pPr>
        <w:pStyle w:val="ListParagraph"/>
        <w:numPr>
          <w:ilvl w:val="0"/>
          <w:numId w:val="1"/>
        </w:numPr>
        <w:spacing w:after="100" w:line="276"/>
      </w:pPr>
      <w:r>
        <w:rPr>
          <w:rFonts w:ascii="Calibri" w:cs="Calibri" w:eastAsia="Calibri" w:hAnsi="Calibri"/>
          <w:color w:val="3A3A3A"/>
          <w:sz w:val="20"/>
          <w:szCs w:val="20"/>
        </w:rPr>
        <w:t xml:space="preserve">The clearest and most consistent disparity is by age, not race: all racial groups show the same pattern of declining digital adoption with age.</w:t>
      </w:r>
    </w:p>
    <w:p>
      <w:pPr>
        <w:pStyle w:val="ListParagraph"/>
        <w:numPr>
          <w:ilvl w:val="0"/>
          <w:numId w:val="1"/>
        </w:numPr>
        <w:spacing w:after="100" w:line="276"/>
      </w:pPr>
      <w:r>
        <w:rPr>
          <w:rFonts w:ascii="Calibri" w:cs="Calibri" w:eastAsia="Calibri" w:hAnsi="Calibri"/>
          <w:color w:val="3A3A3A"/>
          <w:sz w:val="20"/>
          <w:szCs w:val="20"/>
        </w:rPr>
        <w:t xml:space="preserve">Most important signal: at the intersection of age and race in HEDIS HbA1c, young Asian patients have the highest rate in the whole table, and young Black patients the lowest — the opposite of the impression given by the aggregate.</w:t>
      </w:r>
    </w:p>
    <w:p>
      <w:pPr>
        <w:shd w:fill="FBF1E0" w:color="auto" w:val="clear"/>
        <w:spacing w:after="90" w:before="200"/>
      </w:pPr>
      <w:r>
        <w:rPr>
          <w:rFonts w:ascii="Calibri" w:cs="Calibri" w:eastAsia="Calibri" w:hAnsi="Calibri"/>
          <w:b/>
          <w:bCs/>
          <w:color w:val="B5701A"/>
          <w:spacing w:val="4"/>
          <w:sz w:val="21"/>
          <w:szCs w:val="21"/>
        </w:rPr>
        <w:t xml:space="preserve">II.  DIAGNOSTIC — Why is it happening?</w:t>
      </w:r>
    </w:p>
    <w:p>
      <w:pPr>
        <w:pStyle w:val="ListParagraph"/>
        <w:numPr>
          <w:ilvl w:val="0"/>
          <w:numId w:val="1"/>
        </w:numPr>
        <w:spacing w:after="100" w:line="276"/>
      </w:pPr>
      <w:r>
        <w:rPr>
          <w:rFonts w:ascii="Calibri" w:cs="Calibri" w:eastAsia="Calibri" w:hAnsi="Calibri"/>
          <w:color w:val="3A3A3A"/>
          <w:sz w:val="20"/>
          <w:szCs w:val="20"/>
        </w:rPr>
        <w:t xml:space="preserve">The absence of sharp racial differences in Readmission and HAI at the aggregate level may be hiding real disparity at a finer level (such as severity_quartile or diagnosis type) — relying on the aggregate alone may give an overly reassuring impression.</w:t>
      </w:r>
    </w:p>
    <w:p>
      <w:pPr>
        <w:pStyle w:val="ListParagraph"/>
        <w:numPr>
          <w:ilvl w:val="0"/>
          <w:numId w:val="1"/>
        </w:numPr>
        <w:spacing w:after="100" w:line="276"/>
      </w:pPr>
      <w:r>
        <w:rPr>
          <w:rFonts w:ascii="Calibri" w:cs="Calibri" w:eastAsia="Calibri" w:hAnsi="Calibri"/>
          <w:color w:val="3A3A3A"/>
          <w:sz w:val="20"/>
          <w:szCs w:val="20"/>
        </w:rPr>
        <w:t xml:space="preserve">The pattern of poor diabetes control among young Asian patients is a clear statistical anomaly deserving a genuine clinical investigation (dietary pattern? delayed diagnosis? medication adherence?).</w:t>
      </w:r>
    </w:p>
    <w:p>
      <w:pPr>
        <w:pStyle w:val="ListParagraph"/>
        <w:numPr>
          <w:ilvl w:val="0"/>
          <w:numId w:val="1"/>
        </w:numPr>
        <w:spacing w:after="100" w:line="276"/>
      </w:pPr>
      <w:r>
        <w:rPr>
          <w:rFonts w:ascii="Calibri" w:cs="Calibri" w:eastAsia="Calibri" w:hAnsi="Calibri"/>
          <w:color w:val="3A3A3A"/>
          <w:sz w:val="20"/>
          <w:szCs w:val="20"/>
        </w:rPr>
        <w:t xml:space="preserve">The differing pattern of financial burden (‘Other’ highest) not following the same order as denial means financial burden is affected by other factors, such as insurance type or service volume.</w:t>
      </w:r>
    </w:p>
    <w:p>
      <w:pPr>
        <w:shd w:fill="E9F5EF" w:color="auto" w:val="clear"/>
        <w:spacing w:after="90" w:before="200"/>
      </w:pPr>
      <w:r>
        <w:rPr>
          <w:rFonts w:ascii="Calibri" w:cs="Calibri" w:eastAsia="Calibri" w:hAnsi="Calibri"/>
          <w:b/>
          <w:bCs/>
          <w:color w:val="2E7D5B"/>
          <w:spacing w:val="4"/>
          <w:sz w:val="21"/>
          <w:szCs w:val="21"/>
        </w:rPr>
        <w:t xml:space="preserve">III.  PRESCRIPTIVE — What should we do?</w:t>
      </w:r>
    </w:p>
    <w:p>
      <w:pPr>
        <w:pStyle w:val="ListParagraph"/>
        <w:numPr>
          <w:ilvl w:val="0"/>
          <w:numId w:val="1"/>
        </w:numPr>
        <w:spacing w:after="100" w:line="276"/>
      </w:pPr>
      <w:r>
        <w:rPr>
          <w:rFonts w:ascii="Calibri" w:cs="Calibri" w:eastAsia="Calibri" w:hAnsi="Calibri"/>
          <w:color w:val="3A3A3A"/>
          <w:sz w:val="20"/>
          <w:szCs w:val="20"/>
        </w:rPr>
        <w:t xml:space="preserve">Run a deeper intersectional analysis (Severity × Race × Diagnosis) instead of relying on aggregates alone.</w:t>
      </w:r>
    </w:p>
    <w:p>
      <w:pPr>
        <w:pStyle w:val="ListParagraph"/>
        <w:numPr>
          <w:ilvl w:val="0"/>
          <w:numId w:val="1"/>
        </w:numPr>
        <w:spacing w:after="100" w:line="276"/>
      </w:pPr>
      <w:r>
        <w:rPr>
          <w:rFonts w:ascii="Calibri" w:cs="Calibri" w:eastAsia="Calibri" w:hAnsi="Calibri"/>
          <w:color w:val="3A3A3A"/>
          <w:sz w:val="20"/>
          <w:szCs w:val="20"/>
        </w:rPr>
        <w:t xml:space="preserve">Open a dedicated clinical investigation into diabetes control among young Asian patients (18–34).</w:t>
      </w:r>
    </w:p>
    <w:p>
      <w:pPr>
        <w:pStyle w:val="ListParagraph"/>
        <w:numPr>
          <w:ilvl w:val="0"/>
          <w:numId w:val="1"/>
        </w:numPr>
        <w:spacing w:after="100" w:line="276"/>
      </w:pPr>
      <w:r>
        <w:rPr>
          <w:rFonts w:ascii="Calibri" w:cs="Calibri" w:eastAsia="Calibri" w:hAnsi="Calibri"/>
          <w:color w:val="3A3A3A"/>
          <w:sz w:val="20"/>
          <w:szCs w:val="20"/>
        </w:rPr>
        <w:t xml:space="preserve">Use the dashboard as an official monthly compliance report for regulators, not just an internal exploration tool.</w:t>
      </w:r>
    </w:p>
    <w:p>
      <w:pPr>
        <w:pStyle w:val="ListParagraph"/>
        <w:numPr>
          <w:ilvl w:val="0"/>
          <w:numId w:val="1"/>
        </w:numPr>
        <w:spacing w:after="100" w:line="276"/>
      </w:pPr>
      <w:r>
        <w:rPr>
          <w:rFonts w:ascii="Calibri" w:cs="Calibri" w:eastAsia="Calibri" w:hAnsi="Calibri"/>
          <w:color w:val="3A3A3A"/>
          <w:sz w:val="20"/>
          <w:szCs w:val="20"/>
        </w:rPr>
        <w:t xml:space="preserve">Review the financial-burden policy specifically for the ‘Other’ group.</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BUSINESS Q&amp;A</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Is there a clear racial disparity in infection or readmission?</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No, at the aggregate level; values are very close.</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What is the clearest disparity pattern in the dashboard?</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The age disparity in Telehealth adoption, consistent within every racial group.</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Which group suffers most from poor diabetes control?</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Overall, Asian (29.42%), but in detail, young Asian patients (18–34) are highest in the entire table (34.06%).</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Which group carries the highest personal financial burden?</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The ‘Other’ group (~$3,560); Asian is the lowest (~$3,500).</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Can we rely on aggregate indicators alone to judge health equity?</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No — real disparities only appear with intersectional analysis.</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RECOMMENDATIONS</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Activate a periodic intersectional report (age × race × diagnosis type) to detect any disparity hidden within averages.</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Launch an immediate clinical investigation into poor diabetes control among young Asian patients.</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Review financial-responsibility policies for the ‘Other’ group to ensure equity of financial burden.</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Formally use the dashboard as part of annual CMS compliance reporting.</w:t>
      </w:r>
    </w:p>
    <w:p>
      <w:pPr>
        <w:pageBreakBefore/>
        <w:pBdr>
          <w:bottom w:val="single" w:color="0E8388" w:sz="16" w:space="8"/>
        </w:pBdr>
        <w:spacing w:after="40" w:before="0"/>
      </w:pPr>
      <w:r>
        <w:rPr>
          <w:rFonts w:ascii="Calibri" w:cs="Calibri" w:eastAsia="Calibri" w:hAnsi="Calibri"/>
          <w:b/>
          <w:bCs/>
          <w:color w:val="0E8388"/>
          <w:spacing w:val="20"/>
          <w:sz w:val="20"/>
          <w:szCs w:val="20"/>
        </w:rPr>
        <w:t xml:space="preserve">DASHBOARD 5</w:t>
      </w:r>
    </w:p>
    <w:p>
      <w:pPr>
        <w:spacing w:after="60" w:before="40"/>
      </w:pPr>
      <w:r>
        <w:rPr>
          <w:rFonts w:ascii="Calibri" w:cs="Calibri" w:eastAsia="Calibri" w:hAnsi="Calibri"/>
          <w:b/>
          <w:bCs/>
          <w:color w:val="0B3D5C"/>
          <w:sz w:val="40"/>
          <w:szCs w:val="40"/>
        </w:rPr>
        <w:t xml:space="preserve">Clinical Quality Dashboard</w:t>
      </w:r>
    </w:p>
    <w:p>
      <w:pPr>
        <w:spacing w:after="260" w:before="0"/>
      </w:pPr>
      <w:r>
        <w:rPr>
          <w:rFonts w:ascii="Calibri" w:cs="Calibri" w:eastAsia="Calibri" w:hAnsi="Calibri"/>
          <w:i/>
          <w:iCs/>
          <w:color w:val="0E8388"/>
          <w:sz w:val="22"/>
          <w:szCs w:val="22"/>
        </w:rPr>
        <w:t xml:space="preserve">Clinical Quality &amp; Patient Safety</w:t>
      </w:r>
    </w:p>
    <w:p>
      <w:pPr>
        <w:spacing w:after="240" w:before="0" w:line="288"/>
        <w:jc w:val="left"/>
      </w:pPr>
      <w:r>
        <w:rPr>
          <w:rFonts w:ascii="Calibri" w:cs="Calibri" w:eastAsia="Calibri" w:hAnsi="Calibri"/>
          <w:b w:val="false"/>
          <w:bCs w:val="false"/>
          <w:i w:val="false"/>
          <w:iCs w:val="false"/>
          <w:color w:val="3A3A3A"/>
          <w:sz w:val="22"/>
          <w:szCs w:val="22"/>
        </w:rPr>
        <w:t xml:space="preserve">Tracking the most important clinical quality and safety indicators: infection, safety, medication adherence, and post-discharge follow-up — and linking them to the readmission rate.</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000"/>
      </w:tblGrid>
      <w:tr>
        <w:trPr>
          <w:tblHeader/>
        </w:trPr>
        <w:tc>
          <w:tcPr>
            <w:tcW w:type="pct" w:w="32%"/>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KEY INDICATOR</w:t>
            </w:r>
          </w:p>
        </w:tc>
        <w:tc>
          <w:tcPr>
            <w:tcW w:type="pct" w:w="18%"/>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VALUE</w:t>
            </w:r>
          </w:p>
        </w:tc>
        <w:tc>
          <w:tcPr>
            <w:tcW w:type="pct" w:w="50%"/>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DESCRIPTION</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Readmission Rate %</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16.88%</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30-day readmission rate.</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HAI Rate %</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9.32%</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Hospital-acquired infection rate.</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Safety Incident Rate %</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4.92%</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Percentage of cases with a patient safety incident.</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Follow-Up Compliance %</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74.5%</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Percentage of patients who received documented follow-up within 48 hours of discharge.</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HEDIS HbA1c Poor Control %</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28.41%</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Percentage of diabetic patients with poor control (HbA1c &gt; 9%).</w:t>
            </w:r>
          </w:p>
        </w:tc>
      </w:tr>
    </w:tbl>
    <w:p>
      <w:pPr>
        <w:spacing w:after="60"/>
      </w:pPr>
    </w:p>
    <w:p>
      <w:pPr>
        <w:pBdr>
          <w:left w:val="single" w:color="0E8388" w:sz="24" w:space="6"/>
        </w:pBdr>
        <w:spacing w:after="140" w:before="320"/>
        <w:ind w:left="100"/>
      </w:pPr>
      <w:r>
        <w:rPr>
          <w:rFonts w:ascii="Calibri" w:cs="Calibri" w:eastAsia="Calibri" w:hAnsi="Calibri"/>
          <w:b/>
          <w:bCs/>
          <w:color w:val="0B3D5C"/>
          <w:spacing w:val="8"/>
          <w:sz w:val="26"/>
          <w:szCs w:val="26"/>
        </w:rPr>
        <w:t xml:space="preserve">VISUALS BREAKDOWN</w:t>
      </w:r>
    </w:p>
    <w:p>
      <w:pPr>
        <w:spacing w:after="60" w:before="160"/>
      </w:pPr>
      <w:r>
        <w:rPr>
          <w:rFonts w:ascii="Calibri" w:cs="Calibri" w:eastAsia="Calibri" w:hAnsi="Calibri"/>
          <w:b/>
          <w:bCs/>
          <w:color w:val="1F5C8B"/>
          <w:sz w:val="21"/>
          <w:szCs w:val="21"/>
        </w:rPr>
        <w:t xml:space="preserve">1. 30-Day Readmission vs Post-Discharge Follow-Up (Monthly) — Dual-Line Chart</w:t>
      </w:r>
    </w:p>
    <w:p>
      <w:pPr>
        <w:spacing w:after="100" w:before="0" w:line="288"/>
        <w:jc w:val="left"/>
      </w:pPr>
      <w:r>
        <w:rPr>
          <w:rFonts w:ascii="Calibri" w:cs="Calibri" w:eastAsia="Calibri" w:hAnsi="Calibri"/>
          <w:b w:val="false"/>
          <w:bCs w:val="false"/>
          <w:i w:val="false"/>
          <w:iCs w:val="false"/>
          <w:color w:val="3A3A3A"/>
          <w:sz w:val="20"/>
          <w:szCs w:val="20"/>
        </w:rPr>
        <w:t xml:space="preserve">Compares the monthly readmission-rate trend with the 48-hour follow-up compliance rate on the same timeline. Both lines fluctuate without a strong, clear monthly inverse relationship, although the causal relationship is theoretically known (better follow-up = lower readmission); the monthly fluctuation may need a longer period or quarterly analysis to clearly show the real trend.</w:t>
      </w:r>
    </w:p>
    <w:p>
      <w:pPr>
        <w:spacing w:after="60" w:before="160"/>
      </w:pPr>
      <w:r>
        <w:rPr>
          <w:rFonts w:ascii="Calibri" w:cs="Calibri" w:eastAsia="Calibri" w:hAnsi="Calibri"/>
          <w:b/>
          <w:bCs/>
          <w:color w:val="1F5C8B"/>
          <w:sz w:val="21"/>
          <w:szCs w:val="21"/>
        </w:rPr>
        <w:t xml:space="preserve">2. Hospital-Acquired Infection Rate by Hospital Unit — Horizontal Bar Chart</w:t>
      </w:r>
    </w:p>
    <w:p>
      <w:pPr>
        <w:spacing w:after="100" w:before="0" w:line="288"/>
        <w:jc w:val="left"/>
      </w:pPr>
      <w:r>
        <w:rPr>
          <w:rFonts w:ascii="Calibri" w:cs="Calibri" w:eastAsia="Calibri" w:hAnsi="Calibri"/>
          <w:b w:val="false"/>
          <w:bCs w:val="false"/>
          <w:i w:val="false"/>
          <w:iCs w:val="false"/>
          <w:color w:val="3A3A3A"/>
          <w:sz w:val="20"/>
          <w:szCs w:val="20"/>
        </w:rPr>
        <w:t xml:space="preserve">Ranks units by HAI rate: ICU units (MICU, SICU, ICU) are clearly highest (close to 9–10%), followed by Step-Down, then regular units (Cardiac, General, Med-Surg B), which are lowest (~7%). This fully aligns with the data logic linking ICU admission to a +4% increase in infection likelihood.</w:t>
      </w:r>
    </w:p>
    <w:p>
      <w:pPr>
        <w:spacing w:after="60" w:before="160"/>
      </w:pPr>
      <w:r>
        <w:rPr>
          <w:rFonts w:ascii="Calibri" w:cs="Calibri" w:eastAsia="Calibri" w:hAnsi="Calibri"/>
          <w:b/>
          <w:bCs/>
          <w:color w:val="1F5C8B"/>
          <w:sz w:val="21"/>
          <w:szCs w:val="21"/>
        </w:rPr>
        <w:t xml:space="preserve">3. Readmission Rate % by Severity Quartile &amp; Service Line — Matrix Heatmap</w:t>
      </w:r>
    </w:p>
    <w:p>
      <w:pPr>
        <w:spacing w:after="100" w:before="0" w:line="288"/>
        <w:jc w:val="left"/>
      </w:pPr>
      <w:r>
        <w:rPr>
          <w:rFonts w:ascii="Calibri" w:cs="Calibri" w:eastAsia="Calibri" w:hAnsi="Calibri"/>
          <w:b w:val="false"/>
          <w:bCs w:val="false"/>
          <w:i w:val="false"/>
          <w:iCs w:val="false"/>
          <w:color w:val="3A3A3A"/>
          <w:sz w:val="20"/>
          <w:szCs w:val="20"/>
        </w:rPr>
        <w:t xml:space="preserve">The strongest diagnostic visual in this dashboard: shows the readmission rate for each intersection between severity quartile (Q1-Low to Q4-Critical) and service line. The trend is completely clear and increasing: every service line's readmission rate rises with increasing severity (e.g., ONC goes from not present in Q1 to 23.01% in Q4), and the overall total jumps from 8.30% in Q1 to 22.37% in Q4 — meaning case severity is the strongest driver of readmission, not diagnosis type alone.</w:t>
      </w:r>
    </w:p>
    <w:p>
      <w:pPr>
        <w:spacing w:after="60" w:before="160"/>
      </w:pPr>
      <w:r>
        <w:rPr>
          <w:rFonts w:ascii="Calibri" w:cs="Calibri" w:eastAsia="Calibri" w:hAnsi="Calibri"/>
          <w:b/>
          <w:bCs/>
          <w:color w:val="1F5C8B"/>
          <w:sz w:val="21"/>
          <w:szCs w:val="21"/>
        </w:rPr>
        <w:t xml:space="preserve">4. Medication Adherence (PDC) vs Readmission Rate by Diagnosis — Scatter Chart with trend line</w:t>
      </w:r>
    </w:p>
    <w:p>
      <w:pPr>
        <w:spacing w:after="100" w:before="0" w:line="288"/>
        <w:jc w:val="left"/>
      </w:pPr>
      <w:r>
        <w:rPr>
          <w:rFonts w:ascii="Calibri" w:cs="Calibri" w:eastAsia="Calibri" w:hAnsi="Calibri"/>
          <w:b w:val="false"/>
          <w:bCs w:val="false"/>
          <w:i w:val="false"/>
          <w:iCs w:val="false"/>
          <w:color w:val="3A3A3A"/>
          <w:sz w:val="20"/>
          <w:szCs w:val="20"/>
        </w:rPr>
        <w:t xml:space="preserve">Shows a very strong (near-linear) inverse relationship between medication adherence and readmission rate: ONC has the lowest adherence (~0.685) and the highest readmission rate (~23%), while DERM has the highest adherence (~0.775) and the lowest readmission rate (~10%); CV has the second-highest readmission rate (~21.7%) despite relatively moderate-low adherence (~0.695) — a notable exception to the overall trend deserving further scrutiny. This is among the clearest causal relationships visible across the whole project.</w:t>
      </w:r>
    </w:p>
    <w:p>
      <w:pPr>
        <w:spacing w:after="60" w:before="160"/>
      </w:pPr>
      <w:r>
        <w:rPr>
          <w:rFonts w:ascii="Calibri" w:cs="Calibri" w:eastAsia="Calibri" w:hAnsi="Calibri"/>
          <w:b/>
          <w:bCs/>
          <w:color w:val="1F5C8B"/>
          <w:sz w:val="21"/>
          <w:szCs w:val="21"/>
        </w:rPr>
        <w:t xml:space="preserve">5. Patient Safety Incidents by Type — Horizontal Bar Chart</w:t>
      </w:r>
    </w:p>
    <w:p>
      <w:pPr>
        <w:spacing w:after="100" w:before="0" w:line="288"/>
        <w:jc w:val="left"/>
      </w:pPr>
      <w:r>
        <w:rPr>
          <w:rFonts w:ascii="Calibri" w:cs="Calibri" w:eastAsia="Calibri" w:hAnsi="Calibri"/>
          <w:b w:val="false"/>
          <w:bCs w:val="false"/>
          <w:i w:val="false"/>
          <w:iCs w:val="false"/>
          <w:color w:val="3A3A3A"/>
          <w:sz w:val="20"/>
          <w:szCs w:val="20"/>
        </w:rPr>
        <w:t xml:space="preserve">Ranks safety-incident types: CLABSI (central-line-associated infection) is most frequent, followed by Delay in Care and Fall, while SSI (surgical-site infection) is least frequent. The higher concentration of infection-related incidents (CLABSI, CAUTI) aligns with the overall elevated HAI Rate in the dashboard.</w:t>
      </w:r>
    </w:p>
    <w:p>
      <w:pPr>
        <w:shd w:fill="E4F3F3" w:color="auto" w:val="clear"/>
        <w:spacing w:after="200" w:before="100"/>
      </w:pPr>
      <w:r>
        <w:rPr>
          <w:rFonts w:ascii="Calibri" w:cs="Calibri" w:eastAsia="Calibri" w:hAnsi="Calibri"/>
          <w:i/>
          <w:iCs/>
          <w:color w:val="0B3D5C"/>
          <w:sz w:val="19"/>
          <w:szCs w:val="19"/>
        </w:rPr>
        <w:t xml:space="preserve">🔎  Slicers: year, Severity_Quartile, diagnosis_category, race_ethnicity.</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THREE-LAYER ANALYSIS</w:t>
      </w:r>
    </w:p>
    <w:p>
      <w:pPr>
        <w:shd w:fill="E9F5EF" w:color="auto" w:val="clear"/>
        <w:spacing w:after="90" w:before="200"/>
      </w:pPr>
      <w:r>
        <w:rPr>
          <w:rFonts w:ascii="Calibri" w:cs="Calibri" w:eastAsia="Calibri" w:hAnsi="Calibri"/>
          <w:b/>
          <w:bCs/>
          <w:color w:val="1F5C8B"/>
          <w:spacing w:val="4"/>
          <w:sz w:val="21"/>
          <w:szCs w:val="21"/>
        </w:rPr>
        <w:t xml:space="preserve">I.  DESCRIPTIVE — What is happening?</w:t>
      </w:r>
    </w:p>
    <w:p>
      <w:pPr>
        <w:pStyle w:val="ListParagraph"/>
        <w:numPr>
          <w:ilvl w:val="0"/>
          <w:numId w:val="1"/>
        </w:numPr>
        <w:spacing w:after="100" w:line="276"/>
      </w:pPr>
      <w:r>
        <w:rPr>
          <w:rFonts w:ascii="Calibri" w:cs="Calibri" w:eastAsia="Calibri" w:hAnsi="Calibri"/>
          <w:color w:val="3A3A3A"/>
          <w:sz w:val="20"/>
          <w:szCs w:val="20"/>
        </w:rPr>
        <w:t xml:space="preserve">The readmission rate nearly doubles from the first severity quartile (8.30%) to the fourth (22.37%).</w:t>
      </w:r>
    </w:p>
    <w:p>
      <w:pPr>
        <w:pStyle w:val="ListParagraph"/>
        <w:numPr>
          <w:ilvl w:val="0"/>
          <w:numId w:val="1"/>
        </w:numPr>
        <w:spacing w:after="100" w:line="276"/>
      </w:pPr>
      <w:r>
        <w:rPr>
          <w:rFonts w:ascii="Calibri" w:cs="Calibri" w:eastAsia="Calibri" w:hAnsi="Calibri"/>
          <w:color w:val="3A3A3A"/>
          <w:sz w:val="20"/>
          <w:szCs w:val="20"/>
        </w:rPr>
        <w:t xml:space="preserve">Medication adherence explains a significant portion of the variation between service lines in readmission rate.</w:t>
      </w:r>
    </w:p>
    <w:p>
      <w:pPr>
        <w:pStyle w:val="ListParagraph"/>
        <w:numPr>
          <w:ilvl w:val="0"/>
          <w:numId w:val="1"/>
        </w:numPr>
        <w:spacing w:after="100" w:line="276"/>
      </w:pPr>
      <w:r>
        <w:rPr>
          <w:rFonts w:ascii="Calibri" w:cs="Calibri" w:eastAsia="Calibri" w:hAnsi="Calibri"/>
          <w:color w:val="3A3A3A"/>
          <w:sz w:val="20"/>
          <w:szCs w:val="20"/>
        </w:rPr>
        <w:t xml:space="preserve">ICU units bear the largest burden of hospital-acquired infections.</w:t>
      </w:r>
    </w:p>
    <w:p>
      <w:pPr>
        <w:pStyle w:val="ListParagraph"/>
        <w:numPr>
          <w:ilvl w:val="0"/>
          <w:numId w:val="1"/>
        </w:numPr>
        <w:spacing w:after="100" w:line="276"/>
      </w:pPr>
      <w:r>
        <w:rPr>
          <w:rFonts w:ascii="Calibri" w:cs="Calibri" w:eastAsia="Calibri" w:hAnsi="Calibri"/>
          <w:color w:val="3A3A3A"/>
          <w:sz w:val="20"/>
          <w:szCs w:val="20"/>
        </w:rPr>
        <w:t xml:space="preserve">Nearly a quarter of patients (25.5%) don't receive documented follow-up within the first 48 hours after discharge.</w:t>
      </w:r>
    </w:p>
    <w:p>
      <w:pPr>
        <w:shd w:fill="FBF1E0" w:color="auto" w:val="clear"/>
        <w:spacing w:after="90" w:before="200"/>
      </w:pPr>
      <w:r>
        <w:rPr>
          <w:rFonts w:ascii="Calibri" w:cs="Calibri" w:eastAsia="Calibri" w:hAnsi="Calibri"/>
          <w:b/>
          <w:bCs/>
          <w:color w:val="B5701A"/>
          <w:spacing w:val="4"/>
          <w:sz w:val="21"/>
          <w:szCs w:val="21"/>
        </w:rPr>
        <w:t xml:space="preserve">II.  DIAGNOSTIC — Why is it happening?</w:t>
      </w:r>
    </w:p>
    <w:p>
      <w:pPr>
        <w:pStyle w:val="ListParagraph"/>
        <w:numPr>
          <w:ilvl w:val="0"/>
          <w:numId w:val="1"/>
        </w:numPr>
        <w:spacing w:after="100" w:line="276"/>
      </w:pPr>
      <w:r>
        <w:rPr>
          <w:rFonts w:ascii="Calibri" w:cs="Calibri" w:eastAsia="Calibri" w:hAnsi="Calibri"/>
          <w:color w:val="3A3A3A"/>
          <w:sz w:val="20"/>
          <w:szCs w:val="20"/>
        </w:rPr>
        <w:t xml:space="preserve">The near-perfect gradient in the Severity × Service Line matrix (from 8.30% to 22.37%) confirms that severity_index is effectively the primary causal driver of readmission in this data, stronger than diagnosis type itself; even within the same service line (MSK, for example) the rate rises from 14.75% in Q2 to 21.05% in Q4.</w:t>
      </w:r>
    </w:p>
    <w:p>
      <w:pPr>
        <w:pStyle w:val="ListParagraph"/>
        <w:numPr>
          <w:ilvl w:val="0"/>
          <w:numId w:val="1"/>
        </w:numPr>
        <w:spacing w:after="100" w:line="276"/>
      </w:pPr>
      <w:r>
        <w:rPr>
          <w:rFonts w:ascii="Calibri" w:cs="Calibri" w:eastAsia="Calibri" w:hAnsi="Calibri"/>
          <w:color w:val="3A3A3A"/>
          <w:sz w:val="20"/>
          <w:szCs w:val="20"/>
        </w:rPr>
        <w:t xml:space="preserve">The strong near-linear relationship between medication_adherence_pdc and readmission rate means improving medication adherence — especially in ONC (lowest adherence, highest readmission) — could be the fastest and cheapest possible intervention to reduce the overall readmission rate compared to any other operational intervention.</w:t>
      </w:r>
    </w:p>
    <w:p>
      <w:pPr>
        <w:pStyle w:val="ListParagraph"/>
        <w:numPr>
          <w:ilvl w:val="0"/>
          <w:numId w:val="1"/>
        </w:numPr>
        <w:spacing w:after="100" w:line="276"/>
      </w:pPr>
      <w:r>
        <w:rPr>
          <w:rFonts w:ascii="Calibri" w:cs="Calibri" w:eastAsia="Calibri" w:hAnsi="Calibri"/>
          <w:color w:val="3A3A3A"/>
          <w:sz w:val="20"/>
          <w:szCs w:val="20"/>
        </w:rPr>
        <w:t xml:space="preserve">The concentration of infection incidents (CLABSI, CAUTI) at the top aligns with the concentration of HAI in ICU units; any initiative to reduce the HAI Rate should therefore start specifically with catheter protocols (central and urinary lines) in ICU/MICU/SICU, not broadly across all units.</w:t>
      </w:r>
    </w:p>
    <w:p>
      <w:pPr>
        <w:shd w:fill="E9F5EF" w:color="auto" w:val="clear"/>
        <w:spacing w:after="90" w:before="200"/>
      </w:pPr>
      <w:r>
        <w:rPr>
          <w:rFonts w:ascii="Calibri" w:cs="Calibri" w:eastAsia="Calibri" w:hAnsi="Calibri"/>
          <w:b/>
          <w:bCs/>
          <w:color w:val="2E7D5B"/>
          <w:spacing w:val="4"/>
          <w:sz w:val="21"/>
          <w:szCs w:val="21"/>
        </w:rPr>
        <w:t xml:space="preserve">III.  PRESCRIPTIVE — What should we do?</w:t>
      </w:r>
    </w:p>
    <w:p>
      <w:pPr>
        <w:pStyle w:val="ListParagraph"/>
        <w:numPr>
          <w:ilvl w:val="0"/>
          <w:numId w:val="1"/>
        </w:numPr>
        <w:spacing w:after="100" w:line="276"/>
      </w:pPr>
      <w:r>
        <w:rPr>
          <w:rFonts w:ascii="Calibri" w:cs="Calibri" w:eastAsia="Calibri" w:hAnsi="Calibri"/>
          <w:color w:val="3A3A3A"/>
          <w:sz w:val="20"/>
          <w:szCs w:val="20"/>
        </w:rPr>
        <w:t xml:space="preserve">Target fourth-quartile severity patients (Q4-Critical) with an intensive post-discharge follow-up program regardless of service line, since severity is the strongest risk driver.</w:t>
      </w:r>
    </w:p>
    <w:p>
      <w:pPr>
        <w:pStyle w:val="ListParagraph"/>
        <w:numPr>
          <w:ilvl w:val="0"/>
          <w:numId w:val="1"/>
        </w:numPr>
        <w:spacing w:after="100" w:line="276"/>
      </w:pPr>
      <w:r>
        <w:rPr>
          <w:rFonts w:ascii="Calibri" w:cs="Calibri" w:eastAsia="Calibri" w:hAnsi="Calibri"/>
          <w:color w:val="3A3A3A"/>
          <w:sz w:val="20"/>
          <w:szCs w:val="20"/>
        </w:rPr>
        <w:t xml:space="preserve">Launch a dedicated medication-adherence improvement program for oncology (ONC) patients specifically, such as medication reminders or an accompanying clinical pharmacist, since this group has the weakest adherence and highest readmission.</w:t>
      </w:r>
    </w:p>
    <w:p>
      <w:pPr>
        <w:pStyle w:val="ListParagraph"/>
        <w:numPr>
          <w:ilvl w:val="0"/>
          <w:numId w:val="1"/>
        </w:numPr>
        <w:spacing w:after="100" w:line="276"/>
      </w:pPr>
      <w:r>
        <w:rPr>
          <w:rFonts w:ascii="Calibri" w:cs="Calibri" w:eastAsia="Calibri" w:hAnsi="Calibri"/>
          <w:color w:val="3A3A3A"/>
          <w:sz w:val="20"/>
          <w:szCs w:val="20"/>
        </w:rPr>
        <w:t xml:space="preserve">Apply catheter-associated infection prevention protocol bundles (CLABSI/CAUTI Bundles) as a top priority in the three ICU units (ICU, MICU, SICU).</w:t>
      </w:r>
    </w:p>
    <w:p>
      <w:pPr>
        <w:pStyle w:val="ListParagraph"/>
        <w:numPr>
          <w:ilvl w:val="0"/>
          <w:numId w:val="1"/>
        </w:numPr>
        <w:spacing w:after="100" w:line="276"/>
      </w:pPr>
      <w:r>
        <w:rPr>
          <w:rFonts w:ascii="Calibri" w:cs="Calibri" w:eastAsia="Calibri" w:hAnsi="Calibri"/>
          <w:color w:val="3A3A3A"/>
          <w:sz w:val="20"/>
          <w:szCs w:val="20"/>
        </w:rPr>
        <w:t xml:space="preserve">Raise the 48-hour follow-up compliance rate from 74.5% to at least 85% via an automated reminder system (call or message), targeting high-severity patients specifically.</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BUSINESS Q&amp;A</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What is the strongest factor associated with readmission rate?</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Case severity (severity_index); the rate rises clearly from 8.30% in the first severity quartile to 22.37% in the fourth, across nearly every service line.</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Is medication adherence actually linked to readmission?</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Yes, with a strong, near-linear inverse relationship; oncology (ONC), the least adherent (0.685), has the highest readmission (23%), while dermatology (DERM), the most adherent (0.775), has the lowest readmission (10%). Note: cardiology (CV) is an exception — its adherence is relatively low (0.695) yet its readmission is the second-highest value (~21.7%).</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Which unit bears the greatest burden of hospital-acquired infection?</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ICU units (MICU, SICU, ICU) are clearly higher compared to regular units.</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What is the most common type of patient safety incident?</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CLABSI (central-line-associated infection) is the most frequent, followed by Delay in Care and Fall.</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Does improving the post-discharge follow-up rate reduce readmissions monthly?</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The monthly trend fluctuates and doesn't show a strong, clear inverse relationship at the monthly level alone; quarterly or annual analysis is recommended to see the true effect.</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RECOMMENDATIONS</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Build an automatic alert system for fourth-quartile severity patients at discharge to ensure follow-up scheduling within 48 hours without exception.</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Assign an accompanying clinical pharmacist specifically for oncology patients to improve medication adherence as a top priority for reducing readmission.</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Apply standard catheter infection prevention bundles (CLABSI/CAUTI Bundles) in all ICU units as the first and fastest-impact step to reduce the HAI Rate.</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Shift the Follow-Up vs. Readmission relationship analysis from monthly to quarterly to avoid short-term fluctuation clouding management decisions.</w:t>
      </w:r>
    </w:p>
    <w:p>
      <w:pPr>
        <w:pageBreakBefore/>
        <w:pBdr>
          <w:bottom w:val="single" w:color="0E8388" w:sz="16" w:space="8"/>
        </w:pBdr>
        <w:spacing w:after="40" w:before="0"/>
      </w:pPr>
      <w:r>
        <w:rPr>
          <w:rFonts w:ascii="Calibri" w:cs="Calibri" w:eastAsia="Calibri" w:hAnsi="Calibri"/>
          <w:b/>
          <w:bCs/>
          <w:color w:val="0E8388"/>
          <w:spacing w:val="20"/>
          <w:sz w:val="20"/>
          <w:szCs w:val="20"/>
        </w:rPr>
        <w:t xml:space="preserve">DASHBOARD 6</w:t>
      </w:r>
    </w:p>
    <w:p>
      <w:pPr>
        <w:spacing w:after="60" w:before="40"/>
      </w:pPr>
      <w:r>
        <w:rPr>
          <w:rFonts w:ascii="Calibri" w:cs="Calibri" w:eastAsia="Calibri" w:hAnsi="Calibri"/>
          <w:b/>
          <w:bCs/>
          <w:color w:val="0B3D5C"/>
          <w:sz w:val="40"/>
          <w:szCs w:val="40"/>
        </w:rPr>
        <w:t xml:space="preserve">ER &amp; Patient Flow Dashboard</w:t>
      </w:r>
    </w:p>
    <w:p>
      <w:pPr>
        <w:spacing w:after="260" w:before="0"/>
      </w:pPr>
      <w:r>
        <w:rPr>
          <w:rFonts w:ascii="Calibri" w:cs="Calibri" w:eastAsia="Calibri" w:hAnsi="Calibri"/>
          <w:i/>
          <w:iCs/>
          <w:color w:val="0E8388"/>
          <w:sz w:val="22"/>
          <w:szCs w:val="22"/>
        </w:rPr>
        <w:t xml:space="preserve">Emergency &amp; Patient Flow</w:t>
      </w:r>
    </w:p>
    <w:p>
      <w:pPr>
        <w:spacing w:after="240" w:before="0" w:line="288"/>
        <w:jc w:val="left"/>
      </w:pPr>
      <w:r>
        <w:rPr>
          <w:rFonts w:ascii="Calibri" w:cs="Calibri" w:eastAsia="Calibri" w:hAnsi="Calibri"/>
          <w:b w:val="false"/>
          <w:bCs w:val="false"/>
          <w:i w:val="false"/>
          <w:iCs w:val="false"/>
          <w:color w:val="3A3A3A"/>
          <w:sz w:val="22"/>
          <w:szCs w:val="22"/>
        </w:rPr>
        <w:t xml:space="preserve">Tracking the speed of patient flow within the hospital: from admission to physician, to bed assignment, to length of stay — and linking these to bed occupancy and case severity.</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000"/>
      </w:tblGrid>
      <w:tr>
        <w:trPr>
          <w:tblHeader/>
        </w:trPr>
        <w:tc>
          <w:tcPr>
            <w:tcW w:type="pct" w:w="32%"/>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KEY INDICATOR</w:t>
            </w:r>
          </w:p>
        </w:tc>
        <w:tc>
          <w:tcPr>
            <w:tcW w:type="pct" w:w="18%"/>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VALUE</w:t>
            </w:r>
          </w:p>
        </w:tc>
        <w:tc>
          <w:tcPr>
            <w:tcW w:type="pct" w:w="50%"/>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DESCRIPTION</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Door To Doctor Mins</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27.90</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Average time from triage to first physician assessment.</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Bed Wait Time Mins</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94.95</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Average wait time for bed assignment after request.</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Bed Occupancy % Avg</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81.96%</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Average bed occupancy rate.</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Avg LOS Days</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3.78</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Average length of stay in the hospital, in days.</w:t>
            </w:r>
          </w:p>
        </w:tc>
      </w:tr>
    </w:tbl>
    <w:p>
      <w:pPr>
        <w:spacing w:after="60"/>
      </w:pPr>
    </w:p>
    <w:p>
      <w:pPr>
        <w:pBdr>
          <w:left w:val="single" w:color="0E8388" w:sz="24" w:space="6"/>
        </w:pBdr>
        <w:spacing w:after="140" w:before="320"/>
        <w:ind w:left="100"/>
      </w:pPr>
      <w:r>
        <w:rPr>
          <w:rFonts w:ascii="Calibri" w:cs="Calibri" w:eastAsia="Calibri" w:hAnsi="Calibri"/>
          <w:b/>
          <w:bCs/>
          <w:color w:val="0B3D5C"/>
          <w:spacing w:val="8"/>
          <w:sz w:val="26"/>
          <w:szCs w:val="26"/>
        </w:rPr>
        <w:t xml:space="preserve">VISUALS BREAKDOWN</w:t>
      </w:r>
    </w:p>
    <w:p>
      <w:pPr>
        <w:spacing w:after="60" w:before="160"/>
      </w:pPr>
      <w:r>
        <w:rPr>
          <w:rFonts w:ascii="Calibri" w:cs="Calibri" w:eastAsia="Calibri" w:hAnsi="Calibri"/>
          <w:b/>
          <w:bCs/>
          <w:color w:val="1F5C8B"/>
          <w:sz w:val="21"/>
          <w:szCs w:val="21"/>
        </w:rPr>
        <w:t xml:space="preserve">1. Average Length of Stay by Diagnosis Category — Column Chart</w:t>
      </w:r>
    </w:p>
    <w:p>
      <w:pPr>
        <w:spacing w:after="100" w:before="0" w:line="288"/>
        <w:jc w:val="left"/>
      </w:pPr>
      <w:r>
        <w:rPr>
          <w:rFonts w:ascii="Calibri" w:cs="Calibri" w:eastAsia="Calibri" w:hAnsi="Calibri"/>
          <w:b w:val="false"/>
          <w:bCs w:val="false"/>
          <w:i w:val="false"/>
          <w:iCs w:val="false"/>
          <w:color w:val="3A3A3A"/>
          <w:sz w:val="20"/>
          <w:szCs w:val="20"/>
        </w:rPr>
        <w:t xml:space="preserve">Ranks service lines by average length of stay: ONC (oncology) has the longest stay (~6.2 days), followed by CV (cardiology) at ~5.8, then MSK at ~4.1, down to DERM as the shortest stay (~1.8 days). The ranking aligns fully with typical severity for each specialty.</w:t>
      </w:r>
    </w:p>
    <w:p>
      <w:pPr>
        <w:spacing w:after="60" w:before="160"/>
      </w:pPr>
      <w:r>
        <w:rPr>
          <w:rFonts w:ascii="Calibri" w:cs="Calibri" w:eastAsia="Calibri" w:hAnsi="Calibri"/>
          <w:b/>
          <w:bCs/>
          <w:color w:val="1F5C8B"/>
          <w:sz w:val="21"/>
          <w:szCs w:val="21"/>
        </w:rPr>
        <w:t xml:space="preserve">2. Severity Index vs LOS &amp; Readmission Rate by Diagnosis — Scatter Chart with trend line</w:t>
      </w:r>
    </w:p>
    <w:p>
      <w:pPr>
        <w:spacing w:after="100" w:before="0" w:line="288"/>
        <w:jc w:val="left"/>
      </w:pPr>
      <w:r>
        <w:rPr>
          <w:rFonts w:ascii="Calibri" w:cs="Calibri" w:eastAsia="Calibri" w:hAnsi="Calibri"/>
          <w:b w:val="false"/>
          <w:bCs w:val="false"/>
          <w:i w:val="false"/>
          <w:iCs w:val="false"/>
          <w:color w:val="3A3A3A"/>
          <w:sz w:val="20"/>
          <w:szCs w:val="20"/>
        </w:rPr>
        <w:t xml:space="preserve">Visually confirms the positive linear relationship between average severity_index and average LOS per service line: ONC and CV sit in the upper right (high severity and LOS), while DERM and GU sit in the lower left (low severity and LOS), with a clear trend line showing that each increase in severity corresponds to a roughly proportional increase in length of stay.</w:t>
      </w:r>
    </w:p>
    <w:p>
      <w:pPr>
        <w:spacing w:after="60" w:before="160"/>
      </w:pPr>
      <w:r>
        <w:rPr>
          <w:rFonts w:ascii="Calibri" w:cs="Calibri" w:eastAsia="Calibri" w:hAnsi="Calibri"/>
          <w:b/>
          <w:bCs/>
          <w:color w:val="1F5C8B"/>
          <w:sz w:val="21"/>
          <w:szCs w:val="21"/>
        </w:rPr>
        <w:t xml:space="preserve">3. Total Encounters by Unit Assigned — Horizontal Bar Chart</w:t>
      </w:r>
    </w:p>
    <w:p>
      <w:pPr>
        <w:spacing w:after="100" w:before="0" w:line="288"/>
        <w:jc w:val="left"/>
      </w:pPr>
      <w:r>
        <w:rPr>
          <w:rFonts w:ascii="Calibri" w:cs="Calibri" w:eastAsia="Calibri" w:hAnsi="Calibri"/>
          <w:b w:val="false"/>
          <w:bCs w:val="false"/>
          <w:i w:val="false"/>
          <w:iCs w:val="false"/>
          <w:color w:val="3A3A3A"/>
          <w:sz w:val="20"/>
          <w:szCs w:val="20"/>
        </w:rPr>
        <w:t xml:space="preserve">Shows the distribution of case volume by unit: ICU receives the largest number of cases, followed by MICU, SICU, and Step-Down, while Oncology receives a relatively smaller number. This distribution reflects that critical care units carry the largest share of overall flow, not just the highest complexity.</w:t>
      </w:r>
    </w:p>
    <w:p>
      <w:pPr>
        <w:spacing w:after="60" w:before="160"/>
      </w:pPr>
      <w:r>
        <w:rPr>
          <w:rFonts w:ascii="Calibri" w:cs="Calibri" w:eastAsia="Calibri" w:hAnsi="Calibri"/>
          <w:b/>
          <w:bCs/>
          <w:color w:val="1F5C8B"/>
          <w:sz w:val="21"/>
          <w:szCs w:val="21"/>
        </w:rPr>
        <w:t xml:space="preserve">4. Fixed Average Wait Time by Unit Assigned — Horizontal Bar Chart</w:t>
      </w:r>
    </w:p>
    <w:p>
      <w:pPr>
        <w:spacing w:after="100" w:before="0" w:line="288"/>
        <w:jc w:val="left"/>
      </w:pPr>
      <w:r>
        <w:rPr>
          <w:rFonts w:ascii="Calibri" w:cs="Calibri" w:eastAsia="Calibri" w:hAnsi="Calibri"/>
          <w:b w:val="false"/>
          <w:bCs w:val="false"/>
          <w:i w:val="false"/>
          <w:iCs w:val="false"/>
          <w:color w:val="3A3A3A"/>
          <w:sz w:val="20"/>
          <w:szCs w:val="20"/>
        </w:rPr>
        <w:t xml:space="preserve">Measures average fixed wait time per unit; values are relatively close across all units (Med-Surg B is slightly the highest and SICU the lowest), meaning the waiting problem isn't isolated to one unit but is a nearly systemic distribution across the hospital, requiring a system-level rather than unit-specific solution.</w:t>
      </w:r>
    </w:p>
    <w:p>
      <w:pPr>
        <w:spacing w:after="60" w:before="160"/>
      </w:pPr>
      <w:r>
        <w:rPr>
          <w:rFonts w:ascii="Calibri" w:cs="Calibri" w:eastAsia="Calibri" w:hAnsi="Calibri"/>
          <w:b/>
          <w:bCs/>
          <w:color w:val="1F5C8B"/>
          <w:sz w:val="21"/>
          <w:szCs w:val="21"/>
        </w:rPr>
        <w:t xml:space="preserve">5. Severity, LOS &amp; Readmissions by Diagnosis — Stacked/Clustered Bar Chart</w:t>
      </w:r>
    </w:p>
    <w:p>
      <w:pPr>
        <w:spacing w:after="100" w:before="0" w:line="288"/>
        <w:jc w:val="left"/>
      </w:pPr>
      <w:r>
        <w:rPr>
          <w:rFonts w:ascii="Calibri" w:cs="Calibri" w:eastAsia="Calibri" w:hAnsi="Calibri"/>
          <w:b w:val="false"/>
          <w:bCs w:val="false"/>
          <w:i w:val="false"/>
          <w:iCs w:val="false"/>
          <w:color w:val="3A3A3A"/>
          <w:sz w:val="20"/>
          <w:szCs w:val="20"/>
        </w:rPr>
        <w:t xml:space="preserve">A complementary view to the scatter chart above in stacked-bar form, showing severity and length of stay side by side for each service line, making quick comparison easier without needing to read coordinates on a scatter plot.</w:t>
      </w:r>
    </w:p>
    <w:p>
      <w:pPr>
        <w:spacing w:after="60" w:before="160"/>
      </w:pPr>
      <w:r>
        <w:rPr>
          <w:rFonts w:ascii="Calibri" w:cs="Calibri" w:eastAsia="Calibri" w:hAnsi="Calibri"/>
          <w:b/>
          <w:bCs/>
          <w:color w:val="1F5C8B"/>
          <w:sz w:val="21"/>
          <w:szCs w:val="21"/>
        </w:rPr>
        <w:t xml:space="preserve">6. Encounters by LOS Band — Column Chart</w:t>
      </w:r>
    </w:p>
    <w:p>
      <w:pPr>
        <w:spacing w:after="100" w:before="0" w:line="288"/>
        <w:jc w:val="left"/>
      </w:pPr>
      <w:r>
        <w:rPr>
          <w:rFonts w:ascii="Calibri" w:cs="Calibri" w:eastAsia="Calibri" w:hAnsi="Calibri"/>
          <w:b w:val="false"/>
          <w:bCs w:val="false"/>
          <w:i w:val="false"/>
          <w:iCs w:val="false"/>
          <w:color w:val="3A3A3A"/>
          <w:sz w:val="20"/>
          <w:szCs w:val="20"/>
        </w:rPr>
        <w:t xml:space="preserve">Divides all cases into length-of-stay bands: the 4–7 day band is largest (~430K cases), followed by 2–3 days (~300K), then one day (~180K), and finally 8–14 days as the smallest band (~110K). The vast majority of hospital volume falls within a 2–7 day stay range.</w:t>
      </w:r>
    </w:p>
    <w:p>
      <w:pPr>
        <w:shd w:fill="E4F3F3" w:color="auto" w:val="clear"/>
        <w:spacing w:after="200" w:before="100"/>
      </w:pPr>
      <w:r>
        <w:rPr>
          <w:rFonts w:ascii="Calibri" w:cs="Calibri" w:eastAsia="Calibri" w:hAnsi="Calibri"/>
          <w:i/>
          <w:iCs/>
          <w:color w:val="0B3D5C"/>
          <w:sz w:val="19"/>
          <w:szCs w:val="19"/>
        </w:rPr>
        <w:t xml:space="preserve">🔎  Slicers: Month, Unit Assigned, Severity Quartile.</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THREE-LAYER ANALYSIS</w:t>
      </w:r>
    </w:p>
    <w:p>
      <w:pPr>
        <w:shd w:fill="E9F5EF" w:color="auto" w:val="clear"/>
        <w:spacing w:after="90" w:before="200"/>
      </w:pPr>
      <w:r>
        <w:rPr>
          <w:rFonts w:ascii="Calibri" w:cs="Calibri" w:eastAsia="Calibri" w:hAnsi="Calibri"/>
          <w:b/>
          <w:bCs/>
          <w:color w:val="1F5C8B"/>
          <w:spacing w:val="4"/>
          <w:sz w:val="21"/>
          <w:szCs w:val="21"/>
        </w:rPr>
        <w:t xml:space="preserve">I.  DESCRIPTIVE — What is happening?</w:t>
      </w:r>
    </w:p>
    <w:p>
      <w:pPr>
        <w:pStyle w:val="ListParagraph"/>
        <w:numPr>
          <w:ilvl w:val="0"/>
          <w:numId w:val="1"/>
        </w:numPr>
        <w:spacing w:after="100" w:line="276"/>
      </w:pPr>
      <w:r>
        <w:rPr>
          <w:rFonts w:ascii="Calibri" w:cs="Calibri" w:eastAsia="Calibri" w:hAnsi="Calibri"/>
          <w:color w:val="3A3A3A"/>
          <w:sz w:val="20"/>
          <w:szCs w:val="20"/>
        </w:rPr>
        <w:t xml:space="preserve">Bed occupancy is very high (81.96% on average), close to the 85% threshold considered by the industry as the start of flow and safety deterioration.</w:t>
      </w:r>
    </w:p>
    <w:p>
      <w:pPr>
        <w:pStyle w:val="ListParagraph"/>
        <w:numPr>
          <w:ilvl w:val="0"/>
          <w:numId w:val="1"/>
        </w:numPr>
        <w:spacing w:after="100" w:line="276"/>
      </w:pPr>
      <w:r>
        <w:rPr>
          <w:rFonts w:ascii="Calibri" w:cs="Calibri" w:eastAsia="Calibri" w:hAnsi="Calibri"/>
          <w:color w:val="3A3A3A"/>
          <w:sz w:val="20"/>
          <w:szCs w:val="20"/>
        </w:rPr>
        <w:t xml:space="preserve">Bed wait time (94.95 minutes) far exceeds the wait time for a physician (27.90 minutes), meaning the true bottleneck is in bed assignment, not initial medical assessment.</w:t>
      </w:r>
    </w:p>
    <w:p>
      <w:pPr>
        <w:pStyle w:val="ListParagraph"/>
        <w:numPr>
          <w:ilvl w:val="0"/>
          <w:numId w:val="1"/>
        </w:numPr>
        <w:spacing w:after="100" w:line="276"/>
      </w:pPr>
      <w:r>
        <w:rPr>
          <w:rFonts w:ascii="Calibri" w:cs="Calibri" w:eastAsia="Calibri" w:hAnsi="Calibri"/>
          <w:color w:val="3A3A3A"/>
          <w:sz w:val="20"/>
          <w:szCs w:val="20"/>
        </w:rPr>
        <w:t xml:space="preserve">Length of stay (3.78 days on average) is fully consistent with severity for each specialty.</w:t>
      </w:r>
    </w:p>
    <w:p>
      <w:pPr>
        <w:pStyle w:val="ListParagraph"/>
        <w:numPr>
          <w:ilvl w:val="0"/>
          <w:numId w:val="1"/>
        </w:numPr>
        <w:spacing w:after="100" w:line="276"/>
      </w:pPr>
      <w:r>
        <w:rPr>
          <w:rFonts w:ascii="Calibri" w:cs="Calibri" w:eastAsia="Calibri" w:hAnsi="Calibri"/>
          <w:color w:val="3A3A3A"/>
          <w:sz w:val="20"/>
          <w:szCs w:val="20"/>
        </w:rPr>
        <w:t xml:space="preserve">Most cases (over 70%) stay between two and seven days.</w:t>
      </w:r>
    </w:p>
    <w:p>
      <w:pPr>
        <w:shd w:fill="FBF1E0" w:color="auto" w:val="clear"/>
        <w:spacing w:after="90" w:before="200"/>
      </w:pPr>
      <w:r>
        <w:rPr>
          <w:rFonts w:ascii="Calibri" w:cs="Calibri" w:eastAsia="Calibri" w:hAnsi="Calibri"/>
          <w:b/>
          <w:bCs/>
          <w:color w:val="B5701A"/>
          <w:spacing w:val="4"/>
          <w:sz w:val="21"/>
          <w:szCs w:val="21"/>
        </w:rPr>
        <w:t xml:space="preserve">II.  DIAGNOSTIC — Why is it happening?</w:t>
      </w:r>
    </w:p>
    <w:p>
      <w:pPr>
        <w:pStyle w:val="ListParagraph"/>
        <w:numPr>
          <w:ilvl w:val="0"/>
          <w:numId w:val="1"/>
        </w:numPr>
        <w:spacing w:after="100" w:line="276"/>
      </w:pPr>
      <w:r>
        <w:rPr>
          <w:rFonts w:ascii="Calibri" w:cs="Calibri" w:eastAsia="Calibri" w:hAnsi="Calibri"/>
          <w:color w:val="3A3A3A"/>
          <w:sz w:val="20"/>
          <w:szCs w:val="20"/>
        </w:rPr>
        <w:t xml:space="preserve">The large gap between Door to Doctor (27.90 minutes) and Bed Wait Time (94.95 minutes) shows the flow bottleneck isn't at the medical-reception point but right after it; this is expected because physician_assessment is delayed when bed_occupancy_pct rises above 80% per the data logic — and since overall occupancy here is 81.96% (above this threshold), every delay in bed assignment reflects directly as pressure on physician-assessment time too.</w:t>
      </w:r>
    </w:p>
    <w:p>
      <w:pPr>
        <w:pStyle w:val="ListParagraph"/>
        <w:numPr>
          <w:ilvl w:val="0"/>
          <w:numId w:val="1"/>
        </w:numPr>
        <w:spacing w:after="100" w:line="276"/>
      </w:pPr>
      <w:r>
        <w:rPr>
          <w:rFonts w:ascii="Calibri" w:cs="Calibri" w:eastAsia="Calibri" w:hAnsi="Calibri"/>
          <w:color w:val="3A3A3A"/>
          <w:sz w:val="20"/>
          <w:szCs w:val="20"/>
        </w:rPr>
        <w:t xml:space="preserve">The near-perfect linear relationship between severity_index and Avg LOS Days isn't clinically unexpected, but it confirms that any effort to reduce length of stay must be designed by severity (Severity-Adjusted LOS Targets), not a single overall average applied indiscriminately to all cases.</w:t>
      </w:r>
    </w:p>
    <w:p>
      <w:pPr>
        <w:pStyle w:val="ListParagraph"/>
        <w:numPr>
          <w:ilvl w:val="0"/>
          <w:numId w:val="1"/>
        </w:numPr>
        <w:spacing w:after="100" w:line="276"/>
      </w:pPr>
      <w:r>
        <w:rPr>
          <w:rFonts w:ascii="Calibri" w:cs="Calibri" w:eastAsia="Calibri" w:hAnsi="Calibri"/>
          <w:color w:val="3A3A3A"/>
          <w:sz w:val="20"/>
          <w:szCs w:val="20"/>
        </w:rPr>
        <w:t xml:space="preserve">The similarity of wait times across all units (rather than concentration in one unit) indicates the problem is closer to a structural weakness in the hospital's total bed capacity rather than poor distribution between units.</w:t>
      </w:r>
    </w:p>
    <w:p>
      <w:pPr>
        <w:shd w:fill="E9F5EF" w:color="auto" w:val="clear"/>
        <w:spacing w:after="90" w:before="200"/>
      </w:pPr>
      <w:r>
        <w:rPr>
          <w:rFonts w:ascii="Calibri" w:cs="Calibri" w:eastAsia="Calibri" w:hAnsi="Calibri"/>
          <w:b/>
          <w:bCs/>
          <w:color w:val="2E7D5B"/>
          <w:spacing w:val="4"/>
          <w:sz w:val="21"/>
          <w:szCs w:val="21"/>
        </w:rPr>
        <w:t xml:space="preserve">III.  PRESCRIPTIVE — What should we do?</w:t>
      </w:r>
    </w:p>
    <w:p>
      <w:pPr>
        <w:pStyle w:val="ListParagraph"/>
        <w:numPr>
          <w:ilvl w:val="0"/>
          <w:numId w:val="1"/>
        </w:numPr>
        <w:spacing w:after="100" w:line="276"/>
      </w:pPr>
      <w:r>
        <w:rPr>
          <w:rFonts w:ascii="Calibri" w:cs="Calibri" w:eastAsia="Calibri" w:hAnsi="Calibri"/>
          <w:color w:val="3A3A3A"/>
          <w:sz w:val="20"/>
          <w:szCs w:val="20"/>
        </w:rPr>
        <w:t xml:space="preserve">Give investment priority to solving the bed-assignment bottleneck (Bed Wait Time) before any other improvement in the ER pathway, since it is the larger bottleneck (94.95 minutes) compared to medical assessment (27.90 minutes).</w:t>
      </w:r>
    </w:p>
    <w:p>
      <w:pPr>
        <w:pStyle w:val="ListParagraph"/>
        <w:numPr>
          <w:ilvl w:val="0"/>
          <w:numId w:val="1"/>
        </w:numPr>
        <w:spacing w:after="100" w:line="276"/>
      </w:pPr>
      <w:r>
        <w:rPr>
          <w:rFonts w:ascii="Calibri" w:cs="Calibri" w:eastAsia="Calibri" w:hAnsi="Calibri"/>
          <w:color w:val="3A3A3A"/>
          <w:sz w:val="20"/>
          <w:szCs w:val="20"/>
        </w:rPr>
        <w:t xml:space="preserve">Apply an occupancy-forecasting system (Predictive Bed Management) that automatically activates a Discharge Acceleration protocol when occupancy exceeds 80%, to avoid entering a physician-assessment delay loop.</w:t>
      </w:r>
    </w:p>
    <w:p>
      <w:pPr>
        <w:pStyle w:val="ListParagraph"/>
        <w:numPr>
          <w:ilvl w:val="0"/>
          <w:numId w:val="1"/>
        </w:numPr>
        <w:spacing w:after="100" w:line="276"/>
      </w:pPr>
      <w:r>
        <w:rPr>
          <w:rFonts w:ascii="Calibri" w:cs="Calibri" w:eastAsia="Calibri" w:hAnsi="Calibri"/>
          <w:color w:val="3A3A3A"/>
          <w:sz w:val="20"/>
          <w:szCs w:val="20"/>
        </w:rPr>
        <w:t xml:space="preserve">Set LOS targets customized per specialty based on its actual average severity rather than one general hospital-wide target, since ONC and CV need entirely different benchmarks from DERM and GU.</w:t>
      </w:r>
    </w:p>
    <w:p>
      <w:pPr>
        <w:pStyle w:val="ListParagraph"/>
        <w:numPr>
          <w:ilvl w:val="0"/>
          <w:numId w:val="1"/>
        </w:numPr>
        <w:spacing w:after="100" w:line="276"/>
      </w:pPr>
      <w:r>
        <w:rPr>
          <w:rFonts w:ascii="Calibri" w:cs="Calibri" w:eastAsia="Calibri" w:hAnsi="Calibri"/>
          <w:color w:val="3A3A3A"/>
          <w:sz w:val="20"/>
          <w:szCs w:val="20"/>
        </w:rPr>
        <w:t xml:space="preserve">Investigate the reason for the higher wait in Med-Surg B specifically, despite close overall figures, since it appears slightly higher in more than one visual (wait time as well as patient experience).</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BUSINESS Q&amp;A</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Where is the real bottleneck in patient flow?</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In bed assignment (94.95 minutes average wait), not initial medical assessment (only 27.90 minutes), meaning the problem is right after medical reception.</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Is bed occupancy close to a dangerous level?</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Yes; 81.96% average occupancy is very close to the 80–85% threshold at which flow and safety begin to deteriorate per industry standards.</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Which service line has the longest hospital stay?</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Oncology (ONC) at ~6.2 days on average, followed by cardiology (CV) at ~5.8 days, while dermatology (DERM) is shortest (~1.8 days).</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Is the wait-time problem concentrated in a specific unit?</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No, the distribution is nearly close across all units, indicating a general hospital capacity issue rather than poor local distribution in a specific unit.</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What is the most common length-of-stay category?</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The 4–7 day category is largest at about 430 thousand cases, followed by the 2–3 day category at about 300 thousand cases.</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RECOMMENDATIONS</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Give top priority to a bed-turnaround improvement project, since it is the largest bottleneck in overall flow, not medical assessment.</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Link the bed management system to an automatic alert when occupancy exceeds 80% to activate discharge-acceleration procedures before medical assessment is also affected.</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Adopt different LOS targets per specialty instead of a single overall average, with special monitoring for the ONC and CV lines with the highest length of stay.</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Conduct a focused operational review of the Med-Surg B unit specifically to understand why it repeatedly appears at the top of wait-time indicators.</w:t>
      </w:r>
    </w:p>
    <w:p>
      <w:pPr>
        <w:pageBreakBefore/>
        <w:pBdr>
          <w:bottom w:val="single" w:color="0E8388" w:sz="16" w:space="8"/>
        </w:pBdr>
        <w:spacing w:after="40" w:before="0"/>
      </w:pPr>
      <w:r>
        <w:rPr>
          <w:rFonts w:ascii="Calibri" w:cs="Calibri" w:eastAsia="Calibri" w:hAnsi="Calibri"/>
          <w:b/>
          <w:bCs/>
          <w:color w:val="0E8388"/>
          <w:spacing w:val="20"/>
          <w:sz w:val="20"/>
          <w:szCs w:val="20"/>
        </w:rPr>
        <w:t xml:space="preserve">DASHBOARD 7</w:t>
      </w:r>
    </w:p>
    <w:p>
      <w:pPr>
        <w:spacing w:after="60" w:before="40"/>
      </w:pPr>
      <w:r>
        <w:rPr>
          <w:rFonts w:ascii="Calibri" w:cs="Calibri" w:eastAsia="Calibri" w:hAnsi="Calibri"/>
          <w:b/>
          <w:bCs/>
          <w:color w:val="0B3D5C"/>
          <w:sz w:val="40"/>
          <w:szCs w:val="40"/>
        </w:rPr>
        <w:t xml:space="preserve">HR &amp; Staff Performance Dashboard</w:t>
      </w:r>
    </w:p>
    <w:p>
      <w:pPr>
        <w:spacing w:after="260" w:before="0"/>
      </w:pPr>
      <w:r>
        <w:rPr>
          <w:rFonts w:ascii="Calibri" w:cs="Calibri" w:eastAsia="Calibri" w:hAnsi="Calibri"/>
          <w:i/>
          <w:iCs/>
          <w:color w:val="0E8388"/>
          <w:sz w:val="22"/>
          <w:szCs w:val="22"/>
        </w:rPr>
        <w:t xml:space="preserve">Nursing Workforce Health</w:t>
      </w:r>
    </w:p>
    <w:p>
      <w:pPr>
        <w:spacing w:after="240" w:before="0" w:line="288"/>
        <w:jc w:val="left"/>
      </w:pPr>
      <w:r>
        <w:rPr>
          <w:rFonts w:ascii="Calibri" w:cs="Calibri" w:eastAsia="Calibri" w:hAnsi="Calibri"/>
          <w:b w:val="false"/>
          <w:bCs w:val="false"/>
          <w:i w:val="false"/>
          <w:iCs w:val="false"/>
          <w:color w:val="3A3A3A"/>
          <w:sz w:val="22"/>
          <w:szCs w:val="22"/>
        </w:rPr>
        <w:t xml:space="preserve">Tracking the health of the nursing workforce: workload, burnout, turnover risk — and linking these to their projected financial cost.</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000"/>
      </w:tblGrid>
      <w:tr>
        <w:trPr>
          <w:tblHeader/>
        </w:trPr>
        <w:tc>
          <w:tcPr>
            <w:tcW w:type="pct" w:w="32%"/>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KEY INDICATOR</w:t>
            </w:r>
          </w:p>
        </w:tc>
        <w:tc>
          <w:tcPr>
            <w:tcW w:type="pct" w:w="18%"/>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VALUE</w:t>
            </w:r>
          </w:p>
        </w:tc>
        <w:tc>
          <w:tcPr>
            <w:tcW w:type="pct" w:w="50%"/>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DESCRIPTION</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Avg Patients Per Nurse</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5.5</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Average number of patients assigned per nurse per shift.</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Avg Burnout Composite</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2.01</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Composite average burnout score (Maslach scale, range 0–6).</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High Turnover Risk %</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10.2%</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Percentage of nurses with a turnover-risk index above 0.6.</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Turnover Cost Estimate USD</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$25.600M</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Estimated financial cost of replacing high-risk nurses ($50,000 per nurse).</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Burnout At Risk Rate %</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57.73%</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Percentage of nurses whose emotional exhaustion exceeds 2.0 on the Maslach scale.</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High Burnout Rate %</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2.16%</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Percentage of nurses at a critical burnout level (above 4.0).</w:t>
            </w:r>
          </w:p>
        </w:tc>
      </w:tr>
    </w:tbl>
    <w:p>
      <w:pPr>
        <w:spacing w:after="60"/>
      </w:pPr>
    </w:p>
    <w:p>
      <w:pPr>
        <w:pBdr>
          <w:left w:val="single" w:color="0E8388" w:sz="24" w:space="6"/>
        </w:pBdr>
        <w:spacing w:after="140" w:before="320"/>
        <w:ind w:left="100"/>
      </w:pPr>
      <w:r>
        <w:rPr>
          <w:rFonts w:ascii="Calibri" w:cs="Calibri" w:eastAsia="Calibri" w:hAnsi="Calibri"/>
          <w:b/>
          <w:bCs/>
          <w:color w:val="0B3D5C"/>
          <w:spacing w:val="8"/>
          <w:sz w:val="26"/>
          <w:szCs w:val="26"/>
        </w:rPr>
        <w:t xml:space="preserve">VISUALS BREAKDOWN</w:t>
      </w:r>
    </w:p>
    <w:p>
      <w:pPr>
        <w:spacing w:after="60" w:before="160"/>
      </w:pPr>
      <w:r>
        <w:rPr>
          <w:rFonts w:ascii="Calibri" w:cs="Calibri" w:eastAsia="Calibri" w:hAnsi="Calibri"/>
          <w:b/>
          <w:bCs/>
          <w:color w:val="1F5C8B"/>
          <w:sz w:val="21"/>
          <w:szCs w:val="21"/>
        </w:rPr>
        <w:t xml:space="preserve">1. Burnout Level vs Patient-Reported Nurse Communication by Unit — Scatter Chart with trend line</w:t>
      </w:r>
    </w:p>
    <w:p>
      <w:pPr>
        <w:spacing w:after="100" w:before="0" w:line="288"/>
        <w:jc w:val="left"/>
      </w:pPr>
      <w:r>
        <w:rPr>
          <w:rFonts w:ascii="Calibri" w:cs="Calibri" w:eastAsia="Calibri" w:hAnsi="Calibri"/>
          <w:b w:val="false"/>
          <w:bCs w:val="false"/>
          <w:i w:val="false"/>
          <w:iCs w:val="false"/>
          <w:color w:val="3A3A3A"/>
          <w:sz w:val="20"/>
          <w:szCs w:val="20"/>
        </w:rPr>
        <w:t xml:space="preserve">The same analysis that appeared in the Patient Experience dashboard, presented here specifically for the HR team: a clear inverse relationship between a unit's average burnout and the nurse-communication score as rated by patients, making burnout an HR indicator with a direct, measurable effect on patient experience.</w:t>
      </w:r>
    </w:p>
    <w:p>
      <w:pPr>
        <w:spacing w:after="60" w:before="160"/>
      </w:pPr>
      <w:r>
        <w:rPr>
          <w:rFonts w:ascii="Calibri" w:cs="Calibri" w:eastAsia="Calibri" w:hAnsi="Calibri"/>
          <w:b/>
          <w:bCs/>
          <w:color w:val="1F5C8B"/>
          <w:sz w:val="21"/>
          <w:szCs w:val="21"/>
        </w:rPr>
        <w:t xml:space="preserve">2. Avg Patients Per Nurse &amp; Safety Incident Rate by Unit — Column Chart (red)</w:t>
      </w:r>
    </w:p>
    <w:p>
      <w:pPr>
        <w:spacing w:after="100" w:before="0" w:line="288"/>
        <w:jc w:val="left"/>
      </w:pPr>
      <w:r>
        <w:rPr>
          <w:rFonts w:ascii="Calibri" w:cs="Calibri" w:eastAsia="Calibri" w:hAnsi="Calibri"/>
          <w:b w:val="false"/>
          <w:bCs w:val="false"/>
          <w:i w:val="false"/>
          <w:iCs w:val="false"/>
          <w:color w:val="3A3A3A"/>
          <w:sz w:val="20"/>
          <w:szCs w:val="20"/>
        </w:rPr>
        <w:t xml:space="preserve">Shows the patient-to-nurse ratio in each unit, all very close to a reference line at 5.0 (dashed line). The red color used in the design suggests this ratio, in every unit, is approaching or exceeding the recommended safe threshold in nursing literature, making it a general area of attention rather than an isolated problem in one unit.</w:t>
      </w:r>
    </w:p>
    <w:p>
      <w:pPr>
        <w:spacing w:after="60" w:before="160"/>
      </w:pPr>
      <w:r>
        <w:rPr>
          <w:rFonts w:ascii="Calibri" w:cs="Calibri" w:eastAsia="Calibri" w:hAnsi="Calibri"/>
          <w:b/>
          <w:bCs/>
          <w:color w:val="1F5C8B"/>
          <w:sz w:val="21"/>
          <w:szCs w:val="21"/>
        </w:rPr>
        <w:t xml:space="preserve">3. Burnout Trend by Years of Nursing Experience — Line Chart with trend line</w:t>
      </w:r>
    </w:p>
    <w:p>
      <w:pPr>
        <w:spacing w:after="100" w:before="0" w:line="288"/>
        <w:jc w:val="left"/>
      </w:pPr>
      <w:r>
        <w:rPr>
          <w:rFonts w:ascii="Calibri" w:cs="Calibri" w:eastAsia="Calibri" w:hAnsi="Calibri"/>
          <w:b w:val="false"/>
          <w:bCs w:val="false"/>
          <w:i w:val="false"/>
          <w:iCs w:val="false"/>
          <w:color w:val="3A3A3A"/>
          <w:sz w:val="20"/>
          <w:szCs w:val="20"/>
        </w:rPr>
        <w:t xml:space="preserve">Shows a general upward relationship (despite large fluctuation) between years of experience and burnout level: it starts relatively low in early years, then rises noticeably and fluctuates in the 10–20 year experience range (reaching a sharp peak at 4.15), before declining in the highest experience years. This pattern suggests mid-career (10–20 years) is most prone to cumulative burnout.</w:t>
      </w:r>
    </w:p>
    <w:p>
      <w:pPr>
        <w:spacing w:after="60" w:before="160"/>
      </w:pPr>
      <w:r>
        <w:rPr>
          <w:rFonts w:ascii="Calibri" w:cs="Calibri" w:eastAsia="Calibri" w:hAnsi="Calibri"/>
          <w:b/>
          <w:bCs/>
          <w:color w:val="1F5C8B"/>
          <w:sz w:val="21"/>
          <w:szCs w:val="21"/>
        </w:rPr>
        <w:t xml:space="preserve">4. Burnout Composite Score by Unit and Nurse Role — Matrix Heatmap</w:t>
      </w:r>
    </w:p>
    <w:p>
      <w:pPr>
        <w:spacing w:after="100" w:before="0" w:line="288"/>
        <w:jc w:val="left"/>
      </w:pPr>
      <w:r>
        <w:rPr>
          <w:rFonts w:ascii="Calibri" w:cs="Calibri" w:eastAsia="Calibri" w:hAnsi="Calibri"/>
          <w:b w:val="false"/>
          <w:bCs w:val="false"/>
          <w:i w:val="false"/>
          <w:iCs w:val="false"/>
          <w:color w:val="3A3A3A"/>
          <w:sz w:val="20"/>
          <w:szCs w:val="20"/>
        </w:rPr>
        <w:t xml:space="preserve">Breaks down burnout score by unit and nursing role (Charge RN / LPN / RN) with color coding (green-yellow-red). The highest critical point (red, 2.15) is the LPN category in the SICU unit, and the second highest (2.09, orange) is Charge RN in Med-Surg B, while most other cells fall in the moderate green-yellow range (around 2.0).</w:t>
      </w:r>
    </w:p>
    <w:p>
      <w:pPr>
        <w:spacing w:after="60" w:before="160"/>
      </w:pPr>
      <w:r>
        <w:rPr>
          <w:rFonts w:ascii="Calibri" w:cs="Calibri" w:eastAsia="Calibri" w:hAnsi="Calibri"/>
          <w:b/>
          <w:bCs/>
          <w:color w:val="1F5C8B"/>
          <w:sz w:val="21"/>
          <w:szCs w:val="21"/>
        </w:rPr>
        <w:t xml:space="preserve">5. Nurse Turnover Risk % and Estimated Cost by Unit — Combo Chart (Bar + Line)</w:t>
      </w:r>
    </w:p>
    <w:p>
      <w:pPr>
        <w:spacing w:after="100" w:before="0" w:line="288"/>
        <w:jc w:val="left"/>
      </w:pPr>
      <w:r>
        <w:rPr>
          <w:rFonts w:ascii="Calibri" w:cs="Calibri" w:eastAsia="Calibri" w:hAnsi="Calibri"/>
          <w:b w:val="false"/>
          <w:bCs w:val="false"/>
          <w:i w:val="false"/>
          <w:iCs w:val="false"/>
          <w:color w:val="3A3A3A"/>
          <w:sz w:val="20"/>
          <w:szCs w:val="20"/>
        </w:rPr>
        <w:t xml:space="preserve">Ranks units by percentage of high-turnover-risk nurses (bars) against estimated replacement cost (line): ICU is highest in both risk (11.3%) and estimated cost ($3.05M), while Med-Surg A is lowest in both (8.9% and $2.05M). The line and bars move in nearly the same direction across all units, meaning higher risk translates directly into higher cost without exception.</w:t>
      </w:r>
    </w:p>
    <w:p>
      <w:pPr>
        <w:shd w:fill="E4F3F3" w:color="auto" w:val="clear"/>
        <w:spacing w:after="200" w:before="100"/>
      </w:pPr>
      <w:r>
        <w:rPr>
          <w:rFonts w:ascii="Calibri" w:cs="Calibri" w:eastAsia="Calibri" w:hAnsi="Calibri"/>
          <w:i/>
          <w:iCs/>
          <w:color w:val="0B3D5C"/>
          <w:sz w:val="19"/>
          <w:szCs w:val="19"/>
        </w:rPr>
        <w:t xml:space="preserve">🔎  Slicers (side list filter): nurse_unit, nurse_role, shift.</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THREE-LAYER ANALYSIS</w:t>
      </w:r>
    </w:p>
    <w:p>
      <w:pPr>
        <w:shd w:fill="E9F5EF" w:color="auto" w:val="clear"/>
        <w:spacing w:after="90" w:before="200"/>
      </w:pPr>
      <w:r>
        <w:rPr>
          <w:rFonts w:ascii="Calibri" w:cs="Calibri" w:eastAsia="Calibri" w:hAnsi="Calibri"/>
          <w:b/>
          <w:bCs/>
          <w:color w:val="1F5C8B"/>
          <w:spacing w:val="4"/>
          <w:sz w:val="21"/>
          <w:szCs w:val="21"/>
        </w:rPr>
        <w:t xml:space="preserve">I.  DESCRIPTIVE — What is happening?</w:t>
      </w:r>
    </w:p>
    <w:p>
      <w:pPr>
        <w:pStyle w:val="ListParagraph"/>
        <w:numPr>
          <w:ilvl w:val="0"/>
          <w:numId w:val="1"/>
        </w:numPr>
        <w:spacing w:after="100" w:line="276"/>
      </w:pPr>
      <w:r>
        <w:rPr>
          <w:rFonts w:ascii="Calibri" w:cs="Calibri" w:eastAsia="Calibri" w:hAnsi="Calibri"/>
          <w:color w:val="3A3A3A"/>
          <w:sz w:val="20"/>
          <w:szCs w:val="20"/>
        </w:rPr>
        <w:t xml:space="preserve">More than half of nurses (57.73%) fall in the “at risk of burnout” zone per the scale, a high rate calling for broad preventive intervention, not just individual measures.</w:t>
      </w:r>
    </w:p>
    <w:p>
      <w:pPr>
        <w:pStyle w:val="ListParagraph"/>
        <w:numPr>
          <w:ilvl w:val="0"/>
          <w:numId w:val="1"/>
        </w:numPr>
        <w:spacing w:after="100" w:line="276"/>
      </w:pPr>
      <w:r>
        <w:rPr>
          <w:rFonts w:ascii="Calibri" w:cs="Calibri" w:eastAsia="Calibri" w:hAnsi="Calibri"/>
          <w:color w:val="3A3A3A"/>
          <w:sz w:val="20"/>
          <w:szCs w:val="20"/>
        </w:rPr>
        <w:t xml:space="preserve">The estimated cost of turnover risk is $25.6 million, a substantial cost justifying significant preventive investment in staff retention.</w:t>
      </w:r>
    </w:p>
    <w:p>
      <w:pPr>
        <w:pStyle w:val="ListParagraph"/>
        <w:numPr>
          <w:ilvl w:val="0"/>
          <w:numId w:val="1"/>
        </w:numPr>
        <w:spacing w:after="100" w:line="276"/>
      </w:pPr>
      <w:r>
        <w:rPr>
          <w:rFonts w:ascii="Calibri" w:cs="Calibri" w:eastAsia="Calibri" w:hAnsi="Calibri"/>
          <w:color w:val="3A3A3A"/>
          <w:sz w:val="20"/>
          <w:szCs w:val="20"/>
        </w:rPr>
        <w:t xml:space="preserve">The highest critical burnout point on the matrix is the LPN category in the SICU unit (2.15), notably above the overall average (2.01).</w:t>
      </w:r>
    </w:p>
    <w:p>
      <w:pPr>
        <w:pStyle w:val="ListParagraph"/>
        <w:numPr>
          <w:ilvl w:val="0"/>
          <w:numId w:val="1"/>
        </w:numPr>
        <w:spacing w:after="100" w:line="276"/>
      </w:pPr>
      <w:r>
        <w:rPr>
          <w:rFonts w:ascii="Calibri" w:cs="Calibri" w:eastAsia="Calibri" w:hAnsi="Calibri"/>
          <w:color w:val="3A3A3A"/>
          <w:sz w:val="20"/>
          <w:szCs w:val="20"/>
        </w:rPr>
        <w:t xml:space="preserve">The ICU unit is highest in both turnover-risk percentage and associated estimated cost.</w:t>
      </w:r>
    </w:p>
    <w:p>
      <w:pPr>
        <w:shd w:fill="FBF1E0" w:color="auto" w:val="clear"/>
        <w:spacing w:after="90" w:before="200"/>
      </w:pPr>
      <w:r>
        <w:rPr>
          <w:rFonts w:ascii="Calibri" w:cs="Calibri" w:eastAsia="Calibri" w:hAnsi="Calibri"/>
          <w:b/>
          <w:bCs/>
          <w:color w:val="B5701A"/>
          <w:spacing w:val="4"/>
          <w:sz w:val="21"/>
          <w:szCs w:val="21"/>
        </w:rPr>
        <w:t xml:space="preserve">II.  DIAGNOSTIC — Why is it happening?</w:t>
      </w:r>
    </w:p>
    <w:p>
      <w:pPr>
        <w:pStyle w:val="ListParagraph"/>
        <w:numPr>
          <w:ilvl w:val="0"/>
          <w:numId w:val="1"/>
        </w:numPr>
        <w:spacing w:after="100" w:line="276"/>
      </w:pPr>
      <w:r>
        <w:rPr>
          <w:rFonts w:ascii="Calibri" w:cs="Calibri" w:eastAsia="Calibri" w:hAnsi="Calibri"/>
          <w:color w:val="3A3A3A"/>
          <w:sz w:val="20"/>
          <w:szCs w:val="20"/>
        </w:rPr>
        <w:t xml:space="preserve">The near-perfect match between unit rankings for “risk percentage” and “estimated cost” in the same visual isn't mathematically surprising (since cost is calculated directly as a function of the number of high-risk nurses × $50,000), but it practically confirms that any reduction in risk percentage in a given unit will be reflected immediately in lower actual expected cost, making High Turnover Risk % the most important intervention point, not just a reporting figure.</w:t>
      </w:r>
    </w:p>
    <w:p>
      <w:pPr>
        <w:pStyle w:val="ListParagraph"/>
        <w:numPr>
          <w:ilvl w:val="0"/>
          <w:numId w:val="1"/>
        </w:numPr>
        <w:spacing w:after="100" w:line="276"/>
      </w:pPr>
      <w:r>
        <w:rPr>
          <w:rFonts w:ascii="Calibri" w:cs="Calibri" w:eastAsia="Calibri" w:hAnsi="Calibri"/>
          <w:color w:val="3A3A3A"/>
          <w:sz w:val="20"/>
          <w:szCs w:val="20"/>
        </w:rPr>
        <w:t xml:space="preserve">Burnout peaking at 10–20 years of experience (instead of continuing to rise with continued service) indicates this specific group (mid-career) is most prone to accumulating fatigue without yet leaving the profession, and is also the most valuable group in terms of accumulated experience — making its loss or reduced performance a double loss (experience + prior training investment).</w:t>
      </w:r>
    </w:p>
    <w:p>
      <w:pPr>
        <w:pStyle w:val="ListParagraph"/>
        <w:numPr>
          <w:ilvl w:val="0"/>
          <w:numId w:val="1"/>
        </w:numPr>
        <w:spacing w:after="100" w:line="276"/>
      </w:pPr>
      <w:r>
        <w:rPr>
          <w:rFonts w:ascii="Calibri" w:cs="Calibri" w:eastAsia="Calibri" w:hAnsi="Calibri"/>
          <w:color w:val="3A3A3A"/>
          <w:sz w:val="20"/>
          <w:szCs w:val="20"/>
        </w:rPr>
        <w:t xml:space="preserve">The concentration of the highest burnout score in the LPN category in the SICU unit specifically (not RN or Charge RN in the same unit) warrants deeper understanding of the role's nature and specific responsibilities in a critical care environment, since the cause may differ from the causes of burnout in other roles.</w:t>
      </w:r>
    </w:p>
    <w:p>
      <w:pPr>
        <w:shd w:fill="E9F5EF" w:color="auto" w:val="clear"/>
        <w:spacing w:after="90" w:before="200"/>
      </w:pPr>
      <w:r>
        <w:rPr>
          <w:rFonts w:ascii="Calibri" w:cs="Calibri" w:eastAsia="Calibri" w:hAnsi="Calibri"/>
          <w:b/>
          <w:bCs/>
          <w:color w:val="2E7D5B"/>
          <w:spacing w:val="4"/>
          <w:sz w:val="21"/>
          <w:szCs w:val="21"/>
        </w:rPr>
        <w:t xml:space="preserve">III.  PRESCRIPTIVE — What should we do?</w:t>
      </w:r>
    </w:p>
    <w:p>
      <w:pPr>
        <w:pStyle w:val="ListParagraph"/>
        <w:numPr>
          <w:ilvl w:val="0"/>
          <w:numId w:val="1"/>
        </w:numPr>
        <w:spacing w:after="100" w:line="276"/>
      </w:pPr>
      <w:r>
        <w:rPr>
          <w:rFonts w:ascii="Calibri" w:cs="Calibri" w:eastAsia="Calibri" w:hAnsi="Calibri"/>
          <w:color w:val="3A3A3A"/>
          <w:sz w:val="20"/>
          <w:szCs w:val="20"/>
        </w:rPr>
        <w:t xml:space="preserve">Assign a direct, rapid psychological support and prevention program (Resilience Program) for LPN nurses in the SICU unit, as the highest critical burnout point recorded in the entire matrix.</w:t>
      </w:r>
    </w:p>
    <w:p>
      <w:pPr>
        <w:pStyle w:val="ListParagraph"/>
        <w:numPr>
          <w:ilvl w:val="0"/>
          <w:numId w:val="1"/>
        </w:numPr>
        <w:spacing w:after="100" w:line="276"/>
      </w:pPr>
      <w:r>
        <w:rPr>
          <w:rFonts w:ascii="Calibri" w:cs="Calibri" w:eastAsia="Calibri" w:hAnsi="Calibri"/>
          <w:color w:val="3A3A3A"/>
          <w:sz w:val="20"/>
          <w:szCs w:val="20"/>
        </w:rPr>
        <w:t xml:space="preserve">Design a dedicated support pathway for nurses in the 10–20 year experience range (such as role rotation, paid rest leave, or an alternative career-development path) to reduce the burnout peak in this most valuable and experienced group.</w:t>
      </w:r>
    </w:p>
    <w:p>
      <w:pPr>
        <w:pStyle w:val="ListParagraph"/>
        <w:numPr>
          <w:ilvl w:val="0"/>
          <w:numId w:val="1"/>
        </w:numPr>
        <w:spacing w:after="100" w:line="276"/>
      </w:pPr>
      <w:r>
        <w:rPr>
          <w:rFonts w:ascii="Calibri" w:cs="Calibri" w:eastAsia="Calibri" w:hAnsi="Calibri"/>
          <w:color w:val="3A3A3A"/>
          <w:sz w:val="20"/>
          <w:szCs w:val="20"/>
        </w:rPr>
        <w:t xml:space="preserve">Use High Turnover Risk % as a key performance indicator (KPI) for each unit manager individually, since a small reduction translates into direct, measurable financial savings (near-perfect proportional relationship with cost).</w:t>
      </w:r>
    </w:p>
    <w:p>
      <w:pPr>
        <w:pStyle w:val="ListParagraph"/>
        <w:numPr>
          <w:ilvl w:val="0"/>
          <w:numId w:val="1"/>
        </w:numPr>
        <w:spacing w:after="100" w:line="276"/>
      </w:pPr>
      <w:r>
        <w:rPr>
          <w:rFonts w:ascii="Calibri" w:cs="Calibri" w:eastAsia="Calibri" w:hAnsi="Calibri"/>
          <w:color w:val="3A3A3A"/>
          <w:sz w:val="20"/>
          <w:szCs w:val="20"/>
        </w:rPr>
        <w:t xml:space="preserve">Reassess the patient-to-nurse ratio (currently 5.5) given it is close to the reference line across all units without exception, and study increasing nursing staff in the highest-risk unit (ICU) as a top priority.</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BUSINESS Q&amp;A</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What percentage of nurses are at risk of burnout?</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57.73% of nurses are in the “at risk of burnout” zone, while only 2.16% have reached a very high critical level (High Burnout).</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What is the expected financial cost of turnover risk?</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An estimated $25.6 million, calculated based on $50,000 per nurse with a high turnover-risk index (above 0.6).</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Which job category and unit record the highest burnout?</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The LPN category in the SICU unit records the highest burnout point in the entire matrix (2.15), followed by Charge RN in Med-Surg B (2.09).</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Is there a relationship between years of experience and burnout level?</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Yes; burnout rises noticeably and fluctuates in the 10–20 year experience range, the group most prone to cumulative fatigue despite being the most experienced.</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Which unit is highest in turnover risk and its cost?</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The ICU unit is highest in both turnover-risk percentage (11.3%) and associated estimated cost ($3.05 million).</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RECOMMENDATIONS</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Launch an urgent, targeted psychological support program for the LPN category in the SICU unit, as the most critical case in the burnout data.</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Design a dedicated retention track for nurses in the 10–20 year experience range, given their high value and greater exposure to the burnout peak.</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Adopt High Turnover Risk % as a core performance metric for unit managers since its financial impact is direct and precisely measurable (every reduction in the rate = direct financial savings).</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Study increasing nursing-staff numbers in the ICU unit specifically as a first step, since it is highest in both turnover risk and its associated estimated cost.</w:t>
      </w:r>
    </w:p>
    <w:p>
      <w:pPr>
        <w:pageBreakBefore/>
        <w:pBdr>
          <w:bottom w:val="single" w:color="0E8388" w:sz="16" w:space="8"/>
        </w:pBdr>
        <w:spacing w:after="40" w:before="0"/>
      </w:pPr>
      <w:r>
        <w:rPr>
          <w:rFonts w:ascii="Calibri" w:cs="Calibri" w:eastAsia="Calibri" w:hAnsi="Calibri"/>
          <w:b/>
          <w:bCs/>
          <w:color w:val="0E8388"/>
          <w:spacing w:val="20"/>
          <w:sz w:val="20"/>
          <w:szCs w:val="20"/>
        </w:rPr>
        <w:t xml:space="preserve">DASHBOARD 8</w:t>
      </w:r>
    </w:p>
    <w:p>
      <w:pPr>
        <w:spacing w:after="60" w:before="40"/>
      </w:pPr>
      <w:r>
        <w:rPr>
          <w:rFonts w:ascii="Calibri" w:cs="Calibri" w:eastAsia="Calibri" w:hAnsi="Calibri"/>
          <w:b/>
          <w:bCs/>
          <w:color w:val="0B3D5C"/>
          <w:sz w:val="40"/>
          <w:szCs w:val="40"/>
        </w:rPr>
        <w:t xml:space="preserve">OR Efficiency Dashboard</w:t>
      </w:r>
    </w:p>
    <w:p>
      <w:pPr>
        <w:spacing w:after="260" w:before="0"/>
      </w:pPr>
      <w:r>
        <w:rPr>
          <w:rFonts w:ascii="Calibri" w:cs="Calibri" w:eastAsia="Calibri" w:hAnsi="Calibri"/>
          <w:i/>
          <w:iCs/>
          <w:color w:val="0E8388"/>
          <w:sz w:val="22"/>
          <w:szCs w:val="22"/>
        </w:rPr>
        <w:t xml:space="preserve">Operating Room Efficiency</w:t>
      </w:r>
    </w:p>
    <w:p>
      <w:pPr>
        <w:spacing w:after="240" w:before="0" w:line="288"/>
        <w:jc w:val="left"/>
      </w:pPr>
      <w:r>
        <w:rPr>
          <w:rFonts w:ascii="Calibri" w:cs="Calibri" w:eastAsia="Calibri" w:hAnsi="Calibri"/>
          <w:b w:val="false"/>
          <w:bCs w:val="false"/>
          <w:i w:val="false"/>
          <w:iCs w:val="false"/>
          <w:color w:val="3A3A3A"/>
          <w:sz w:val="22"/>
          <w:szCs w:val="22"/>
        </w:rPr>
        <w:t xml:space="preserve">Tracking operating-room usage efficiency in terms of surgery time, turnover time between cases, and overall utilization rate, and matching it against admission scheduling and bed occupancy.</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000"/>
      </w:tblGrid>
      <w:tr>
        <w:trPr>
          <w:tblHeader/>
        </w:trPr>
        <w:tc>
          <w:tcPr>
            <w:tcW w:type="pct" w:w="32%"/>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KEY INDICATOR</w:t>
            </w:r>
          </w:p>
        </w:tc>
        <w:tc>
          <w:tcPr>
            <w:tcW w:type="pct" w:w="18%"/>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VALUE</w:t>
            </w:r>
          </w:p>
        </w:tc>
        <w:tc>
          <w:tcPr>
            <w:tcW w:type="pct" w:w="50%"/>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DESCRIPTION</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Average of actual_or_minutes</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92.77</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Average actual time inside the operating room, in minutes, per surgical case.</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Avg OR Turnover Mins</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34.6</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Average turnover time between one case and the next in the same OR.</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OR Encounters</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1M</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Number of cases that included an actual surgical procedure (has a CPT code).</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Door To Doctor Mins</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27.90</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Same metric as in the Patient Flow dashboard, shown here to link admission speed with OR scheduling.</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Bed Occupancy % Avg</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81.96%</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Same overall bed-occupancy metric, shown here because its rise affects post-op scheduling and the patient discharge pathway.</w:t>
            </w:r>
          </w:p>
        </w:tc>
      </w:tr>
    </w:tbl>
    <w:p>
      <w:pPr>
        <w:spacing w:after="60"/>
      </w:pPr>
    </w:p>
    <w:p>
      <w:pPr>
        <w:pBdr>
          <w:left w:val="single" w:color="0E8388" w:sz="24" w:space="6"/>
        </w:pBdr>
        <w:spacing w:after="140" w:before="320"/>
        <w:ind w:left="100"/>
      </w:pPr>
      <w:r>
        <w:rPr>
          <w:rFonts w:ascii="Calibri" w:cs="Calibri" w:eastAsia="Calibri" w:hAnsi="Calibri"/>
          <w:b/>
          <w:bCs/>
          <w:color w:val="0B3D5C"/>
          <w:spacing w:val="8"/>
          <w:sz w:val="26"/>
          <w:szCs w:val="26"/>
        </w:rPr>
        <w:t xml:space="preserve">VISUALS BREAKDOWN</w:t>
      </w:r>
    </w:p>
    <w:p>
      <w:pPr>
        <w:spacing w:after="60" w:before="160"/>
      </w:pPr>
      <w:r>
        <w:rPr>
          <w:rFonts w:ascii="Calibri" w:cs="Calibri" w:eastAsia="Calibri" w:hAnsi="Calibri"/>
          <w:b/>
          <w:bCs/>
          <w:color w:val="1F5C8B"/>
          <w:sz w:val="21"/>
          <w:szCs w:val="21"/>
        </w:rPr>
        <w:t xml:space="preserve">1. Avg OR Time (Mins) by Surgeon Specialty — Horizontal Bar Chart</w:t>
      </w:r>
    </w:p>
    <w:p>
      <w:pPr>
        <w:spacing w:after="100" w:before="0" w:line="288"/>
        <w:jc w:val="left"/>
      </w:pPr>
      <w:r>
        <w:rPr>
          <w:rFonts w:ascii="Calibri" w:cs="Calibri" w:eastAsia="Calibri" w:hAnsi="Calibri"/>
          <w:b w:val="false"/>
          <w:bCs w:val="false"/>
          <w:i w:val="false"/>
          <w:iCs w:val="false"/>
          <w:color w:val="3A3A3A"/>
          <w:sz w:val="20"/>
          <w:szCs w:val="20"/>
        </w:rPr>
        <w:t xml:space="preserve">Compares average actual OR time between five surgical specialties: General Surgery, Orthopedics, Cardiothoracic, Urology, Neurosurgery. The bars are very close in length (all near the 90–95 minute range), meaning OR time here is primarily driven by the type of procedure itself more than being a general property of the specialty.</w:t>
      </w:r>
    </w:p>
    <w:p>
      <w:pPr>
        <w:spacing w:after="60" w:before="160"/>
      </w:pPr>
      <w:r>
        <w:rPr>
          <w:rFonts w:ascii="Calibri" w:cs="Calibri" w:eastAsia="Calibri" w:hAnsi="Calibri"/>
          <w:b/>
          <w:bCs/>
          <w:color w:val="1F5C8B"/>
          <w:sz w:val="21"/>
          <w:szCs w:val="21"/>
        </w:rPr>
        <w:t xml:space="preserve">2. Avg OR Time (Mins) by Surgical Procedure — Horizontal Bar Chart</w:t>
      </w:r>
    </w:p>
    <w:p>
      <w:pPr>
        <w:spacing w:after="100" w:before="0" w:line="288"/>
        <w:jc w:val="left"/>
      </w:pPr>
      <w:r>
        <w:rPr>
          <w:rFonts w:ascii="Calibri" w:cs="Calibri" w:eastAsia="Calibri" w:hAnsi="Calibri"/>
          <w:b w:val="false"/>
          <w:bCs w:val="false"/>
          <w:i w:val="false"/>
          <w:iCs w:val="false"/>
          <w:color w:val="3A3A3A"/>
          <w:sz w:val="20"/>
          <w:szCs w:val="20"/>
        </w:rPr>
        <w:t xml:space="preserve">Ranks procedures by average actual OR time: CABG using arterial graft, single is the longest by a clear margin (~210 minutes), followed by Lobectomy, lung (~180) and Laparoscopic partial colectomy (~150), then Total hip arthroplasty, Total knee arthroplasty, Open treatment femoral fracture, and Laparoscopic sleeve gastrectomy, while Percutaneous coronary stent placement is shortest (~70 minutes). This ranking also explains why the CV line consumes longer average OR time as seen in the Patient Flow dashboard.</w:t>
      </w:r>
    </w:p>
    <w:p>
      <w:pPr>
        <w:spacing w:after="60" w:before="160"/>
      </w:pPr>
      <w:r>
        <w:rPr>
          <w:rFonts w:ascii="Calibri" w:cs="Calibri" w:eastAsia="Calibri" w:hAnsi="Calibri"/>
          <w:b/>
          <w:bCs/>
          <w:color w:val="1F5C8B"/>
          <w:sz w:val="21"/>
          <w:szCs w:val="21"/>
        </w:rPr>
        <w:t xml:space="preserve">3. OR Time and Turnover Trend (Monthly) — Dual-Line Chart</w:t>
      </w:r>
    </w:p>
    <w:p>
      <w:pPr>
        <w:spacing w:after="100" w:before="0" w:line="288"/>
        <w:jc w:val="left"/>
      </w:pPr>
      <w:r>
        <w:rPr>
          <w:rFonts w:ascii="Calibri" w:cs="Calibri" w:eastAsia="Calibri" w:hAnsi="Calibri"/>
          <w:b w:val="false"/>
          <w:bCs w:val="false"/>
          <w:i w:val="false"/>
          <w:iCs w:val="false"/>
          <w:color w:val="3A3A3A"/>
          <w:sz w:val="20"/>
          <w:szCs w:val="20"/>
        </w:rPr>
        <w:t xml:space="preserve">Tracks the monthly trend of both average actual time (primary axis, a very narrow 92.3–93.0 minute range) and average turnover time (secondary axis, 34.55–34.65 minute range) from January to December. Both lines are nearly flat throughout the year without a clear upward or downward trend, meaning OR efficiency is relatively stable across months without seasonal deterioration.</w:t>
      </w:r>
    </w:p>
    <w:p>
      <w:pPr>
        <w:spacing w:after="60" w:before="160"/>
      </w:pPr>
      <w:r>
        <w:rPr>
          <w:rFonts w:ascii="Calibri" w:cs="Calibri" w:eastAsia="Calibri" w:hAnsi="Calibri"/>
          <w:b/>
          <w:bCs/>
          <w:color w:val="1F5C8B"/>
          <w:sz w:val="21"/>
          <w:szCs w:val="21"/>
        </w:rPr>
        <w:t xml:space="preserve">4. Avg OR Turnover Time by Surgical Procedure — Horizontal Bar Chart</w:t>
      </w:r>
    </w:p>
    <w:p>
      <w:pPr>
        <w:spacing w:after="100" w:before="0" w:line="288"/>
        <w:jc w:val="left"/>
      </w:pPr>
      <w:r>
        <w:rPr>
          <w:rFonts w:ascii="Calibri" w:cs="Calibri" w:eastAsia="Calibri" w:hAnsi="Calibri"/>
          <w:b w:val="false"/>
          <w:bCs w:val="false"/>
          <w:i w:val="false"/>
          <w:iCs w:val="false"/>
          <w:color w:val="3A3A3A"/>
          <w:sz w:val="20"/>
          <w:szCs w:val="20"/>
        </w:rPr>
        <w:t xml:space="preserve">Compares average turnover time between cases by procedure type: Lithotripsy with ureteroscopy records the highest turnover time, followed by Laparoscopic partial colectomy, Percutaneous coronary stent placement, Incision and drainage (complex), Laparoscopic sleeve gastrectomy, Open treatment femoral fracture, Appendectomy, and Tube thoracostomy, while CABG using arterial graft, single records among the lowest turnover times despite being the longest procedure in surgery time itself — a logical pattern, since major cases like CABG are usually scheduled more carefully with more precise preparation compared to smaller, faster-turning procedures.</w:t>
      </w:r>
    </w:p>
    <w:p>
      <w:pPr>
        <w:shd w:fill="E4F3F3" w:color="auto" w:val="clear"/>
        <w:spacing w:after="200" w:before="100"/>
      </w:pPr>
      <w:r>
        <w:rPr>
          <w:rFonts w:ascii="Calibri" w:cs="Calibri" w:eastAsia="Calibri" w:hAnsi="Calibri"/>
          <w:i/>
          <w:iCs/>
          <w:color w:val="0B3D5C"/>
          <w:sz w:val="19"/>
          <w:szCs w:val="19"/>
        </w:rPr>
        <w:t xml:space="preserve">🔎  Slicers: year (2024), cpt_code, surgeon_specialty.</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THREE-LAYER ANALYSIS</w:t>
      </w:r>
    </w:p>
    <w:p>
      <w:pPr>
        <w:shd w:fill="E9F5EF" w:color="auto" w:val="clear"/>
        <w:spacing w:after="90" w:before="200"/>
      </w:pPr>
      <w:r>
        <w:rPr>
          <w:rFonts w:ascii="Calibri" w:cs="Calibri" w:eastAsia="Calibri" w:hAnsi="Calibri"/>
          <w:b/>
          <w:bCs/>
          <w:color w:val="1F5C8B"/>
          <w:spacing w:val="4"/>
          <w:sz w:val="21"/>
          <w:szCs w:val="21"/>
        </w:rPr>
        <w:t xml:space="preserve">I.  DESCRIPTIVE — What is happening?</w:t>
      </w:r>
    </w:p>
    <w:p>
      <w:pPr>
        <w:pStyle w:val="ListParagraph"/>
        <w:numPr>
          <w:ilvl w:val="0"/>
          <w:numId w:val="1"/>
        </w:numPr>
        <w:spacing w:after="100" w:line="276"/>
      </w:pPr>
      <w:r>
        <w:rPr>
          <w:rFonts w:ascii="Calibri" w:cs="Calibri" w:eastAsia="Calibri" w:hAnsi="Calibri"/>
          <w:color w:val="3A3A3A"/>
          <w:sz w:val="20"/>
          <w:szCs w:val="20"/>
        </w:rPr>
        <w:t xml:space="preserve">Average actual time per surgical case is 92.77 minutes, and average turnover time between cases is 34.6 minutes — both slightly above the usual industry turnover benchmark (under 30 minutes).</w:t>
      </w:r>
    </w:p>
    <w:p>
      <w:pPr>
        <w:pStyle w:val="ListParagraph"/>
        <w:numPr>
          <w:ilvl w:val="0"/>
          <w:numId w:val="1"/>
        </w:numPr>
        <w:spacing w:after="100" w:line="276"/>
      </w:pPr>
      <w:r>
        <w:rPr>
          <w:rFonts w:ascii="Calibri" w:cs="Calibri" w:eastAsia="Calibri" w:hAnsi="Calibri"/>
          <w:color w:val="3A3A3A"/>
          <w:sz w:val="20"/>
          <w:szCs w:val="20"/>
        </w:rPr>
        <w:t xml:space="preserve">Surgery time varies significantly by procedure type (from ~70 to ~210 minutes) but is nearly constant across the five surgical specialties overall.</w:t>
      </w:r>
    </w:p>
    <w:p>
      <w:pPr>
        <w:pStyle w:val="ListParagraph"/>
        <w:numPr>
          <w:ilvl w:val="0"/>
          <w:numId w:val="1"/>
        </w:numPr>
        <w:spacing w:after="100" w:line="276"/>
      </w:pPr>
      <w:r>
        <w:rPr>
          <w:rFonts w:ascii="Calibri" w:cs="Calibri" w:eastAsia="Calibri" w:hAnsi="Calibri"/>
          <w:color w:val="3A3A3A"/>
          <w:sz w:val="20"/>
          <w:szCs w:val="20"/>
        </w:rPr>
        <w:t xml:space="preserve">The monthly trend for both actual time and turnover time is nearly stable throughout the year without noticeable deterioration or improvement.</w:t>
      </w:r>
    </w:p>
    <w:p>
      <w:pPr>
        <w:shd w:fill="FBF1E0" w:color="auto" w:val="clear"/>
        <w:spacing w:after="90" w:before="200"/>
      </w:pPr>
      <w:r>
        <w:rPr>
          <w:rFonts w:ascii="Calibri" w:cs="Calibri" w:eastAsia="Calibri" w:hAnsi="Calibri"/>
          <w:b/>
          <w:bCs/>
          <w:color w:val="B5701A"/>
          <w:spacing w:val="4"/>
          <w:sz w:val="21"/>
          <w:szCs w:val="21"/>
        </w:rPr>
        <w:t xml:space="preserve">II.  DIAGNOSTIC — Why is it happening?</w:t>
      </w:r>
    </w:p>
    <w:p>
      <w:pPr>
        <w:pStyle w:val="ListParagraph"/>
        <w:numPr>
          <w:ilvl w:val="0"/>
          <w:numId w:val="1"/>
        </w:numPr>
        <w:spacing w:after="100" w:line="276"/>
      </w:pPr>
      <w:r>
        <w:rPr>
          <w:rFonts w:ascii="Calibri" w:cs="Calibri" w:eastAsia="Calibri" w:hAnsi="Calibri"/>
          <w:color w:val="3A3A3A"/>
          <w:sz w:val="20"/>
          <w:szCs w:val="20"/>
        </w:rPr>
        <w:t xml:space="preserve">The similarity of average actual time across the five specialties (all close to 90–95 minutes), despite differing procedure natures, indicates that the actual case-mix distribution within each specialty (a complex blend of long and short procedures) coincidentally produces a similar average, not because all specialties are equally complex; the more accurate comparison should be at the procedure level (procedure_display) as clearly shown in the second visual, not at the general specialty level.</w:t>
      </w:r>
    </w:p>
    <w:p>
      <w:pPr>
        <w:pStyle w:val="ListParagraph"/>
        <w:numPr>
          <w:ilvl w:val="0"/>
          <w:numId w:val="1"/>
        </w:numPr>
        <w:spacing w:after="100" w:line="276"/>
      </w:pPr>
      <w:r>
        <w:rPr>
          <w:rFonts w:ascii="Calibri" w:cs="Calibri" w:eastAsia="Calibri" w:hAnsi="Calibri"/>
          <w:color w:val="3A3A3A"/>
          <w:sz w:val="20"/>
          <w:szCs w:val="20"/>
        </w:rPr>
        <w:t xml:space="preserve">The overall average turnover time (34.6 minutes) exceeds the industry benchmark (30 minutes) by a small but consistently monthly margin, meaning it isn't the result of an occasional crisis but a routine operational practice that can be improved with simple organizational measures (pre-staging, coordinating transport and cleaning teams) without major capital changes.</w:t>
      </w:r>
    </w:p>
    <w:p>
      <w:pPr>
        <w:pStyle w:val="ListParagraph"/>
        <w:numPr>
          <w:ilvl w:val="0"/>
          <w:numId w:val="1"/>
        </w:numPr>
        <w:spacing w:after="100" w:line="276"/>
      </w:pPr>
      <w:r>
        <w:rPr>
          <w:rFonts w:ascii="Calibri" w:cs="Calibri" w:eastAsia="Calibri" w:hAnsi="Calibri"/>
          <w:color w:val="3A3A3A"/>
          <w:sz w:val="20"/>
          <w:szCs w:val="20"/>
        </w:rPr>
        <w:t xml:space="preserve">The relatively lower turnover time for major procedures (like CABG) compared to shorter ones like Lithotripsy indicates the OR team already dedicates greater care to preparing complex cases, and that the real improvement opportunity lies in speeding up turnover between small, frequently repeated procedures, not rare major ones.</w:t>
      </w:r>
    </w:p>
    <w:p>
      <w:pPr>
        <w:shd w:fill="E9F5EF" w:color="auto" w:val="clear"/>
        <w:spacing w:after="90" w:before="200"/>
      </w:pPr>
      <w:r>
        <w:rPr>
          <w:rFonts w:ascii="Calibri" w:cs="Calibri" w:eastAsia="Calibri" w:hAnsi="Calibri"/>
          <w:b/>
          <w:bCs/>
          <w:color w:val="2E7D5B"/>
          <w:spacing w:val="4"/>
          <w:sz w:val="21"/>
          <w:szCs w:val="21"/>
        </w:rPr>
        <w:t xml:space="preserve">III.  PRESCRIPTIVE — What should we do?</w:t>
      </w:r>
    </w:p>
    <w:p>
      <w:pPr>
        <w:pStyle w:val="ListParagraph"/>
        <w:numPr>
          <w:ilvl w:val="0"/>
          <w:numId w:val="1"/>
        </w:numPr>
        <w:spacing w:after="100" w:line="276"/>
      </w:pPr>
      <w:r>
        <w:rPr>
          <w:rFonts w:ascii="Calibri" w:cs="Calibri" w:eastAsia="Calibri" w:hAnsi="Calibri"/>
          <w:color w:val="3A3A3A"/>
          <w:sz w:val="20"/>
          <w:szCs w:val="20"/>
        </w:rPr>
        <w:t xml:space="preserve">Target reducing average turnover time from 34.6 minutes to under 30 minutes by reviewing the cleaning and setup process between cases, specifically for shorter, more frequent procedures like Lithotripsy and laparoscopic procedures.</w:t>
      </w:r>
    </w:p>
    <w:p>
      <w:pPr>
        <w:pStyle w:val="ListParagraph"/>
        <w:numPr>
          <w:ilvl w:val="0"/>
          <w:numId w:val="1"/>
        </w:numPr>
        <w:spacing w:after="100" w:line="276"/>
      </w:pPr>
      <w:r>
        <w:rPr>
          <w:rFonts w:ascii="Calibri" w:cs="Calibri" w:eastAsia="Calibri" w:hAnsi="Calibri"/>
          <w:color w:val="3A3A3A"/>
          <w:sz w:val="20"/>
          <w:szCs w:val="20"/>
        </w:rPr>
        <w:t xml:space="preserve">Build a procedure-specific OR time standard instead of one uniform general benchmark, given the large gap between 70 and 210 minutes across different procedures.</w:t>
      </w:r>
    </w:p>
    <w:p>
      <w:pPr>
        <w:pStyle w:val="ListParagraph"/>
        <w:numPr>
          <w:ilvl w:val="0"/>
          <w:numId w:val="1"/>
        </w:numPr>
        <w:spacing w:after="100" w:line="276"/>
      </w:pPr>
      <w:r>
        <w:rPr>
          <w:rFonts w:ascii="Calibri" w:cs="Calibri" w:eastAsia="Calibri" w:hAnsi="Calibri"/>
          <w:color w:val="3A3A3A"/>
          <w:sz w:val="20"/>
          <w:szCs w:val="20"/>
        </w:rPr>
        <w:t xml:space="preserve">Use the stability of the monthly trend as a baseline to precisely measure the impact of any future operational improvement, since current performance is stable and free of seasonal bias that would complicate comparison.</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BUSINESS Q&amp;A</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What is the longest surgical procedure in terms of actual time?</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CABG using arterial graft, single is the longest at an average close to 210 minutes, followed by Lobectomy, lung and Laparoscopic partial colectomy.</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Is the turnover time between cases within the industry benchmark?</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No; the overall average of 34.6 minutes exceeds the common industry benchmark of 30 minutes, though the difference is relatively slight.</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Is there a large variance between surgical specialties in OR time?</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No at the overall average level (all specialties are close to 90–95 minutes), but the real variance is clearly evident at the procedure level, not the specialty level.</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Is OR performance improving or deteriorating across months?</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There is no clear trend; both actual time and turnover time are nearly stable throughout the year.</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How can we improve the accuracy of our OR scheduling system to avoid delays and wasted time?</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The data indicates we should stop using a general average for scheduling and instead build a Block Scheduling plan based on the actual time required for each specific surgical procedure. For example, a procedure like CABG takes about 215 minutes, whereas an Incision and drainage takes only about 30 minutes.</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Do complex surgeries require more room-preparation time (turnover time) between cases?</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No — the analysis shows that turnover time between cases is relatively stable, ranging from 30 to 33 minutes for all procedures regardless of surgery complexity. This indicates a standardized and disciplined operational process for preparation and cleaning that should be maintained and documented as a standard benchmark.</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What is the hidden risk that could threaten the smooth flow of patient transfers from the OR?</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The overall bed occupancy rate, which has reached 81.96%, represents a significant operational risk. Approaching this critical threshold (85%) could lead to bottlenecks in transferring patients from the OR to inpatient wards post-surgery.</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RECOMMENDATIONS</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Launch a focused operational initiative to reduce turnover time in shorter, more frequent procedures (such as Lithotripsy) first, as they offer the highest opportunity for a quick, low-cost improvement.</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Adopt a different time benchmark for each procedure type when building OR schedules instead of a single uniform assumption, to reduce scheduling gaps.</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Track actual-time and turnover indicators monthly as a fixed baseline to measure the impact of any future operational improvement.</w:t>
      </w:r>
    </w:p>
    <w:p>
      <w:pPr>
        <w:pageBreakBefore/>
        <w:pBdr>
          <w:bottom w:val="single" w:color="0E8388" w:sz="16" w:space="8"/>
        </w:pBdr>
        <w:spacing w:after="40" w:before="0"/>
      </w:pPr>
      <w:r>
        <w:rPr>
          <w:rFonts w:ascii="Calibri" w:cs="Calibri" w:eastAsia="Calibri" w:hAnsi="Calibri"/>
          <w:b/>
          <w:bCs/>
          <w:color w:val="0E8388"/>
          <w:spacing w:val="20"/>
          <w:sz w:val="20"/>
          <w:szCs w:val="20"/>
        </w:rPr>
        <w:t xml:space="preserve">DASHBOARD 9</w:t>
      </w:r>
    </w:p>
    <w:p>
      <w:pPr>
        <w:spacing w:after="60" w:before="40"/>
      </w:pPr>
      <w:r>
        <w:rPr>
          <w:rFonts w:ascii="Calibri" w:cs="Calibri" w:eastAsia="Calibri" w:hAnsi="Calibri"/>
          <w:b/>
          <w:bCs/>
          <w:color w:val="0B3D5C"/>
          <w:sz w:val="40"/>
          <w:szCs w:val="40"/>
        </w:rPr>
        <w:t xml:space="preserve">Supply Chain Dashboard</w:t>
      </w:r>
    </w:p>
    <w:p>
      <w:pPr>
        <w:spacing w:after="260" w:before="0"/>
      </w:pPr>
      <w:r>
        <w:rPr>
          <w:rFonts w:ascii="Calibri" w:cs="Calibri" w:eastAsia="Calibri" w:hAnsi="Calibri"/>
          <w:i/>
          <w:iCs/>
          <w:color w:val="0E8388"/>
          <w:sz w:val="22"/>
          <w:szCs w:val="22"/>
        </w:rPr>
        <w:t xml:space="preserve">Surgical Supply Chain</w:t>
      </w:r>
    </w:p>
    <w:p>
      <w:pPr>
        <w:spacing w:after="240" w:before="0" w:line="288"/>
        <w:jc w:val="left"/>
      </w:pPr>
      <w:r>
        <w:rPr>
          <w:rFonts w:ascii="Calibri" w:cs="Calibri" w:eastAsia="Calibri" w:hAnsi="Calibri"/>
          <w:b w:val="false"/>
          <w:bCs w:val="false"/>
          <w:i w:val="false"/>
          <w:iCs w:val="false"/>
          <w:color w:val="3A3A3A"/>
          <w:sz w:val="22"/>
          <w:szCs w:val="22"/>
        </w:rPr>
        <w:t xml:space="preserve">Tracking inventory of surgical kits, stockout risk, expiration dates, and projected demand, to ensure operational continuity without disruption due to supply shortages.</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000"/>
      </w:tblGrid>
      <w:tr>
        <w:trPr>
          <w:tblHeader/>
        </w:trPr>
        <w:tc>
          <w:tcPr>
            <w:tcW w:type="pct" w:w="32%"/>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KEY INDICATOR</w:t>
            </w:r>
          </w:p>
        </w:tc>
        <w:tc>
          <w:tcPr>
            <w:tcW w:type="pct" w:w="18%"/>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VALUE</w:t>
            </w:r>
          </w:p>
        </w:tc>
        <w:tc>
          <w:tcPr>
            <w:tcW w:type="pct" w:w="50%"/>
            <w:tcBorders>
              <w:top w:val="single" w:color="0B3D5C" w:sz="4"/>
              <w:left w:val="single" w:color="0B3D5C" w:sz="4"/>
              <w:bottom w:val="single" w:color="0B3D5C" w:sz="4"/>
              <w:right w:val="single" w:color="0B3D5C" w:sz="4"/>
            </w:tcBorders>
            <w:shd w:fill="0B3D5C" w:color="auto" w:val="clear"/>
            <w:tcMar>
              <w:top w:type="dxa" w:w="100"/>
              <w:left w:type="dxa" w:w="140"/>
              <w:bottom w:type="dxa" w:w="100"/>
              <w:right w:type="dxa" w:w="140"/>
            </w:tcMar>
            <w:vAlign w:val="center"/>
          </w:tcPr>
          <w:p>
            <w:pPr>
              <w:jc w:val="left"/>
            </w:pPr>
            <w:r>
              <w:rPr>
                <w:rFonts w:ascii="Calibri" w:cs="Calibri" w:eastAsia="Calibri" w:hAnsi="Calibri"/>
                <w:b/>
                <w:bCs/>
                <w:color w:val="FFFFFF"/>
                <w:spacing w:val="6"/>
                <w:sz w:val="19"/>
                <w:szCs w:val="19"/>
              </w:rPr>
              <w:t xml:space="preserve">DESCRIPTION</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Expiry Risk Kits</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13</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Number of surgical kits at risk of expiring before being consumed.</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Stockout Risk Count</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6</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Number of kits whose current inventory has reached or fallen below the reorder point.</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Critical Kits (&lt; 7 Days)</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5</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Number of kits in a critical state (less than 7 days of supply remaining).</w:t>
            </w:r>
          </w:p>
        </w:tc>
      </w:tr>
      <w:tr>
        <w:tc>
          <w:tcPr>
            <w:tcW w:type="pct" w:w="32%"/>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Average of days_of_supply</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12.99</w:t>
            </w:r>
          </w:p>
        </w:tc>
        <w:tc>
          <w:tcPr>
            <w:tcW w:type="pct" w:w="50%"/>
            <w:tcBorders>
              <w:top w:val="single" w:color="D9DEE2" w:sz="4"/>
              <w:left w:val="single" w:color="D9DEE2" w:sz="4"/>
              <w:bottom w:val="single" w:color="D9DEE2" w:sz="4"/>
              <w:right w:val="single" w:color="D9DEE2" w:sz="4"/>
            </w:tcBorders>
            <w:shd w:fill="F4F6F7"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Average number of days of supply remaining across all kits.</w:t>
            </w:r>
          </w:p>
        </w:tc>
      </w:tr>
      <w:tr>
        <w:tc>
          <w:tcPr>
            <w:tcW w:type="pct" w:w="32%"/>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b/>
                <w:bCs/>
                <w:color w:val="0B3D5C"/>
                <w:sz w:val="20"/>
                <w:szCs w:val="20"/>
              </w:rPr>
              <w:t xml:space="preserve">Supply Cost Per Admission</w:t>
            </w:r>
          </w:p>
        </w:tc>
        <w:tc>
          <w:tcPr>
            <w:tcW w:type="pct" w:w="18%"/>
            <w:tcBorders>
              <w:top w:val="single" w:color="D9DEE2" w:sz="4"/>
              <w:left w:val="single" w:color="D9DEE2" w:sz="4"/>
              <w:bottom w:val="single" w:color="D9DEE2" w:sz="4"/>
              <w:right w:val="single" w:color="D9DEE2" w:sz="4"/>
            </w:tcBorders>
            <w:shd w:fill="E4F3F3" w:color="auto" w:val="clear"/>
            <w:tcMar>
              <w:top w:type="dxa" w:w="120"/>
              <w:left w:type="dxa" w:w="140"/>
              <w:bottom w:type="dxa" w:w="120"/>
              <w:right w:type="dxa" w:w="140"/>
            </w:tcMar>
            <w:vAlign w:val="center"/>
          </w:tcPr>
          <w:p>
            <w:pPr>
              <w:jc w:val="center"/>
            </w:pPr>
            <w:r>
              <w:rPr>
                <w:rFonts w:ascii="Calibri" w:cs="Calibri" w:eastAsia="Calibri" w:hAnsi="Calibri"/>
                <w:b/>
                <w:bCs/>
                <w:color w:val="0E8388"/>
                <w:sz w:val="24"/>
                <w:szCs w:val="24"/>
              </w:rPr>
              <w:t xml:space="preserve">$256.12</w:t>
            </w:r>
          </w:p>
        </w:tc>
        <w:tc>
          <w:tcPr>
            <w:tcW w:type="pct" w:w="50%"/>
            <w:tcBorders>
              <w:top w:val="single" w:color="D9DEE2" w:sz="4"/>
              <w:left w:val="single" w:color="D9DEE2" w:sz="4"/>
              <w:bottom w:val="single" w:color="D9DEE2" w:sz="4"/>
              <w:right w:val="single" w:color="D9DEE2" w:sz="4"/>
            </w:tcBorders>
            <w:shd w:fill="FFFFFF" w:color="auto" w:val="clear"/>
            <w:tcMar>
              <w:top w:type="dxa" w:w="120"/>
              <w:left w:type="dxa" w:w="140"/>
              <w:bottom w:type="dxa" w:w="120"/>
              <w:right w:type="dxa" w:w="140"/>
            </w:tcMar>
            <w:vAlign w:val="center"/>
          </w:tcPr>
          <w:p>
            <w:r>
              <w:rPr>
                <w:rFonts w:ascii="Calibri" w:cs="Calibri" w:eastAsia="Calibri" w:hAnsi="Calibri"/>
                <w:color w:val="3A3A3A"/>
                <w:sz w:val="19"/>
                <w:szCs w:val="19"/>
              </w:rPr>
              <w:t xml:space="preserve">Average supply cost (surgical kit + general consumables) per admission.</w:t>
            </w:r>
          </w:p>
        </w:tc>
      </w:tr>
    </w:tbl>
    <w:p>
      <w:pPr>
        <w:spacing w:after="60"/>
      </w:pPr>
    </w:p>
    <w:p>
      <w:pPr>
        <w:pBdr>
          <w:left w:val="single" w:color="0E8388" w:sz="24" w:space="6"/>
        </w:pBdr>
        <w:spacing w:after="140" w:before="320"/>
        <w:ind w:left="100"/>
      </w:pPr>
      <w:r>
        <w:rPr>
          <w:rFonts w:ascii="Calibri" w:cs="Calibri" w:eastAsia="Calibri" w:hAnsi="Calibri"/>
          <w:b/>
          <w:bCs/>
          <w:color w:val="0B3D5C"/>
          <w:spacing w:val="8"/>
          <w:sz w:val="26"/>
          <w:szCs w:val="26"/>
        </w:rPr>
        <w:t xml:space="preserve">VISUALS BREAKDOWN</w:t>
      </w:r>
    </w:p>
    <w:p>
      <w:pPr>
        <w:spacing w:after="60" w:before="160"/>
      </w:pPr>
      <w:r>
        <w:rPr>
          <w:rFonts w:ascii="Calibri" w:cs="Calibri" w:eastAsia="Calibri" w:hAnsi="Calibri"/>
          <w:b/>
          <w:bCs/>
          <w:color w:val="1F5C8B"/>
          <w:sz w:val="21"/>
          <w:szCs w:val="21"/>
        </w:rPr>
        <w:t xml:space="preserve">1. Kit Current Stock vs Reorder Point by Kit Name — Column Chart</w:t>
      </w:r>
    </w:p>
    <w:p>
      <w:pPr>
        <w:spacing w:after="100" w:before="0" w:line="288"/>
        <w:jc w:val="left"/>
      </w:pPr>
      <w:r>
        <w:rPr>
          <w:rFonts w:ascii="Calibri" w:cs="Calibri" w:eastAsia="Calibri" w:hAnsi="Calibri"/>
          <w:b w:val="false"/>
          <w:bCs w:val="false"/>
          <w:i w:val="false"/>
          <w:iCs w:val="false"/>
          <w:color w:val="3A3A3A"/>
          <w:sz w:val="20"/>
          <w:szCs w:val="20"/>
        </w:rPr>
        <w:t xml:space="preserve">Compares average current stock (Average of kit_current_stock) with the reorder point (Sum of kit_reorder_point) for each surgical kit individually. Kits where the first column approaches or falls below the reorder line are a direct signal for the purchasing team to issue an immediate purchase order.</w:t>
      </w:r>
    </w:p>
    <w:p>
      <w:pPr>
        <w:spacing w:after="60" w:before="160"/>
      </w:pPr>
      <w:r>
        <w:rPr>
          <w:rFonts w:ascii="Calibri" w:cs="Calibri" w:eastAsia="Calibri" w:hAnsi="Calibri"/>
          <w:b/>
          <w:bCs/>
          <w:color w:val="1F5C8B"/>
          <w:sz w:val="21"/>
          <w:szCs w:val="21"/>
        </w:rPr>
        <w:t xml:space="preserve">2. Days of Supply by Kit (Colored by Risk Status) — Column Chart, color-coded by status</w:t>
      </w:r>
    </w:p>
    <w:p>
      <w:pPr>
        <w:spacing w:after="100" w:before="0" w:line="288"/>
        <w:jc w:val="left"/>
      </w:pPr>
      <w:r>
        <w:rPr>
          <w:rFonts w:ascii="Calibri" w:cs="Calibri" w:eastAsia="Calibri" w:hAnsi="Calibri"/>
          <w:b w:val="false"/>
          <w:bCs w:val="false"/>
          <w:i w:val="false"/>
          <w:iCs w:val="false"/>
          <w:color w:val="3A3A3A"/>
          <w:sz w:val="20"/>
          <w:szCs w:val="20"/>
        </w:rPr>
        <w:t xml:space="preserve">Shows remaining days of coverage per kit with color coding by status (CRITICAL red / WARNING yellow / OK green). The list includes 14 kits (APPY-KIT, HERNIA-KIT, LAP-COLEC-KIT, LITHO-KIT, TKA-KIT, BARIAT-KIT, CABG-KIT, IND-KIT, ORIF-FEM-KIT, PCI-KIT, THA-KIT, THORAC-KIT, CHEST-TUBE-KIT, LAP-CHOLE-KIT) with varying expiration dates ranging from early 2025 to mid-2026, allowing precise prioritization of reorders.</w:t>
      </w:r>
    </w:p>
    <w:p>
      <w:pPr>
        <w:spacing w:after="60" w:before="160"/>
      </w:pPr>
      <w:r>
        <w:rPr>
          <w:rFonts w:ascii="Calibri" w:cs="Calibri" w:eastAsia="Calibri" w:hAnsi="Calibri"/>
          <w:b/>
          <w:bCs/>
          <w:color w:val="1F5C8B"/>
          <w:sz w:val="21"/>
          <w:szCs w:val="21"/>
        </w:rPr>
        <w:t xml:space="preserve">3. Projected 4-Week Demand vs Historical Demand by Kit — Combo Chart</w:t>
      </w:r>
    </w:p>
    <w:p>
      <w:pPr>
        <w:spacing w:after="100" w:before="0" w:line="288"/>
        <w:jc w:val="left"/>
      </w:pPr>
      <w:r>
        <w:rPr>
          <w:rFonts w:ascii="Calibri" w:cs="Calibri" w:eastAsia="Calibri" w:hAnsi="Calibri"/>
          <w:b w:val="false"/>
          <w:bCs w:val="false"/>
          <w:i w:val="false"/>
          <w:iCs w:val="false"/>
          <w:color w:val="3A3A3A"/>
          <w:sz w:val="20"/>
          <w:szCs w:val="20"/>
        </w:rPr>
        <w:t xml:space="preserve">Compares projected demand over 4 weeks (Sum of projected_demand_4wk) with actual historical demand for the same period (Historical 4-Week Demand) per kit, to detect any kit expected to have demand much higher than its historical pattern and needing early adjustment of the purchasing plan.</w:t>
      </w:r>
    </w:p>
    <w:p>
      <w:pPr>
        <w:spacing w:after="60" w:before="160"/>
      </w:pPr>
      <w:r>
        <w:rPr>
          <w:rFonts w:ascii="Calibri" w:cs="Calibri" w:eastAsia="Calibri" w:hAnsi="Calibri"/>
          <w:b/>
          <w:bCs/>
          <w:color w:val="1F5C8B"/>
          <w:sz w:val="21"/>
          <w:szCs w:val="21"/>
        </w:rPr>
        <w:t xml:space="preserve">4. Surgical Kit Cost by Procedure Type — Horizontal Bar Chart</w:t>
      </w:r>
    </w:p>
    <w:p>
      <w:pPr>
        <w:spacing w:after="100" w:before="0" w:line="288"/>
        <w:jc w:val="left"/>
      </w:pPr>
      <w:r>
        <w:rPr>
          <w:rFonts w:ascii="Calibri" w:cs="Calibri" w:eastAsia="Calibri" w:hAnsi="Calibri"/>
          <w:b w:val="false"/>
          <w:bCs w:val="false"/>
          <w:i w:val="false"/>
          <w:iCs w:val="false"/>
          <w:color w:val="3A3A3A"/>
          <w:sz w:val="20"/>
          <w:szCs w:val="20"/>
        </w:rPr>
        <w:t xml:space="preserve">Ranks procedures by total surgical-kit cost (Sum of kit_unit_cost_usd): Total hip arthroplasty, Total knee arthroplasty, and Percutaneous coronary stent placement are among the highest-cost procedures in terms of kit cost, while Incision and drainage, Tube thoracostomy, and Appendectomy are among the lowest.</w:t>
      </w:r>
    </w:p>
    <w:p>
      <w:pPr>
        <w:spacing w:after="60" w:before="160"/>
      </w:pPr>
      <w:r>
        <w:rPr>
          <w:rFonts w:ascii="Calibri" w:cs="Calibri" w:eastAsia="Calibri" w:hAnsi="Calibri"/>
          <w:b/>
          <w:bCs/>
          <w:color w:val="1F5C8B"/>
          <w:sz w:val="21"/>
          <w:szCs w:val="21"/>
        </w:rPr>
        <w:t xml:space="preserve">5. Avg Supply Cost Per Admission by Diagnosis Category — Bar Chart</w:t>
      </w:r>
    </w:p>
    <w:p>
      <w:pPr>
        <w:spacing w:after="100" w:before="0" w:line="288"/>
        <w:jc w:val="left"/>
      </w:pPr>
      <w:r>
        <w:rPr>
          <w:rFonts w:ascii="Calibri" w:cs="Calibri" w:eastAsia="Calibri" w:hAnsi="Calibri"/>
          <w:b w:val="false"/>
          <w:bCs w:val="false"/>
          <w:i w:val="false"/>
          <w:iCs w:val="false"/>
          <w:color w:val="3A3A3A"/>
          <w:sz w:val="20"/>
          <w:szCs w:val="20"/>
        </w:rPr>
        <w:t xml:space="preserve">Distributes average supply cost per admission by diagnosis category (including DERM and others), allowing supply-chain cost to be linked directly to each clinical service line instead of being treated as a single uniform overhead cost.</w:t>
      </w:r>
    </w:p>
    <w:p>
      <w:pPr>
        <w:shd w:fill="E4F3F3" w:color="auto" w:val="clear"/>
        <w:spacing w:after="200" w:before="100"/>
      </w:pPr>
      <w:r>
        <w:rPr>
          <w:rFonts w:ascii="Calibri" w:cs="Calibri" w:eastAsia="Calibri" w:hAnsi="Calibri"/>
          <w:i/>
          <w:iCs/>
          <w:color w:val="0B3D5C"/>
          <w:sz w:val="19"/>
          <w:szCs w:val="19"/>
        </w:rPr>
        <w:t xml:space="preserve">🔎  Slicers: Supply Status, cpt_code.</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THREE-LAYER ANALYSIS</w:t>
      </w:r>
    </w:p>
    <w:p>
      <w:pPr>
        <w:shd w:fill="E9F5EF" w:color="auto" w:val="clear"/>
        <w:spacing w:after="90" w:before="200"/>
      </w:pPr>
      <w:r>
        <w:rPr>
          <w:rFonts w:ascii="Calibri" w:cs="Calibri" w:eastAsia="Calibri" w:hAnsi="Calibri"/>
          <w:b/>
          <w:bCs/>
          <w:color w:val="1F5C8B"/>
          <w:spacing w:val="4"/>
          <w:sz w:val="21"/>
          <w:szCs w:val="21"/>
        </w:rPr>
        <w:t xml:space="preserve">I.  DESCRIPTIVE — What is happening?</w:t>
      </w:r>
    </w:p>
    <w:p>
      <w:pPr>
        <w:pStyle w:val="ListParagraph"/>
        <w:numPr>
          <w:ilvl w:val="0"/>
          <w:numId w:val="1"/>
        </w:numPr>
        <w:spacing w:after="100" w:line="276"/>
      </w:pPr>
      <w:r>
        <w:rPr>
          <w:rFonts w:ascii="Calibri" w:cs="Calibri" w:eastAsia="Calibri" w:hAnsi="Calibri"/>
          <w:color w:val="3A3A3A"/>
          <w:sz w:val="20"/>
          <w:szCs w:val="20"/>
        </w:rPr>
        <w:t xml:space="preserve">13 kits are at risk of expiration, versus only 6 kits at risk of stockout and 5 kits in critical status (less than 7 days) — meaning expiration risk is currently numerically greater than stockout risk.</w:t>
      </w:r>
    </w:p>
    <w:p>
      <w:pPr>
        <w:pStyle w:val="ListParagraph"/>
        <w:numPr>
          <w:ilvl w:val="0"/>
          <w:numId w:val="1"/>
        </w:numPr>
        <w:spacing w:after="100" w:line="276"/>
      </w:pPr>
      <w:r>
        <w:rPr>
          <w:rFonts w:ascii="Calibri" w:cs="Calibri" w:eastAsia="Calibri" w:hAnsi="Calibri"/>
          <w:color w:val="3A3A3A"/>
          <w:sz w:val="20"/>
          <w:szCs w:val="20"/>
        </w:rPr>
        <w:t xml:space="preserve">The overall average coverage is only 12.99 days, a relatively low figure leaving a narrow safety margin for any unexpected supplier delay.</w:t>
      </w:r>
    </w:p>
    <w:p>
      <w:pPr>
        <w:pStyle w:val="ListParagraph"/>
        <w:numPr>
          <w:ilvl w:val="0"/>
          <w:numId w:val="1"/>
        </w:numPr>
        <w:spacing w:after="100" w:line="276"/>
      </w:pPr>
      <w:r>
        <w:rPr>
          <w:rFonts w:ascii="Calibri" w:cs="Calibri" w:eastAsia="Calibri" w:hAnsi="Calibri"/>
          <w:color w:val="3A3A3A"/>
          <w:sz w:val="20"/>
          <w:szCs w:val="20"/>
        </w:rPr>
        <w:t xml:space="preserve">Average supply cost per admission is $256.12, distributed unevenly by diagnosis category and procedure type.</w:t>
      </w:r>
    </w:p>
    <w:p>
      <w:pPr>
        <w:shd w:fill="FBF1E0" w:color="auto" w:val="clear"/>
        <w:spacing w:after="90" w:before="200"/>
      </w:pPr>
      <w:r>
        <w:rPr>
          <w:rFonts w:ascii="Calibri" w:cs="Calibri" w:eastAsia="Calibri" w:hAnsi="Calibri"/>
          <w:b/>
          <w:bCs/>
          <w:color w:val="B5701A"/>
          <w:spacing w:val="4"/>
          <w:sz w:val="21"/>
          <w:szCs w:val="21"/>
        </w:rPr>
        <w:t xml:space="preserve">II.  DIAGNOSTIC — Why is it happening?</w:t>
      </w:r>
    </w:p>
    <w:p>
      <w:pPr>
        <w:pStyle w:val="ListParagraph"/>
        <w:numPr>
          <w:ilvl w:val="0"/>
          <w:numId w:val="1"/>
        </w:numPr>
        <w:spacing w:after="100" w:line="276"/>
      </w:pPr>
      <w:r>
        <w:rPr>
          <w:rFonts w:ascii="Calibri" w:cs="Calibri" w:eastAsia="Calibri" w:hAnsi="Calibri"/>
          <w:color w:val="3A3A3A"/>
          <w:sz w:val="20"/>
          <w:szCs w:val="20"/>
        </w:rPr>
        <w:t xml:space="preserve">The relatively higher count of Expiry Risk kits (13) compared to Stockout Risk kits (6) indicates the current purchasing policy tends toward excessive caution (ordering relatively large quantities to avoid stockouts), which reduces operational-disruption risk but creates potential financial waste from expiration; the solution isn't to reduce inventory generally but to apply FEFO (First-Expired-First-Out) more strictly and classify kits by their actual turnover rate.</w:t>
      </w:r>
    </w:p>
    <w:p>
      <w:pPr>
        <w:pStyle w:val="ListParagraph"/>
        <w:numPr>
          <w:ilvl w:val="0"/>
          <w:numId w:val="1"/>
        </w:numPr>
        <w:spacing w:after="100" w:line="276"/>
      </w:pPr>
      <w:r>
        <w:rPr>
          <w:rFonts w:ascii="Calibri" w:cs="Calibri" w:eastAsia="Calibri" w:hAnsi="Calibri"/>
          <w:color w:val="3A3A3A"/>
          <w:sz w:val="20"/>
          <w:szCs w:val="20"/>
        </w:rPr>
        <w:t xml:space="preserve">With average coverage of only 12.99 days, any kit whose kit_lead_time_days is longer than this figure (expected for some imported or specialized kits) effectively lives in a permanent risk zone even if its current stock appears sufficient — this explains why 5 kits are critical despite the overall average coverage appearing reasonable on the surface.</w:t>
      </w:r>
    </w:p>
    <w:p>
      <w:pPr>
        <w:shd w:fill="E9F5EF" w:color="auto" w:val="clear"/>
        <w:spacing w:after="90" w:before="200"/>
      </w:pPr>
      <w:r>
        <w:rPr>
          <w:rFonts w:ascii="Calibri" w:cs="Calibri" w:eastAsia="Calibri" w:hAnsi="Calibri"/>
          <w:b/>
          <w:bCs/>
          <w:color w:val="2E7D5B"/>
          <w:spacing w:val="4"/>
          <w:sz w:val="21"/>
          <w:szCs w:val="21"/>
        </w:rPr>
        <w:t xml:space="preserve">III.  PRESCRIPTIVE — What should we do?</w:t>
      </w:r>
    </w:p>
    <w:p>
      <w:pPr>
        <w:pStyle w:val="ListParagraph"/>
        <w:numPr>
          <w:ilvl w:val="0"/>
          <w:numId w:val="1"/>
        </w:numPr>
        <w:spacing w:after="100" w:line="276"/>
      </w:pPr>
      <w:r>
        <w:rPr>
          <w:rFonts w:ascii="Calibri" w:cs="Calibri" w:eastAsia="Calibri" w:hAnsi="Calibri"/>
          <w:color w:val="3A3A3A"/>
          <w:sz w:val="20"/>
          <w:szCs w:val="20"/>
        </w:rPr>
        <w:t xml:space="preserve">Apply automatic, strict FEFO policy enforcement to reduce the 13 kits at risk of expiration without compromising the stockout safety level, in coordination with nursing and pharmacy teams on actual usage.</w:t>
      </w:r>
    </w:p>
    <w:p>
      <w:pPr>
        <w:pStyle w:val="ListParagraph"/>
        <w:numPr>
          <w:ilvl w:val="0"/>
          <w:numId w:val="1"/>
        </w:numPr>
        <w:spacing w:after="100" w:line="276"/>
      </w:pPr>
      <w:r>
        <w:rPr>
          <w:rFonts w:ascii="Calibri" w:cs="Calibri" w:eastAsia="Calibri" w:hAnsi="Calibri"/>
          <w:color w:val="3A3A3A"/>
          <w:sz w:val="20"/>
          <w:szCs w:val="20"/>
        </w:rPr>
        <w:t xml:space="preserve">Conduct an urgent review of the five critical-status kits to determine whether the cause is an actual supplier delay (longer than planned lead time) or an unexpected increase in consumption rate, with a different corrective action for each cause.</w:t>
      </w:r>
    </w:p>
    <w:p>
      <w:pPr>
        <w:pStyle w:val="ListParagraph"/>
        <w:numPr>
          <w:ilvl w:val="0"/>
          <w:numId w:val="1"/>
        </w:numPr>
        <w:spacing w:after="100" w:line="276"/>
      </w:pPr>
      <w:r>
        <w:rPr>
          <w:rFonts w:ascii="Calibri" w:cs="Calibri" w:eastAsia="Calibri" w:hAnsi="Calibri"/>
          <w:color w:val="3A3A3A"/>
          <w:sz w:val="20"/>
          <w:szCs w:val="20"/>
        </w:rPr>
        <w:t xml:space="preserve">Use the Projected vs. Historical Demand visual as a weekly forecasting tool rather than just a monthly report, to fine-tune order quantities specifically for high-cost kits.</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BUSINESS Q&amp;A</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Which is currently greater: stockout risk or expiration risk?</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Expiration risk is currently numerically greater (13 kits) compared to stockout risk (6 kits), indicating the current purchasing trend leans toward excessive caution.</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How many days of current inventory coverage does the hospital have on average?</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Only 12.99 days on average, a relatively narrow safety margin requiring close monitoring for any supplier delay.</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What is the highest-cost surgical procedure in terms of surgical kit?</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Total hip arthroplasty and Total knee arthroplasty are among the highest-cost procedures, while Incision and drainage and Tube thoracostomy are among the lowest.</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Which surgical kits threaten to immediately halt surgeries, and what is the root cause?</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There are 5 kits in a CRITICAL state with less than 5 days of supply: APPY, HERNIA, LAP-COLEC, LITHO, and TKA. The root cause is not the design of the reorder point, but rather the actual stock dropping significantly (to just 2–12 units) and falling below the reorder point. This indicates clear issues with suppliers adhering to delivery lead times.</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Is the current inventory and purchasing policy balanced and effective?</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No, the data reveals a prioritization imbalance. The most expensive surgical kits (like THA and ORIF orthopedic kits) have a safe inventory buffer of 15 to 35 days. In contrast, cheaper kits (like HERNIA and LITHO) are managed with a very tight safety margin (less than two days), even though their shortage can completely halt scheduled surgeries. The recommendation is to base the inventory policy on consumption rates and days of supply rather than just the financial value of the kit.</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What is the dual challenge facing our surgical kits inventory regarding availability and expiration?</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The data reveals a dual inventory challenge: while we are fighting severe stockouts in 5 critical kits, we simultaneously have 13 surgical kits at risk of expiration (Expiry Risk Kits) before their next scheduled shipment lead time. This inconsistency requires adjusting our purchasing policy to be more dynamic and strictly applying inventory rotation (FIFO) to prevent financial waste from the expiration of expensive or slow-moving kits.</w:t>
      </w:r>
    </w:p>
    <w:p>
      <w:pPr>
        <w:spacing w:after="40" w:before="160"/>
      </w:pPr>
      <w:r>
        <w:rPr>
          <w:rFonts w:ascii="Calibri" w:cs="Calibri" w:eastAsia="Calibri" w:hAnsi="Calibri"/>
          <w:b/>
          <w:bCs/>
          <w:color w:val="0E8388"/>
          <w:sz w:val="21"/>
          <w:szCs w:val="21"/>
        </w:rPr>
        <w:t xml:space="preserve">Q:  </w:t>
      </w:r>
      <w:r>
        <w:rPr>
          <w:rFonts w:ascii="Calibri" w:cs="Calibri" w:eastAsia="Calibri" w:hAnsi="Calibri"/>
          <w:b/>
          <w:bCs/>
          <w:color w:val="0B3D5C"/>
          <w:sz w:val="21"/>
          <w:szCs w:val="21"/>
        </w:rPr>
        <w:t xml:space="preserve">How does supply cost relate to clinical service line?</w:t>
      </w:r>
    </w:p>
    <w:p>
      <w:pPr>
        <w:spacing w:after="100" w:before="0"/>
        <w:ind w:left="260"/>
      </w:pPr>
      <w:r>
        <w:rPr>
          <w:rFonts w:ascii="Calibri" w:cs="Calibri" w:eastAsia="Calibri" w:hAnsi="Calibri"/>
          <w:b/>
          <w:bCs/>
          <w:color w:val="3A3A3A"/>
          <w:sz w:val="20"/>
          <w:szCs w:val="20"/>
        </w:rPr>
        <w:t xml:space="preserve">A:  </w:t>
      </w:r>
      <w:r>
        <w:rPr>
          <w:rFonts w:ascii="Calibri" w:cs="Calibri" w:eastAsia="Calibri" w:hAnsi="Calibri"/>
          <w:color w:val="3A3A3A"/>
          <w:sz w:val="20"/>
          <w:szCs w:val="20"/>
        </w:rPr>
        <w:t xml:space="preserve">Via the Avg Supply Cost Per Admission by Diagnosis Category visual, which directly links supply cost to each diagnosis category, allowing analysis of the true profitability of each service line after deducting supply cost.</w:t>
      </w:r>
    </w:p>
    <w:p>
      <w:pPr>
        <w:pBdr>
          <w:left w:val="single" w:color="0E8388" w:sz="24" w:space="6"/>
        </w:pBdr>
        <w:spacing w:after="140" w:before="320"/>
        <w:ind w:left="100"/>
      </w:pPr>
      <w:r>
        <w:rPr>
          <w:rFonts w:ascii="Calibri" w:cs="Calibri" w:eastAsia="Calibri" w:hAnsi="Calibri"/>
          <w:b/>
          <w:bCs/>
          <w:color w:val="0B3D5C"/>
          <w:spacing w:val="8"/>
          <w:sz w:val="26"/>
          <w:szCs w:val="26"/>
        </w:rPr>
        <w:t xml:space="preserve">RECOMMENDATIONS</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Activate automatic FEFO enforcement as an immediate priority to reduce the 13 kits at expiration risk.</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Open an urgent investigation into the five critical kits to determine the root cause (supplier delay or consumption increase) and take a different action for each case.</w:t>
      </w:r>
    </w:p>
    <w:p>
      <w:pPr>
        <w:spacing w:after="120" w:line="276"/>
        <w:ind w:left="200" w:hanging="200"/>
      </w:pPr>
      <w:r>
        <w:rPr>
          <w:rFonts w:ascii="Calibri" w:cs="Calibri" w:eastAsia="Calibri" w:hAnsi="Calibri"/>
          <w:b/>
          <w:bCs/>
          <w:color w:val="0E8388"/>
          <w:sz w:val="21"/>
          <w:szCs w:val="21"/>
        </w:rPr>
        <w:t xml:space="preserve">✓  </w:t>
      </w:r>
      <w:r>
        <w:rPr>
          <w:rFonts w:ascii="Calibri" w:cs="Calibri" w:eastAsia="Calibri" w:hAnsi="Calibri"/>
          <w:color w:val="3A3A3A"/>
          <w:sz w:val="21"/>
          <w:szCs w:val="21"/>
        </w:rPr>
        <w:t xml:space="preserve">Convert the projected vs. historical demand comparison into a weekly forecasting tool instead of a monthly report to fine-tune purchase quantities more precisely, especially for high-cost kits such as those used in total hip/knee arthroplasty.</w:t>
      </w:r>
    </w:p>
    <w:p>
      <w:pPr>
        <w:pageBreakBefore/>
        <w:pBdr>
          <w:bottom w:val="single" w:color="0E8388" w:sz="16" w:space="8"/>
        </w:pBdr>
        <w:spacing w:after="80"/>
      </w:pPr>
      <w:r>
        <w:rPr>
          <w:rFonts w:ascii="Calibri" w:cs="Calibri" w:eastAsia="Calibri" w:hAnsi="Calibri"/>
          <w:b/>
          <w:bCs/>
          <w:color w:val="0B3D5C"/>
          <w:spacing w:val="6"/>
          <w:sz w:val="34"/>
          <w:szCs w:val="34"/>
        </w:rPr>
        <w:t xml:space="preserve">EXECUTIVE RECOMMENDATIONS SUMMARY</w:t>
      </w:r>
    </w:p>
    <w:p>
      <w:pPr>
        <w:spacing w:after="260" w:before="0" w:line="288"/>
        <w:jc w:val="left"/>
      </w:pPr>
      <w:r>
        <w:rPr>
          <w:rFonts w:ascii="Calibri" w:cs="Calibri" w:eastAsia="Calibri" w:hAnsi="Calibri"/>
          <w:b w:val="false"/>
          <w:bCs w:val="false"/>
          <w:i w:val="false"/>
          <w:iCs w:val="false"/>
          <w:color w:val="3A3A3A"/>
          <w:sz w:val="22"/>
          <w:szCs w:val="22"/>
        </w:rPr>
        <w:t xml:space="preserve">Bringing together everything above across the nine dashboards, five shared strategic priorities emerge that senior management can act on immediately:</w:t>
      </w:r>
    </w:p>
    <w:p>
      <w:pPr>
        <w:shd w:fill="0B3D5C" w:color="auto" w:val="clear"/>
        <w:spacing w:after="90" w:before="220"/>
      </w:pPr>
      <w:r>
        <w:rPr>
          <w:rFonts w:ascii="Calibri" w:cs="Calibri" w:eastAsia="Calibri" w:hAnsi="Calibri"/>
          <w:b/>
          <w:bCs/>
          <w:color w:val="FFFFFF"/>
          <w:sz w:val="21"/>
          <w:szCs w:val="21"/>
        </w:rPr>
        <w:t xml:space="preserve">PRIORITY 1 — MANAGE READMISSION BY SEVERITY, NOT JUST DIAGNOSIS</w:t>
      </w:r>
    </w:p>
    <w:p>
      <w:pPr>
        <w:spacing w:after="160" w:before="0" w:line="288"/>
        <w:jc w:val="left"/>
      </w:pPr>
      <w:r>
        <w:rPr>
          <w:rFonts w:ascii="Calibri" w:cs="Calibri" w:eastAsia="Calibri" w:hAnsi="Calibri"/>
          <w:b w:val="false"/>
          <w:bCs w:val="false"/>
          <w:i w:val="false"/>
          <w:iCs w:val="false"/>
          <w:color w:val="3A3A3A"/>
          <w:sz w:val="21"/>
          <w:szCs w:val="21"/>
        </w:rPr>
        <w:t xml:space="preserve">The data clearly confirms (Dashboards 5 and 6) that severity_index is the strongest driver of readmission and length of stay, stronger than diagnosis type itself; therefore, post-discharge follow-up programs should be built on case severity first.</w:t>
      </w:r>
    </w:p>
    <w:p>
      <w:pPr>
        <w:shd w:fill="0B3D5C" w:color="auto" w:val="clear"/>
        <w:spacing w:after="90" w:before="220"/>
      </w:pPr>
      <w:r>
        <w:rPr>
          <w:rFonts w:ascii="Calibri" w:cs="Calibri" w:eastAsia="Calibri" w:hAnsi="Calibri"/>
          <w:b/>
          <w:bCs/>
          <w:color w:val="FFFFFF"/>
          <w:sz w:val="21"/>
          <w:szCs w:val="21"/>
        </w:rPr>
        <w:t xml:space="preserve">PRIORITY 2 — FIX THE REVENUE CYCLE BEFORE CONSIDERING PRICE INCREASES</w:t>
      </w:r>
    </w:p>
    <w:p>
      <w:pPr>
        <w:spacing w:after="160" w:before="0" w:line="288"/>
        <w:jc w:val="left"/>
      </w:pPr>
      <w:r>
        <w:rPr>
          <w:rFonts w:ascii="Calibri" w:cs="Calibri" w:eastAsia="Calibri" w:hAnsi="Calibri"/>
          <w:b w:val="false"/>
          <w:bCs w:val="false"/>
          <w:i w:val="false"/>
          <w:iCs w:val="false"/>
          <w:color w:val="3A3A3A"/>
          <w:sz w:val="21"/>
          <w:szCs w:val="21"/>
        </w:rPr>
        <w:t xml:space="preserve">With 13.31% of claims denied and a 365-day average collection period, the biggest financial opportunity isn't increasing revenue but collecting the revenue already earned and reducing the reserve lost to fraud ($3.09 billion exposure).</w:t>
      </w:r>
    </w:p>
    <w:p>
      <w:pPr>
        <w:shd w:fill="0B3D5C" w:color="auto" w:val="clear"/>
        <w:spacing w:after="90" w:before="220"/>
      </w:pPr>
      <w:r>
        <w:rPr>
          <w:rFonts w:ascii="Calibri" w:cs="Calibri" w:eastAsia="Calibri" w:hAnsi="Calibri"/>
          <w:b/>
          <w:bCs/>
          <w:color w:val="FFFFFF"/>
          <w:sz w:val="21"/>
          <w:szCs w:val="21"/>
        </w:rPr>
        <w:t xml:space="preserve">PRIORITY 3 — INVEST IN NURSING STAFF WELLBEING AS A FINANCIAL INVESTMENT, NOT JUST A HUMANITARIAN ONE</w:t>
      </w:r>
    </w:p>
    <w:p>
      <w:pPr>
        <w:spacing w:after="160" w:before="0" w:line="288"/>
        <w:jc w:val="left"/>
      </w:pPr>
      <w:r>
        <w:rPr>
          <w:rFonts w:ascii="Calibri" w:cs="Calibri" w:eastAsia="Calibri" w:hAnsi="Calibri"/>
          <w:b w:val="false"/>
          <w:bCs w:val="false"/>
          <w:i w:val="false"/>
          <w:iCs w:val="false"/>
          <w:color w:val="3A3A3A"/>
          <w:sz w:val="21"/>
          <w:szCs w:val="21"/>
        </w:rPr>
        <w:t xml:space="preserve">57.73% of nurses are at risk of burnout, and the estimated cost of turnover risk is $25.6 million; the data proved (Dashboards 3 and 7) that burnout is directly linked to declining patient experience, so improving it serves both goals at once.</w:t>
      </w:r>
    </w:p>
    <w:p>
      <w:pPr>
        <w:shd w:fill="0B3D5C" w:color="auto" w:val="clear"/>
        <w:spacing w:after="90" w:before="220"/>
      </w:pPr>
      <w:r>
        <w:rPr>
          <w:rFonts w:ascii="Calibri" w:cs="Calibri" w:eastAsia="Calibri" w:hAnsi="Calibri"/>
          <w:b/>
          <w:bCs/>
          <w:color w:val="FFFFFF"/>
          <w:sz w:val="21"/>
          <w:szCs w:val="21"/>
        </w:rPr>
        <w:t xml:space="preserve">PRIORITY 4 — SOLVE THE BED-ASSIGNMENT BOTTLENECK AS A TOP OPERATIONAL PRIORITY</w:t>
      </w:r>
    </w:p>
    <w:p>
      <w:pPr>
        <w:spacing w:after="160" w:before="0" w:line="288"/>
        <w:jc w:val="left"/>
      </w:pPr>
      <w:r>
        <w:rPr>
          <w:rFonts w:ascii="Calibri" w:cs="Calibri" w:eastAsia="Calibri" w:hAnsi="Calibri"/>
          <w:b w:val="false"/>
          <w:bCs w:val="false"/>
          <w:i w:val="false"/>
          <w:iCs w:val="false"/>
          <w:color w:val="3A3A3A"/>
          <w:sz w:val="21"/>
          <w:szCs w:val="21"/>
        </w:rPr>
        <w:t xml:space="preserve">The gap between physician wait time (27.90 minutes) and bed wait time (94.95 minutes) shows the true bottleneck is right after medical assessment, and bed occupancy at 81.96% is close to the danger threshold.</w:t>
      </w:r>
    </w:p>
    <w:p>
      <w:pPr>
        <w:shd w:fill="0B3D5C" w:color="auto" w:val="clear"/>
        <w:spacing w:after="90" w:before="220"/>
      </w:pPr>
      <w:r>
        <w:rPr>
          <w:rFonts w:ascii="Calibri" w:cs="Calibri" w:eastAsia="Calibri" w:hAnsi="Calibri"/>
          <w:b/>
          <w:bCs/>
          <w:color w:val="FFFFFF"/>
          <w:sz w:val="21"/>
          <w:szCs w:val="21"/>
        </w:rPr>
        <w:t xml:space="preserve">PRIORITY 5 — DON'T RELY ON OVERALL AVERAGES ALONE IN HEALTH-EQUITY ANALYSIS</w:t>
      </w:r>
    </w:p>
    <w:p>
      <w:pPr>
        <w:spacing w:after="160" w:before="0" w:line="288"/>
        <w:jc w:val="left"/>
      </w:pPr>
      <w:r>
        <w:rPr>
          <w:rFonts w:ascii="Calibri" w:cs="Calibri" w:eastAsia="Calibri" w:hAnsi="Calibri"/>
          <w:b w:val="false"/>
          <w:bCs w:val="false"/>
          <w:i w:val="false"/>
          <w:iCs w:val="false"/>
          <w:color w:val="3A3A3A"/>
          <w:sz w:val="21"/>
          <w:szCs w:val="21"/>
        </w:rPr>
        <w:t xml:space="preserve">Real disparities (such as the case of poor diabetes control among young Asian patients) only appear with intersectional analysis (age × race), so a periodic intersectional report should be adopted instead of aggregate figures alone.</w:t>
      </w:r>
    </w:p>
    <w:sectPr>
      <w:headerReference w:type="default" r:id="rId7"/>
      <w:footerReference w:type="default" r:id="rId8"/>
      <w:pgSz w:w="12240" w:h="15840"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2" w:sz="4" w:space="4"/>
      </w:pBdr>
      <w:jc w:val="center"/>
    </w:pPr>
    <w:r>
      <w:rPr>
        <w:rFonts w:ascii="Calibri" w:cs="Calibri" w:eastAsia="Calibri" w:hAnsi="Calibri"/>
        <w:color w:val="3A3A3A"/>
        <w:sz w:val="16"/>
        <w:szCs w:val="16"/>
      </w:rPr>
      <w:t xml:space="preserve">Data Ambassadors  ·  DEPI Data Analysis Track  ·  Page </w:t>
    </w:r>
    <w:r>
      <w:rPr>
        <w:rFonts w:ascii="Calibri" w:cs="Calibri" w:eastAsia="Calibri" w:hAnsi="Calibri"/>
        <w:color w:val="3A3A3A"/>
        <w:sz w:val="16"/>
        <w:szCs w:val="16"/>
      </w:rPr>
      <w:t xml:space="preserve">CURRENT</w:t>
    </w:r>
    <w:r>
      <w:rPr>
        <w:rFonts w:ascii="Calibri" w:cs="Calibri" w:eastAsia="Calibri" w:hAnsi="Calibri"/>
        <w:color w:val="3A3A3A"/>
        <w:sz w:val="16"/>
        <w:szCs w:val="16"/>
      </w:rPr>
      <w:t xml:space="preserve"> of </w:t>
    </w:r>
    <w:r>
      <w:rPr>
        <w:rFonts w:ascii="Calibri" w:cs="Calibri" w:eastAsia="Calibri" w:hAnsi="Calibri"/>
        <w:color w:val="3A3A3A"/>
        <w:sz w:val="16"/>
        <w:szCs w:val="16"/>
      </w:rPr>
      <w:t xml:space="preserve">TOTAL_PAGES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2" w:sz="4" w:space="4"/>
      </w:pBdr>
      <w:jc w:val="right"/>
    </w:pPr>
    <w:r>
      <w:rPr>
        <w:rFonts w:ascii="Calibri" w:cs="Calibri" w:eastAsia="Calibri" w:hAnsi="Calibri"/>
        <w:i/>
        <w:iCs/>
        <w:color w:val="0E8388"/>
        <w:sz w:val="16"/>
        <w:szCs w:val="16"/>
      </w:rPr>
      <w:t xml:space="preserve">Healthcare Analytics — DEPI Graduation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2026-07-08T20:11:10.162Z</dcterms:created>
  <dcterms:modified xsi:type="dcterms:W3CDTF">2026-07-08T20:11:10.176Z</dcterms:modified>
</cp:coreProperties>
</file>

<file path=docProps/custom.xml><?xml version="1.0" encoding="utf-8"?>
<Properties xmlns="http://schemas.openxmlformats.org/officeDocument/2006/custom-properties" xmlns:vt="http://schemas.openxmlformats.org/officeDocument/2006/docPropsVTypes"/>
</file>