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40" w:before="0"/>
        <w:jc w:val="center"/>
      </w:pPr>
      <w:r>
        <w:rPr>
          <w:rFonts w:ascii="Arial" w:cs="Arial" w:eastAsia="Arial" w:hAnsi="Arial"/>
          <w:b/>
          <w:bCs/>
          <w:color w:val="FFFFFF"/>
          <w:sz w:val="28"/>
          <w:szCs w:val="28"/>
        </w:rPr>
        <w:t xml:space="preserve">HEALTHCARE ANALYTICS REFERENCE GUIDE — Sections 1.1.3 &amp; 1.1.4</w:t>
      </w:r>
    </w:p>
    <w:p>
      <w:pPr>
        <w:pStyle w:val="Heading3"/>
        <w:spacing w:after="120" w:before="240"/>
      </w:pPr>
      <w:r>
        <w:rPr>
          <w:rFonts w:ascii="Arial" w:cs="Arial" w:eastAsia="Arial" w:hAnsi="Arial"/>
          <w:b/>
          <w:bCs/>
          <w:color w:val="2E75B6"/>
          <w:sz w:val="26"/>
          <w:szCs w:val="26"/>
        </w:rPr>
        <w:t xml:space="preserve">1.1.3  U.S. Healthcare Regulatory Environment</w:t>
      </w:r>
    </w:p>
    <w:p>
      <w:pPr>
        <w:spacing w:after="100" w:before="60" w:line="320"/>
      </w:pPr>
      <w:r>
        <w:rPr>
          <w:rFonts w:ascii="Arial" w:cs="Arial" w:eastAsia="Arial" w:hAnsi="Arial"/>
          <w:color w:val="1A1A1A"/>
          <w:sz w:val="22"/>
          <w:szCs w:val="22"/>
        </w:rPr>
        <w:t xml:space="preserve">Before a data analyst can build a meaningful dashboard or train a predictive model on healthcare data, they must understand the regulatory programs that govern every metric they will measure. Healthcare is the most heavily regulated industry in the United States. Regulators determine what gets measured, how it gets measured, what benchmarks are acceptable, and what the financial consequences of under-performance look like. This section explains each major program that governs the data in your SDG Engine v2.0 dataset.</w:t>
      </w:r>
    </w:p>
    <w:p>
      <w:pPr>
        <w:spacing w:after="100" w:before="0"/>
      </w:pPr>
      <w:r>
        <w:t xml:space="preserve"/>
      </w:r>
    </w:p>
    <w:p>
      <w:pPr>
        <w:spacing w:after="80" w:before="200"/>
      </w:pPr>
      <w:r>
        <w:rPr>
          <w:rFonts w:ascii="Arial" w:cs="Arial" w:eastAsia="Arial" w:hAnsi="Arial"/>
          <w:b/>
          <w:bCs/>
          <w:color w:val="1A7A6B"/>
          <w:sz w:val="24"/>
          <w:szCs w:val="24"/>
        </w:rPr>
        <w:t xml:space="preserve">The Centers for Medicare &amp; Medicaid Services (CMS): The Central Regulator</w:t>
      </w:r>
    </w:p>
    <w:p>
      <w:pPr>
        <w:spacing w:after="100" w:before="60" w:line="320"/>
      </w:pPr>
      <w:r>
        <w:rPr>
          <w:rFonts w:ascii="Arial" w:cs="Arial" w:eastAsia="Arial" w:hAnsi="Arial"/>
          <w:color w:val="1A1A1A"/>
          <w:sz w:val="22"/>
          <w:szCs w:val="22"/>
        </w:rPr>
        <w:t xml:space="preserve">CMS is the federal agency within the U.S. Department of Health and Human Services (HHS) that administers Medicare and Medicaid. Together these programs cover approximately 155 million Americans and account for roughly 40% of all U.S. hospital revenue. Because CMS controls this enormous payment stream, its rules effectively set standards for the entire industry — even private payers typically align quality programs with CMS frameworks. CMS operates a suite of Value-Based Purchasing (VBP) programs that financially reward or penalize hospitals based on measured performance across clinical quality, patient experience, safety, and efficiency domains.</w:t>
      </w:r>
    </w:p>
    <w:p>
      <w:pPr>
        <w:spacing w:after="100" w:before="0"/>
      </w:pPr>
      <w:r>
        <w:t xml:space="preserve"/>
      </w:r>
    </w:p>
    <w:p>
      <w:pPr>
        <w:spacing w:after="80" w:before="200"/>
      </w:pPr>
      <w:r>
        <w:rPr>
          <w:rFonts w:ascii="Arial" w:cs="Arial" w:eastAsia="Arial" w:hAnsi="Arial"/>
          <w:b/>
          <w:bCs/>
          <w:color w:val="1A7A6B"/>
          <w:sz w:val="24"/>
          <w:szCs w:val="24"/>
        </w:rPr>
        <w:t xml:space="preserve">Program 1: Hospital Readmissions Reduction Program (HRRP)</w:t>
      </w:r>
    </w:p>
    <w:p>
      <w:pPr>
        <w:spacing w:after="100" w:before="60" w:line="320"/>
      </w:pPr>
      <w:r>
        <w:rPr>
          <w:rFonts w:ascii="Arial" w:cs="Arial" w:eastAsia="Arial" w:hAnsi="Arial"/>
          <w:color w:val="1A1A1A"/>
          <w:sz w:val="22"/>
          <w:szCs w:val="22"/>
        </w:rPr>
        <w:t xml:space="preserve">Established by the Affordable Care Act (2010), the HRRP penalizes hospitals with excess 30-day readmission rates for specific high-volume conditions. CMS calculates an expected readmission rate for each hospital based on its patient mix (risk-adjusted), then compares actual vs. expected. Hospitals with higher-than-expected readmissions receive a payment reduction of up to 3% on ALL Medicare inpatient payments — not just the readmitted cases. This is one of the most powerful financial levers CMS holds over hospital behavior.</w:t>
      </w:r>
    </w:p>
    <w:p>
      <w:pPr>
        <w:pStyle w:val="ListParagraph"/>
        <w:numPr>
          <w:ilvl w:val="0"/>
          <w:numId w:val="2"/>
        </w:numPr>
        <w:spacing w:after="60" w:before="40" w:line="300"/>
      </w:pPr>
      <w:r>
        <w:rPr>
          <w:rFonts w:ascii="Arial" w:cs="Arial" w:eastAsia="Arial" w:hAnsi="Arial"/>
          <w:color w:val="1A1A1A"/>
          <w:sz w:val="22"/>
          <w:szCs w:val="22"/>
        </w:rPr>
        <w:t xml:space="preserve">Conditions covered (2025): Acute Myocardial Infarction (AMI), Heart Failure (HF), Pneumonia, COPD, Hip/Knee Arthroplasty (THA/TKA), and Coronary Artery Bypass Graft (CABG).</w:t>
      </w:r>
    </w:p>
    <w:p>
      <w:pPr>
        <w:pStyle w:val="ListParagraph"/>
        <w:numPr>
          <w:ilvl w:val="0"/>
          <w:numId w:val="2"/>
        </w:numPr>
        <w:spacing w:after="60" w:before="40" w:line="300"/>
      </w:pPr>
      <w:r>
        <w:rPr>
          <w:rFonts w:ascii="Arial" w:cs="Arial" w:eastAsia="Arial" w:hAnsi="Arial"/>
          <w:color w:val="1A1A1A"/>
          <w:sz w:val="22"/>
          <w:szCs w:val="22"/>
        </w:rPr>
        <w:t xml:space="preserve">Dataset connection: The readmission_30d_flag column is the direct operationalization of this program. Its probability is modeled as a function of severity_index, age, comorbidity_count, has_chf, has_diabetes, and medication_adherence_pdc — exactly as CMS risk-adjustment models work.</w:t>
      </w:r>
    </w:p>
    <w:p>
      <w:pPr>
        <w:pStyle w:val="ListParagraph"/>
        <w:numPr>
          <w:ilvl w:val="0"/>
          <w:numId w:val="2"/>
        </w:numPr>
        <w:spacing w:after="60" w:before="40" w:line="300"/>
      </w:pPr>
      <w:r>
        <w:rPr>
          <w:rFonts w:ascii="Arial" w:cs="Arial" w:eastAsia="Arial" w:hAnsi="Arial"/>
          <w:color w:val="1A1A1A"/>
          <w:sz w:val="22"/>
          <w:szCs w:val="22"/>
        </w:rPr>
        <w:t xml:space="preserve">Analyst business logic: A 1-percentage-point reduction in readmission rate for a hospital with 5,000 discharges per year saves approximately 50 readmissions. At an average readmission cost of $15,000, that represents $750,000 in avoidable costs before the 3% Medicare penalty is calculated. Readmission dashboards are typically the first deliverable requested by hospital finance teams.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40"/>
              <w:bottom w:type="dxa" w:w="120"/>
              <w:right w:type="dxa" w:w="240"/>
            </w:tcMar>
          </w:tcPr>
          <w:p>
            <w:pPr>
              <w:spacing w:after="60" w:before="0"/>
            </w:pPr>
            <w:r>
              <w:rPr>
                <w:rFonts w:ascii="Arial" w:cs="Arial" w:eastAsia="Arial" w:hAnsi="Arial"/>
                <w:b/>
                <w:bCs/>
                <w:color w:val="2E75B6"/>
                <w:sz w:val="20"/>
                <w:szCs w:val="20"/>
              </w:rPr>
              <w:t xml:space="preserve">📐  SQL — 30-Day Readmission Rate by Service Line</w:t>
            </w:r>
          </w:p>
          <w:p>
            <w:pPr>
              <w:spacing w:after="0" w:before="0"/>
            </w:pPr>
            <w:r>
              <w:rPr>
                <w:rFonts w:ascii="Arial" w:cs="Arial" w:eastAsia="Arial" w:hAnsi="Arial"/>
                <w:color w:val="1A1A1A"/>
                <w:sz w:val="20"/>
                <w:szCs w:val="20"/>
              </w:rPr>
              <w:t xml:space="preserve">SELECT diagnosis_category, COUNT(CASE WHEN readmission_30d_flag=1 THEN 1 END)*100.0/COUNT(*) AS readmission_rate_pct FROM encounters GROUP BY diagnosis_category ORDER BY readmission_rate_pct DESC;  —  Benchmark: ~14-16% national average. Flag any service line above 18% for clinical review.</w:t>
            </w:r>
          </w:p>
        </w:tc>
      </w:tr>
    </w:tbl>
    <w:p>
      <w:pPr>
        <w:spacing w:after="100" w:before="0"/>
      </w:pPr>
      <w:r>
        <w:t xml:space="preserve"/>
      </w:r>
    </w:p>
    <w:p>
      <w:pPr>
        <w:spacing w:after="80" w:before="200"/>
      </w:pPr>
      <w:r>
        <w:rPr>
          <w:rFonts w:ascii="Arial" w:cs="Arial" w:eastAsia="Arial" w:hAnsi="Arial"/>
          <w:b/>
          <w:bCs/>
          <w:color w:val="1A7A6B"/>
          <w:sz w:val="24"/>
          <w:szCs w:val="24"/>
        </w:rPr>
        <w:t xml:space="preserve">Program 2: Hospital-Acquired Condition Reduction Program (HACRP)</w:t>
      </w:r>
    </w:p>
    <w:p>
      <w:pPr>
        <w:spacing w:after="100" w:before="60" w:line="320"/>
      </w:pPr>
      <w:r>
        <w:rPr>
          <w:rFonts w:ascii="Arial" w:cs="Arial" w:eastAsia="Arial" w:hAnsi="Arial"/>
          <w:color w:val="1A1A1A"/>
          <w:sz w:val="22"/>
          <w:szCs w:val="22"/>
        </w:rPr>
        <w:t xml:space="preserve">The HACRP penalizes the worst-performing 25% of hospitals on hospital-acquired conditions with a 1% reduction on all Medicare payments. Unlike the HRRP, this is a relative ranking program — a hospital is penalized not for exceeding a fixed threshold, but for falling into the bottom quartile nationally. The program scores hospitals on two domains:</w:t>
      </w:r>
    </w:p>
    <w:p>
      <w:pPr>
        <w:pStyle w:val="ListParagraph"/>
        <w:numPr>
          <w:ilvl w:val="0"/>
          <w:numId w:val="2"/>
        </w:numPr>
        <w:spacing w:after="60" w:before="40" w:line="300"/>
      </w:pPr>
      <w:r>
        <w:rPr>
          <w:rFonts w:ascii="Arial" w:cs="Arial" w:eastAsia="Arial" w:hAnsi="Arial"/>
          <w:color w:val="1A1A1A"/>
          <w:sz w:val="22"/>
          <w:szCs w:val="22"/>
        </w:rPr>
        <w:t xml:space="preserve">Domain 1 — Patient Safety Indicator (PSI) Composite: Measures preventable complications during inpatient stays — pressure ulcers, perioperative hemorrhage, accidental laceration, iatrogenic pneumothorax. Sourced from ICD-10 diagnosis and procedure codes on the inpatient claim.</w:t>
      </w:r>
    </w:p>
    <w:p>
      <w:pPr>
        <w:pStyle w:val="ListParagraph"/>
        <w:numPr>
          <w:ilvl w:val="0"/>
          <w:numId w:val="2"/>
        </w:numPr>
        <w:spacing w:after="60" w:before="40" w:line="300"/>
      </w:pPr>
      <w:r>
        <w:rPr>
          <w:rFonts w:ascii="Arial" w:cs="Arial" w:eastAsia="Arial" w:hAnsi="Arial"/>
          <w:color w:val="1A1A1A"/>
          <w:sz w:val="22"/>
          <w:szCs w:val="22"/>
        </w:rPr>
        <w:t xml:space="preserve">Domain 2 — Healthcare-Associated Infection (HAI) Measures: Includes CLABSI, CAUTI, SSI (colon and abdominal hysterectomy), MRSA bacteremia, and C. difficile infection, all reported through the CDC National Healthcare Safety Network (NHSN).</w:t>
      </w:r>
    </w:p>
    <w:p>
      <w:pPr>
        <w:pStyle w:val="ListParagraph"/>
        <w:numPr>
          <w:ilvl w:val="0"/>
          <w:numId w:val="2"/>
        </w:numPr>
        <w:spacing w:after="60" w:before="40" w:line="300"/>
      </w:pPr>
      <w:r>
        <w:rPr>
          <w:rFonts w:ascii="Arial" w:cs="Arial" w:eastAsia="Arial" w:hAnsi="Arial"/>
          <w:color w:val="1A1A1A"/>
          <w:sz w:val="22"/>
          <w:szCs w:val="22"/>
        </w:rPr>
        <w:t xml:space="preserve">Dataset connection: hai_flag is the direct operationalization of Domain 2. Probability is modeled at baseline ~3%, with additive risk modifiers: +1.5% per day beyond LOS of 3, +4% for ICU admission, +3% for Oncology service, up to +4% for high severity_index. The analyst task: calculate the Standardized Infection Ratio (SIR) — observed HAIs divided by expected HAIs. Target SIR &lt; 1.0.</w:t>
      </w:r>
    </w:p>
    <w:p>
      <w:pPr>
        <w:pStyle w:val="ListParagraph"/>
        <w:numPr>
          <w:ilvl w:val="0"/>
          <w:numId w:val="2"/>
        </w:numPr>
        <w:spacing w:after="60" w:before="40" w:line="300"/>
      </w:pPr>
      <w:r>
        <w:rPr>
          <w:rFonts w:ascii="Arial" w:cs="Arial" w:eastAsia="Arial" w:hAnsi="Arial"/>
          <w:color w:val="1A1A1A"/>
          <w:sz w:val="22"/>
          <w:szCs w:val="22"/>
        </w:rPr>
        <w:t xml:space="preserve">Business impact: Each HAI adds $15,000-$45,000 in treatment cost and exposes the hospital to Joint Commission scrutiny. Beyond the 1% HACRP penalty, HAI-related litigation costs can exceed $500,000 per event for serious infections.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40"/>
              <w:bottom w:type="dxa" w:w="120"/>
              <w:right w:type="dxa" w:w="240"/>
            </w:tcMar>
          </w:tcPr>
          <w:p>
            <w:pPr>
              <w:spacing w:after="60" w:before="0"/>
            </w:pPr>
            <w:r>
              <w:rPr>
                <w:rFonts w:ascii="Arial" w:cs="Arial" w:eastAsia="Arial" w:hAnsi="Arial"/>
                <w:b/>
                <w:bCs/>
                <w:color w:val="2E75B6"/>
                <w:sz w:val="20"/>
                <w:szCs w:val="20"/>
              </w:rPr>
              <w:t xml:space="preserve">📐  SQL — HAI Rate by Unit</w:t>
            </w:r>
          </w:p>
          <w:p>
            <w:pPr>
              <w:spacing w:after="0" w:before="0"/>
            </w:pPr>
            <w:r>
              <w:rPr>
                <w:rFonts w:ascii="Arial" w:cs="Arial" w:eastAsia="Arial" w:hAnsi="Arial"/>
                <w:color w:val="1A1A1A"/>
                <w:sz w:val="20"/>
                <w:szCs w:val="20"/>
              </w:rPr>
              <w:t xml:space="preserve">SELECT unit_assigned, COUNT(*) AS admissions, SUM(hai_flag) AS infections, ROUND(SUM(hai_flag)*100.0/COUNT(*),2) AS hai_rate_pct, ROUND(AVG(los_days),1) AS avg_los FROM encounters GROUP BY unit_assigned ORDER BY hai_rate_pct DESC;  —  Benchmark: National HAI rate ~3%. ICU units expect higher rates; flag units exceeding 6%.</w:t>
            </w:r>
          </w:p>
        </w:tc>
      </w:tr>
    </w:tbl>
    <w:p>
      <w:pPr>
        <w:spacing w:after="100" w:before="0"/>
      </w:pPr>
      <w:r>
        <w:t xml:space="preserve"/>
      </w:r>
    </w:p>
    <w:p>
      <w:pPr>
        <w:spacing w:after="80" w:before="200"/>
      </w:pPr>
      <w:r>
        <w:rPr>
          <w:rFonts w:ascii="Arial" w:cs="Arial" w:eastAsia="Arial" w:hAnsi="Arial"/>
          <w:b/>
          <w:bCs/>
          <w:color w:val="1A7A6B"/>
          <w:sz w:val="24"/>
          <w:szCs w:val="24"/>
        </w:rPr>
        <w:t xml:space="preserve">Program 3: CMS Bundled Payments for Care Improvement (BPCI)</w:t>
      </w:r>
    </w:p>
    <w:p>
      <w:pPr>
        <w:spacing w:after="100" w:before="60" w:line="320"/>
      </w:pPr>
      <w:r>
        <w:rPr>
          <w:rFonts w:ascii="Arial" w:cs="Arial" w:eastAsia="Arial" w:hAnsi="Arial"/>
          <w:color w:val="1A1A1A"/>
          <w:sz w:val="22"/>
          <w:szCs w:val="22"/>
        </w:rPr>
        <w:t xml:space="preserve">BPCI is an alternative payment model in which CMS pays a single bundled payment for an entire episode of care — from initial hospitalization through 90 days post-discharge — rather than paying separately for each service. Participating hospitals accept accountability for the total cost and quality of the episode. If actual spending falls below the target price, the hospital keeps the savings. If it exceeds the target, the hospital absorbs the loss.</w:t>
      </w:r>
    </w:p>
    <w:p>
      <w:pPr>
        <w:pStyle w:val="ListParagraph"/>
        <w:numPr>
          <w:ilvl w:val="0"/>
          <w:numId w:val="2"/>
        </w:numPr>
        <w:spacing w:after="60" w:before="40" w:line="300"/>
      </w:pPr>
      <w:r>
        <w:rPr>
          <w:rFonts w:ascii="Arial" w:cs="Arial" w:eastAsia="Arial" w:hAnsi="Arial"/>
          <w:color w:val="1A1A1A"/>
          <w:sz w:val="22"/>
          <w:szCs w:val="22"/>
        </w:rPr>
        <w:t xml:space="preserve">Post-discharge follow-up requirements: BPCI mandates documented patient contact within specified windows after discharge. The follow_up_within_48h_flag column directly supports BPCI compliance monitoring. Baseline rate in the dataset is ~65%, increased by severity (sicker patients receive more vigilant care management) and by CAHPS care transition scores.</w:t>
      </w:r>
    </w:p>
    <w:p>
      <w:pPr>
        <w:pStyle w:val="ListParagraph"/>
        <w:numPr>
          <w:ilvl w:val="0"/>
          <w:numId w:val="2"/>
        </w:numPr>
        <w:spacing w:after="60" w:before="40" w:line="300"/>
      </w:pPr>
      <w:r>
        <w:rPr>
          <w:rFonts w:ascii="Arial" w:cs="Arial" w:eastAsia="Arial" w:hAnsi="Arial"/>
          <w:color w:val="1A1A1A"/>
          <w:sz w:val="22"/>
          <w:szCs w:val="22"/>
        </w:rPr>
        <w:t xml:space="preserve">Analytics use case: Identify which patient subgroups are least likely to receive timely follow-up. Build a logistic regression model with predictors: severity_index, age, has_chf, medication_adherence_pdc, telehealth_used_flag. Patients with a predicted low follow_up_within_48h_flag probability are the target for proactive outreach by care transition nurses.</w:t>
      </w:r>
    </w:p>
    <w:p>
      <w:pPr>
        <w:pStyle w:val="ListParagraph"/>
        <w:numPr>
          <w:ilvl w:val="0"/>
          <w:numId w:val="2"/>
        </w:numPr>
        <w:spacing w:after="60" w:before="40" w:line="300"/>
      </w:pPr>
      <w:r>
        <w:rPr>
          <w:rFonts w:ascii="Arial" w:cs="Arial" w:eastAsia="Arial" w:hAnsi="Arial"/>
          <w:color w:val="1A1A1A"/>
          <w:sz w:val="22"/>
          <w:szCs w:val="22"/>
        </w:rPr>
        <w:t xml:space="preserve">Current scope (2025): BPCI Advanced covers 30+ clinical episodes including Hip/Knee Replacement, CABG, and Major Joint Replacement — all well-represented in the MSK and CV diagnosis categories of your dataset.</w:t>
      </w:r>
    </w:p>
    <w:p>
      <w:pPr>
        <w:spacing w:after="100" w:before="0"/>
      </w:pPr>
      <w:r>
        <w:t xml:space="preserve"/>
      </w:r>
    </w:p>
    <w:p>
      <w:pPr>
        <w:spacing w:after="80" w:before="200"/>
      </w:pPr>
      <w:r>
        <w:rPr>
          <w:rFonts w:ascii="Arial" w:cs="Arial" w:eastAsia="Arial" w:hAnsi="Arial"/>
          <w:b/>
          <w:bCs/>
          <w:color w:val="1A7A6B"/>
          <w:sz w:val="24"/>
          <w:szCs w:val="24"/>
        </w:rPr>
        <w:t xml:space="preserve">Program 4: HIPAA Privacy Rule — De-identification and the Safe Harbor Method</w:t>
      </w:r>
    </w:p>
    <w:p>
      <w:pPr>
        <w:spacing w:after="100" w:before="60" w:line="320"/>
      </w:pPr>
      <w:r>
        <w:rPr>
          <w:rFonts w:ascii="Arial" w:cs="Arial" w:eastAsia="Arial" w:hAnsi="Arial"/>
          <w:color w:val="1A1A1A"/>
          <w:sz w:val="22"/>
          <w:szCs w:val="22"/>
        </w:rPr>
        <w:t xml:space="preserve">The Health Insurance Portability and Accountability Act (HIPAA) Privacy Rule (45 CFR Part 164) is the foundational federal law governing the use and protection of Protected Health Information (PHI). For a data analyst, HIPAA has two critical practical implications: first, you must understand what data you are allowed to work with; second, you must understand how a dataset like the SDG Engine v2.0 was constructed to be legally safe for analytics development.</w:t>
      </w:r>
    </w:p>
    <w:p>
      <w:pPr>
        <w:pStyle w:val="ListParagraph"/>
        <w:numPr>
          <w:ilvl w:val="0"/>
          <w:numId w:val="2"/>
        </w:numPr>
        <w:spacing w:after="60" w:before="40" w:line="300"/>
      </w:pPr>
      <w:r>
        <w:rPr>
          <w:rFonts w:ascii="Arial" w:cs="Arial" w:eastAsia="Arial" w:hAnsi="Arial"/>
          <w:color w:val="1A1A1A"/>
          <w:sz w:val="22"/>
          <w:szCs w:val="22"/>
        </w:rPr>
        <w:t xml:space="preserve">The 18 HIPAA Direct Identifiers: HIPAA specifies 18 information categories that constitute PHI: names; geographic subdivisions smaller than a state; all dates more specific than year (except age); telephone numbers; fax numbers; email addresses; Social Security numbers; medical record numbers; health plan beneficiary numbers; account numbers; certificate/license numbers; vehicle identifiers; device identifiers; web URLs; IP addresses; biometric identifiers; full-face photographs; and any other unique identifying number.</w:t>
      </w:r>
    </w:p>
    <w:p>
      <w:pPr>
        <w:pStyle w:val="ListParagraph"/>
        <w:numPr>
          <w:ilvl w:val="0"/>
          <w:numId w:val="2"/>
        </w:numPr>
        <w:spacing w:after="60" w:before="40" w:line="300"/>
      </w:pPr>
      <w:r>
        <w:rPr>
          <w:rFonts w:ascii="Arial" w:cs="Arial" w:eastAsia="Arial" w:hAnsi="Arial"/>
          <w:color w:val="1A1A1A"/>
          <w:sz w:val="22"/>
          <w:szCs w:val="22"/>
        </w:rPr>
        <w:t xml:space="preserve">Safe Harbor Method (45 CFR §164.514(b)(2)): A dataset from which all 18 identifiers have been removed or generalized is considered de-identified and is no longer subject to the Privacy Rule. The SDG Engine v2.0 complies fully: patient_id is a synthetic token with no link to real persons; birth_year is provided (not full date of birth); age is capped at 95; state is the smallest geographic unit. The data dictionary explicitly cites this legal standard.</w:t>
      </w:r>
    </w:p>
    <w:p>
      <w:pPr>
        <w:pStyle w:val="ListParagraph"/>
        <w:numPr>
          <w:ilvl w:val="0"/>
          <w:numId w:val="2"/>
        </w:numPr>
        <w:spacing w:after="60" w:before="40" w:line="300"/>
      </w:pPr>
      <w:r>
        <w:rPr>
          <w:rFonts w:ascii="Arial" w:cs="Arial" w:eastAsia="Arial" w:hAnsi="Arial"/>
          <w:color w:val="1A1A1A"/>
          <w:sz w:val="22"/>
          <w:szCs w:val="22"/>
        </w:rPr>
        <w:t xml:space="preserve">Working in a real hospital: When you transition from learning on synthetic data to working in a live healthcare environment, you will encounter three data tiers. Full PHI (requires a Business Associate Agreement and strict audit trails), Limited Datasets (may retain dates and geographic codes under a Data Use Agreement), and De-identified data (unrestricted for analytics). Knowing which tier you are working with is a compliance obligation, not a preference.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HIPAA Data Category</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Identifiers Present</w:t>
            </w:r>
          </w:p>
        </w:tc>
        <w:tc>
          <w:tcPr>
            <w:tcW w:type="dxa" w:w="2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Analyst Access</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SDG Engine v2.0</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PHI</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18 may be present</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Restricted — BAA + audit trail required</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applicable</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Limited Dataset</w:t>
            </w:r>
          </w:p>
        </w:tc>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Dates and geography retained; names/SSN removed</w:t>
            </w:r>
          </w:p>
        </w:tc>
        <w:tc>
          <w:tcPr>
            <w:tcW w:type="dxa" w:w="2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Restricted — DUA required</w:t>
            </w:r>
          </w:p>
        </w:tc>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Not applicable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De-identified (Safe Harbor)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18 removed or generalized</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Unrestricted for analytics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Fully compliant</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Fully Synthetic</w:t>
            </w:r>
          </w:p>
        </w:tc>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 real individuals exist in dataset</w:t>
            </w:r>
          </w:p>
        </w:tc>
        <w:tc>
          <w:tcPr>
            <w:tcW w:type="dxa" w:w="2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Unrestricted — ideal for training</w:t>
            </w:r>
          </w:p>
        </w:tc>
        <w:tc>
          <w:tcPr>
            <w:tcW w:type="dxa" w:w="2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This dataset — SDG Engine v2.0</w:t>
            </w:r>
          </w:p>
        </w:tc>
      </w:tr>
    </w:tbl>
    <w:p>
      <w:pPr>
        <w:spacing w:after="100" w:before="0"/>
      </w:pPr>
      <w:r>
        <w:t xml:space="preserve"/>
      </w:r>
    </w:p>
    <w:p>
      <w:pPr>
        <w:spacing w:after="80" w:before="200"/>
      </w:pPr>
      <w:r>
        <w:rPr>
          <w:rFonts w:ascii="Arial" w:cs="Arial" w:eastAsia="Arial" w:hAnsi="Arial"/>
          <w:b/>
          <w:bCs/>
          <w:color w:val="1A7A6B"/>
          <w:sz w:val="24"/>
          <w:szCs w:val="24"/>
        </w:rPr>
        <w:t xml:space="preserve">Program 5: CMS Hospital Quality Star Ratings</w:t>
      </w:r>
    </w:p>
    <w:p>
      <w:pPr>
        <w:spacing w:after="100" w:before="60" w:line="320"/>
      </w:pPr>
      <w:r>
        <w:rPr>
          <w:rFonts w:ascii="Arial" w:cs="Arial" w:eastAsia="Arial" w:hAnsi="Arial"/>
          <w:color w:val="1A1A1A"/>
          <w:sz w:val="22"/>
          <w:szCs w:val="22"/>
        </w:rPr>
        <w:t xml:space="preserve">CMS publishes an annual Overall Hospital Quality Star Rating (1 to 5 stars) on its Care Compare website, which is publicly visible to any patient choosing a hospital. Ratings are derived from approximately 46 measures across five domains: Mortality, Safety of Care, Readmission, Patient Experience (HCAHPS), and Timely &amp; Effective Care. A hospital's star rating directly affects patient volume — surveys consistently show that patients research star ratings before elective procedures — as well as payer contract leverage and municipal bond ratings. The analytics challenge is that the methodology is updated annually: tracking the measure set and recalculating your predicted star rating is a live workstream at most large health systems.</w:t>
      </w:r>
    </w:p>
    <w:p>
      <w:pPr>
        <w:spacing w:after="80" w:before="200"/>
      </w:pPr>
      <w:r>
        <w:rPr>
          <w:rFonts w:ascii="Arial" w:cs="Arial" w:eastAsia="Arial" w:hAnsi="Arial"/>
          <w:b/>
          <w:bCs/>
          <w:color w:val="1A7A6B"/>
          <w:sz w:val="24"/>
          <w:szCs w:val="24"/>
        </w:rPr>
        <w:t xml:space="preserve">Program 6: CMS Promoting Interoperability (PI)</w:t>
      </w:r>
    </w:p>
    <w:p>
      <w:pPr>
        <w:spacing w:after="100" w:before="60" w:line="320"/>
      </w:pPr>
      <w:r>
        <w:rPr>
          <w:rFonts w:ascii="Arial" w:cs="Arial" w:eastAsia="Arial" w:hAnsi="Arial"/>
          <w:color w:val="1A1A1A"/>
          <w:sz w:val="22"/>
          <w:szCs w:val="22"/>
        </w:rPr>
        <w:t xml:space="preserve">Formerly known as Meaningful Use, the Promoting Interoperability program requires hospitals to demonstrate active use of certified EHR technology through objectives covering electronic prescribing, health information exchange, and patient electronic access. Failure to meet PI requirements results in a 0.75% reduction in Medicare inpatient payment. The telehealth_used_flag and himss_emram_stage columns in your dataset directly reflect PI-related digital maturity metrics. Telehealth adoption specifically maps to the CMS Promoting Interoperability Patient Electronic Access objective.</w:t>
      </w:r>
    </w:p>
    <w:p>
      <w:pPr>
        <w:spacing w:after="80" w:before="200"/>
      </w:pPr>
      <w:r>
        <w:rPr>
          <w:rFonts w:ascii="Arial" w:cs="Arial" w:eastAsia="Arial" w:hAnsi="Arial"/>
          <w:b/>
          <w:bCs/>
          <w:color w:val="1A7A6B"/>
          <w:sz w:val="24"/>
          <w:szCs w:val="24"/>
        </w:rPr>
        <w:t xml:space="preserve">Joint Commission International (JCI) 8th Edition</w:t>
      </w:r>
    </w:p>
    <w:p>
      <w:pPr>
        <w:spacing w:after="100" w:before="60" w:line="320"/>
      </w:pPr>
      <w:r>
        <w:rPr>
          <w:rFonts w:ascii="Arial" w:cs="Arial" w:eastAsia="Arial" w:hAnsi="Arial"/>
          <w:color w:val="1A1A1A"/>
          <w:sz w:val="22"/>
          <w:szCs w:val="22"/>
        </w:rPr>
        <w:t xml:space="preserve">The Joint Commission International is the global healthcare accreditation body. Domestically, the Joint Commission (TJC) accredits approximately 22,000 U.S. healthcare organizations. CMS grants 'deemed status' to accredited hospitals, meaning accreditation satisfies Medicare Conditions of Participation without a separate federal survey. The JCI 8th Edition (implemented 2021-2024) introduced strengthened requirements for high-reliability organization (HRO) principles, proactive safety event reporting, and infection prevention — all directly mapped to safety_incident_flag, incident_type, incident_severity, and hai_flag in your dataset.</w:t>
      </w:r>
    </w:p>
    <w:p>
      <w:pPr>
        <w:spacing w:after="100" w:before="0"/>
      </w:pPr>
      <w:r>
        <w:t xml:space="preserve"/>
      </w:r>
    </w:p>
    <w:p>
      <w:pPr>
        <w:spacing w:after="80" w:before="200"/>
      </w:pPr>
      <w:r>
        <w:rPr>
          <w:rFonts w:ascii="Arial" w:cs="Arial" w:eastAsia="Arial" w:hAnsi="Arial"/>
          <w:b/>
          <w:bCs/>
          <w:color w:val="1F3864"/>
          <w:sz w:val="22"/>
          <w:szCs w:val="22"/>
        </w:rPr>
        <w:t xml:space="preserve">References &amp; Further Reading — Section 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CMS. Hospital Readmissions Reduction Program (HRRP). https://www.cms.gov/medicare/payment/prospective-payment-systems/acute-inpatient-pps/hrrp</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CMS. Hospital-Acquired Condition Reduction Program (HACRP). https://www.cms.gov/medicare/quality/value-based-programs/hospital-acquired-conditions</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CMS. Bundled Payments for Care Improvement Advanced (BPCI Advanced). https://innovation.cms.gov/innovation-models/bpci-advanced</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HHS. HIPAA Privacy Rule, 45 CFR Section 164.514(b)(2) — Safe Harbor De-identification. https://www.hhs.gov/hipaa/for-professionals/privacy/special-topics/de-identification/index.html</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CMS. Overall Hospital Quality Star Rating Methodology 2024. https://qualitynet.cms.gov/inpatient/public-reporting/overall-ratings</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Joint Commission International. JCI Accreditation Standards for Hospitals, 8th Edition. https://www.jointcommissioninternational.org/</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ONC. 21st Century Cures Act — Information Blocking Rule. https://www.healthit.gov/curesrule/</w:t>
            </w:r>
          </w:p>
        </w:tc>
      </w:tr>
    </w:tbl>
    <w:p>
      <w:pPr>
        <w:spacing w:after="200" w:before="0"/>
      </w:pPr>
      <w:r>
        <w:t xml:space="preserve"/>
      </w:r>
    </w:p>
    <w:p>
      <w:r>
        <w:br w:type="page"/>
      </w:r>
    </w:p>
    <w:p>
      <w:pPr>
        <w:pStyle w:val="Heading3"/>
        <w:spacing w:after="120" w:before="240"/>
      </w:pPr>
      <w:r>
        <w:rPr>
          <w:rFonts w:ascii="Arial" w:cs="Arial" w:eastAsia="Arial" w:hAnsi="Arial"/>
          <w:b/>
          <w:bCs/>
          <w:color w:val="2E75B6"/>
          <w:sz w:val="26"/>
          <w:szCs w:val="26"/>
        </w:rPr>
        <w:t xml:space="preserve">1.1.4  Clinical Quality Standards &amp; Benchmarking</w:t>
      </w:r>
    </w:p>
    <w:p>
      <w:pPr>
        <w:spacing w:after="100" w:before="60" w:line="320"/>
      </w:pPr>
      <w:r>
        <w:rPr>
          <w:rFonts w:ascii="Arial" w:cs="Arial" w:eastAsia="Arial" w:hAnsi="Arial"/>
          <w:color w:val="1A1A1A"/>
          <w:sz w:val="22"/>
          <w:szCs w:val="22"/>
        </w:rPr>
        <w:t xml:space="preserve">If the regulatory programs in Section 1.1.3 represent the rules of the game, the frameworks described here represent the scorecards. They define exactly how quality is measured, what good performance looks like, and how hospitals compare against each other nationally. A healthcare data analyst who cannot read a HEDIS measure specification, interpret a CAHPS domain score, or explain what an EMRAM Stage 7 hospital looks like will struggle to add value in any health system analytics role.</w:t>
      </w:r>
    </w:p>
    <w:p>
      <w:pPr>
        <w:spacing w:after="100" w:before="0"/>
      </w:pPr>
      <w:r>
        <w:t xml:space="preserve"/>
      </w:r>
    </w:p>
    <w:p>
      <w:pPr>
        <w:spacing w:after="80" w:before="200"/>
      </w:pPr>
      <w:r>
        <w:rPr>
          <w:rFonts w:ascii="Arial" w:cs="Arial" w:eastAsia="Arial" w:hAnsi="Arial"/>
          <w:b/>
          <w:bCs/>
          <w:color w:val="1A7A6B"/>
          <w:sz w:val="24"/>
          <w:szCs w:val="24"/>
        </w:rPr>
        <w:t xml:space="preserve">HEDIS 2025: Healthcare Effectiveness Data and Information Set</w:t>
      </w:r>
    </w:p>
    <w:p>
      <w:pPr>
        <w:spacing w:after="100" w:before="60" w:line="320"/>
      </w:pPr>
      <w:r>
        <w:rPr>
          <w:rFonts w:ascii="Arial" w:cs="Arial" w:eastAsia="Arial" w:hAnsi="Arial"/>
          <w:color w:val="1A1A1A"/>
          <w:sz w:val="22"/>
          <w:szCs w:val="22"/>
        </w:rPr>
        <w:t xml:space="preserve">HEDIS is the most widely used healthcare quality measurement tool in the United States. Developed by the National Committee for Quality Assurance (NCQA), HEDIS 2025 contains over 90 measures across six domains: Effectiveness of Care, Access and Availability of Care, Experience of Care, Utilization and Risk-Adjusted Utilization, Health Plan Descriptive Information, and Electronic Clinical Data Measures. Over 90% of U.S. health plans use HEDIS to report quality data to employers, regulators, and the public. Understanding HEDIS measures is not optional for a healthcare analyst — payer contracts, quality bonuses, and CMS star ratings are all directly tied to HEDIS performance.</w:t>
      </w:r>
    </w:p>
    <w:p>
      <w:pPr>
        <w:spacing w:after="100" w:before="0"/>
      </w:pPr>
      <w:r>
        <w:t xml:space="preserve"/>
      </w:r>
    </w:p>
    <w:p>
      <w:pPr>
        <w:spacing w:after="80" w:before="200"/>
      </w:pPr>
      <w:r>
        <w:rPr>
          <w:rFonts w:ascii="Arial" w:cs="Arial" w:eastAsia="Arial" w:hAnsi="Arial"/>
          <w:b/>
          <w:bCs/>
          <w:color w:val="1A7A6B"/>
          <w:sz w:val="24"/>
          <w:szCs w:val="24"/>
        </w:rPr>
        <w:t xml:space="preserve">The Two HEDIS Measures in Your Dataset — Deep Dive</w:t>
      </w:r>
    </w:p>
    <w:p>
      <w:pPr>
        <w:spacing w:after="100" w:before="60" w:line="320"/>
      </w:pPr>
      <w:r>
        <w:rPr>
          <w:rFonts w:ascii="Arial" w:cs="Arial" w:eastAsia="Arial" w:hAnsi="Arial"/>
          <w:color w:val="1A1A1A"/>
          <w:sz w:val="22"/>
          <w:szCs w:val="22"/>
        </w:rPr>
        <w:t xml:space="preserve">The SDG Engine v2.0 includes two HEDIS 2025 measures operationalized as columns in the Quality and Standards domain. Both involve diabetic patients — the single largest chronic disease category in American healthcare, affecting approximately 37 million Americans.</w:t>
      </w:r>
    </w:p>
    <w:p>
      <w:pPr>
        <w:pStyle w:val="ListParagraph"/>
        <w:numPr>
          <w:ilvl w:val="0"/>
          <w:numId w:val="2"/>
        </w:numPr>
        <w:spacing w:after="60" w:before="40" w:line="300"/>
      </w:pPr>
      <w:r>
        <w:rPr>
          <w:rFonts w:ascii="Arial" w:cs="Arial" w:eastAsia="Arial" w:hAnsi="Arial"/>
          <w:color w:val="1A1A1A"/>
          <w:sz w:val="22"/>
          <w:szCs w:val="22"/>
        </w:rPr>
        <w:t xml:space="preserve">HEDIS CDC — HbA1c Testing (Column: hedis_hba1c_tested). The Comprehensive Diabetes Care (CDC) measure set requires that all enrolled members aged 18-75 with Type 2 diabetes receive at least one HbA1c test per measurement year. The column value is 1 if the test occurred (hba1c_pct has a value), 0 if not. Health plans and hospitals are expected to achieve near-100% testing compliance — a result below 80% triggers payer-side care gap outreach programs. The laboratory observation is coded to LOINC 4548-4 in the dataset. Your SQL task: calculate the testing rate among all has_diabetes = 1 patients, segment by age group and payer, and identify which patient segments have care gaps (testing rate below 90%).</w:t>
      </w:r>
    </w:p>
    <w:p>
      <w:pPr>
        <w:pStyle w:val="ListParagraph"/>
        <w:numPr>
          <w:ilvl w:val="0"/>
          <w:numId w:val="2"/>
        </w:numPr>
        <w:spacing w:after="60" w:before="40" w:line="300"/>
      </w:pPr>
      <w:r>
        <w:rPr>
          <w:rFonts w:ascii="Arial" w:cs="Arial" w:eastAsia="Arial" w:hAnsi="Arial"/>
          <w:color w:val="1A1A1A"/>
          <w:sz w:val="22"/>
          <w:szCs w:val="22"/>
        </w:rPr>
        <w:t xml:space="preserve">HEDIS CDC — HbA1c Poor Control &gt;9% (Column: hedis_hba1c_poor_control). This is a lower-is-better measure — higher rates mean worse performance, because more patients have dangerously uncontrolled diabetes. The measure flags diabetic patients whose most recent HbA1c exceeds 9.0% (hba1c_pct &gt; 9.0). The national HEDIS benchmark for poor control is approximately 26-31% of the diabetic population. Patients in this category face dramatically elevated risk for nephropathy, retinopathy, neuropathy, and cardiovascular events and are the primary target for intensive care management outreach. In Power BI, this metric is displayed as a 'lower-is-better' KPI card with a red-yellow-green threshold scale reversed from the standard orientation.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40"/>
              <w:bottom w:type="dxa" w:w="120"/>
              <w:right w:type="dxa" w:w="240"/>
            </w:tcMar>
          </w:tcPr>
          <w:p>
            <w:pPr>
              <w:spacing w:after="60" w:before="0"/>
            </w:pPr>
            <w:r>
              <w:rPr>
                <w:rFonts w:ascii="Arial" w:cs="Arial" w:eastAsia="Arial" w:hAnsi="Arial"/>
                <w:b/>
                <w:bCs/>
                <w:color w:val="2E75B6"/>
                <w:sz w:val="20"/>
                <w:szCs w:val="20"/>
              </w:rPr>
              <w:t xml:space="preserve">📐  SQL — Full HEDIS Diabetes Dashboard</w:t>
            </w:r>
          </w:p>
          <w:p>
            <w:pPr>
              <w:spacing w:after="0" w:before="0"/>
            </w:pPr>
            <w:r>
              <w:rPr>
                <w:rFonts w:ascii="Arial" w:cs="Arial" w:eastAsia="Arial" w:hAnsi="Arial"/>
                <w:color w:val="1A1A1A"/>
                <w:sz w:val="20"/>
                <w:szCs w:val="20"/>
              </w:rPr>
              <w:t xml:space="preserve">SELECT COUNT(*) AS total_diabetic, SUM(hedis_hba1c_tested) AS tested_count, ROUND(SUM(hedis_hba1c_tested)*100.0/COUNT(*),1) AS testing_rate_pct, SUM(hedis_hba1c_poor_control) AS poor_control_count, ROUND(SUM(hedis_hba1c_poor_control)*100.0/COUNT(*),1) AS poor_control_rate_pct, ROUND(AVG(hba1c_pct),2) AS mean_hba1c FROM encounters WHERE has_diabetes=1;  Benchmarks: Testing rate target &gt;=90%. Poor control target &lt;26%.</w:t>
            </w:r>
          </w:p>
        </w:tc>
      </w:tr>
    </w:tbl>
    <w:p>
      <w:pPr>
        <w:spacing w:after="100" w:before="0"/>
      </w:pPr>
      <w:r>
        <w:t xml:space="preserve"/>
      </w:r>
    </w:p>
    <w:p>
      <w:pPr>
        <w:spacing w:after="80" w:before="200"/>
      </w:pPr>
      <w:r>
        <w:rPr>
          <w:rFonts w:ascii="Arial" w:cs="Arial" w:eastAsia="Arial" w:hAnsi="Arial"/>
          <w:b/>
          <w:bCs/>
          <w:color w:val="1A7A6B"/>
          <w:sz w:val="24"/>
          <w:szCs w:val="24"/>
        </w:rPr>
        <w:t xml:space="preserve">HCAHPS / CAHPS: The Patient Experience Measurement Framework</w:t>
      </w:r>
    </w:p>
    <w:p>
      <w:pPr>
        <w:spacing w:after="100" w:before="60" w:line="320"/>
      </w:pPr>
      <w:r>
        <w:rPr>
          <w:rFonts w:ascii="Arial" w:cs="Arial" w:eastAsia="Arial" w:hAnsi="Arial"/>
          <w:color w:val="1A1A1A"/>
          <w:sz w:val="22"/>
          <w:szCs w:val="22"/>
        </w:rPr>
        <w:t xml:space="preserve">The Hospital Consumer Assessment of Healthcare Providers and Systems (HCAHPS) is the standardized patient satisfaction survey mandated by CMS for all acute care hospitals participating in Medicare. Results are publicly reported on Care Compare and directly impact hospital reimbursement: patient experience accounts for 25% of the VBP Total Performance Score. The survey is administered to a random sample of adult inpatients 2-42 days after discharge and contains 19 core questions organized into composite domains.</w:t>
      </w:r>
    </w:p>
    <w:p>
      <w:pPr>
        <w:spacing w:after="100" w:before="60" w:line="320"/>
      </w:pPr>
      <w:r>
        <w:rPr>
          <w:rFonts w:ascii="Arial" w:cs="Arial" w:eastAsia="Arial" w:hAnsi="Arial"/>
          <w:color w:val="1A1A1A"/>
          <w:sz w:val="22"/>
          <w:szCs w:val="22"/>
        </w:rPr>
        <w:t xml:space="preserve">Your SDG Engine v2.0 HR domain contains eight CAHPS columns that map directly to HCAHPS composites. The critical analytical insight is that these scores are not independent data points — they are downstream outcomes driven by operational and HR variables. Understanding the causal chain is the difference between reporting a score and actually improving 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CAHPS Column</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HCAHPS Domain</w:t>
            </w:r>
          </w:p>
        </w:tc>
        <w:tc>
          <w:tcPr>
            <w:tcW w:type="dxa" w:w="2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Dataset Drivers</w:t>
            </w:r>
          </w:p>
        </w:tc>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Management Lever</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cahps_nurse_communication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Nurse Communication Composite</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patients_per_nurse_ratio (inverse), burnout_exhaustion_mbi (inverse)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Reduce nurse workload; address burnout</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cahps_doctor_communication</w:t>
            </w:r>
          </w:p>
        </w:tc>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Doctor Communication Composite</w:t>
            </w:r>
          </w:p>
        </w:tc>
        <w:tc>
          <w:tcPr>
            <w:tcW w:type="dxa" w:w="2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surgeon_specialty, shift_hours</w:t>
            </w:r>
          </w:p>
        </w:tc>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Physician communication training</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cahps_responsiveness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Responsiveness of Hospital Staff</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patients_per_nurse_ratio, bed_occupancy_pct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Staffing levels; bed management</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cahps_pain_management</w:t>
            </w:r>
          </w:p>
        </w:tc>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Pain Management (legacy — removed from Star Rating 2018)</w:t>
            </w:r>
          </w:p>
        </w:tc>
        <w:tc>
          <w:tcPr>
            <w:tcW w:type="dxa" w:w="2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severity_index, procedure type</w:t>
            </w:r>
          </w:p>
        </w:tc>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Multimodal pain protocols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cahps_discharge_info</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Discharge Information Quality</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los_days, follow_up_within_48h_flag</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Structured discharge education programs</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cahps_care_transition</w:t>
            </w:r>
          </w:p>
        </w:tc>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Care Transitions Composite</w:t>
            </w:r>
          </w:p>
        </w:tc>
        <w:tc>
          <w:tcPr>
            <w:tcW w:type="dxa" w:w="2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readmission_30d_flag, follow_up_within_48h_flag</w:t>
            </w:r>
          </w:p>
        </w:tc>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Care transition nurse programs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cahps_cleanliness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Hospital Environment — Cleanliness</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hai_flag, unit_assigned</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Environmental services scheduling</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cahps_quietness</w:t>
            </w:r>
          </w:p>
        </w:tc>
        <w:tc>
          <w:tcPr>
            <w:tcW w:type="dxa" w:w="20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Hospital Environment — Quietness</w:t>
            </w:r>
          </w:p>
        </w:tc>
        <w:tc>
          <w:tcPr>
            <w:tcW w:type="dxa" w:w="2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unit_assigned, los_days</w:t>
            </w:r>
          </w:p>
        </w:tc>
        <w:tc>
          <w:tcPr>
            <w:tcW w:type="dxa" w:w="26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Quiet hours protocols; unit design</w:t>
            </w:r>
          </w:p>
        </w:tc>
      </w:tr>
    </w:tbl>
    <w:p>
      <w:pPr>
        <w:spacing w:after="100" w:before="0"/>
      </w:pPr>
      <w:r>
        <w:t xml:space="preserve"/>
      </w:r>
    </w:p>
    <w:p>
      <w:pPr>
        <w:spacing w:after="100" w:before="60" w:line="320"/>
      </w:pPr>
      <w:r>
        <w:rPr>
          <w:rFonts w:ascii="Arial" w:cs="Arial" w:eastAsia="Arial" w:hAnsi="Arial"/>
          <w:color w:val="1A1A1A"/>
          <w:sz w:val="22"/>
          <w:szCs w:val="22"/>
        </w:rPr>
        <w:t xml:space="preserve">Analyst application: A hospital administrator sees that cahps_responsiveness scores have dropped 0.3 points over the past quarter. A junior analyst reports the score. A senior analyst builds a multiple regression: cahps_responsiveness ~ patients_per_nurse_ratio + bed_occupancy_pct + overtime_hours + burnout_exhaustion_mbi and finds that a 1-unit increase in patients_per_nurse_ratio explains 0.22 of the score decline, and bed occupancy crossing 85% explains 0.18. The recommendation becomes operationally specific: focus staffing intervention on units with simultaneous high occupancy and high nurse-to-patient ratios. The dataset enables exactly this analysis.</w:t>
      </w:r>
    </w:p>
    <w:p>
      <w:pPr>
        <w:spacing w:after="100" w:before="0"/>
      </w:pPr>
      <w:r>
        <w:t xml:space="preserve"/>
      </w:r>
    </w:p>
    <w:p>
      <w:pPr>
        <w:spacing w:after="80" w:before="200"/>
      </w:pPr>
      <w:r>
        <w:rPr>
          <w:rFonts w:ascii="Arial" w:cs="Arial" w:eastAsia="Arial" w:hAnsi="Arial"/>
          <w:b/>
          <w:bCs/>
          <w:color w:val="1A7A6B"/>
          <w:sz w:val="24"/>
          <w:szCs w:val="24"/>
        </w:rPr>
        <w:t xml:space="preserve">ISO 7101: Healthcare Quality Management Systems</w:t>
      </w:r>
    </w:p>
    <w:p>
      <w:pPr>
        <w:spacing w:after="100" w:before="60" w:line="320"/>
      </w:pPr>
      <w:r>
        <w:rPr>
          <w:rFonts w:ascii="Arial" w:cs="Arial" w:eastAsia="Arial" w:hAnsi="Arial"/>
          <w:color w:val="1A1A1A"/>
          <w:sz w:val="22"/>
          <w:szCs w:val="22"/>
        </w:rPr>
        <w:t xml:space="preserve">Published in 2019 by the International Organization for Standardization, ISO 7101 is the first international standard specifically designed for healthcare quality management systems. It follows the same high-level structure as ISO 9001 (the general quality management standard) but adds healthcare-specific requirements including patient safety culture assessment, clinical risk management, and continuous improvement cycles using the Plan-Do-Study-Act (PDSA) methodology.</w:t>
      </w:r>
    </w:p>
    <w:p>
      <w:pPr>
        <w:spacing w:after="100" w:before="60" w:line="320"/>
      </w:pPr>
      <w:r>
        <w:rPr>
          <w:rFonts w:ascii="Arial" w:cs="Arial" w:eastAsia="Arial" w:hAnsi="Arial"/>
          <w:color w:val="1A1A1A"/>
          <w:sz w:val="22"/>
          <w:szCs w:val="22"/>
        </w:rPr>
        <w:t xml:space="preserve">In your dataset, the pdsa_cycle_id column provides traceability from individual safety incidents (safety_incident_flag = 1) to documented improvement cycles. This is audit evidence required by ISO 7101: organizations must demonstrate a systematic, documented response to adverse events. For a data analyst, querying pdsa_cycle_id allows you to measure what proportion of safety incidents triggered formal PDSA cycles and, critically, whether the same incident_type categories repeat after a PDSA cycle was completed — a direct measure of improvement program effectiveness.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40"/>
              <w:bottom w:type="dxa" w:w="120"/>
              <w:right w:type="dxa" w:w="240"/>
            </w:tcMar>
          </w:tcPr>
          <w:p>
            <w:pPr>
              <w:spacing w:after="60" w:before="0"/>
            </w:pPr>
            <w:r>
              <w:rPr>
                <w:rFonts w:ascii="Arial" w:cs="Arial" w:eastAsia="Arial" w:hAnsi="Arial"/>
                <w:b/>
                <w:bCs/>
                <w:color w:val="2E75B6"/>
                <w:sz w:val="20"/>
                <w:szCs w:val="20"/>
              </w:rPr>
              <w:t xml:space="preserve">📐  SQL — PDSA Coverage Analysis</w:t>
            </w:r>
          </w:p>
          <w:p>
            <w:pPr>
              <w:spacing w:after="0" w:before="0"/>
            </w:pPr>
            <w:r>
              <w:rPr>
                <w:rFonts w:ascii="Arial" w:cs="Arial" w:eastAsia="Arial" w:hAnsi="Arial"/>
                <w:color w:val="1A1A1A"/>
                <w:sz w:val="20"/>
                <w:szCs w:val="20"/>
              </w:rPr>
              <w:t xml:space="preserve">SELECT incident_type, COUNT(*) AS total_incidents, COUNT(pdsa_cycle_id) AS with_pdsa, ROUND(COUNT(pdsa_cycle_id)*100.0/COUNT(*),1) AS pdsa_coverage_pct FROM encounters WHERE safety_incident_flag=1 GROUP BY incident_type ORDER BY pdsa_coverage_pct ASC;  — ISO 7101 expects 100% coverage for Major and Moderate severity incidents. Flag incident types with coverage below 80%.</w:t>
            </w:r>
          </w:p>
        </w:tc>
      </w:tr>
    </w:tbl>
    <w:p>
      <w:pPr>
        <w:spacing w:after="100" w:before="0"/>
      </w:pPr>
      <w:r>
        <w:t xml:space="preserve"/>
      </w:r>
    </w:p>
    <w:p>
      <w:pPr>
        <w:spacing w:after="80" w:before="200"/>
      </w:pPr>
      <w:r>
        <w:rPr>
          <w:rFonts w:ascii="Arial" w:cs="Arial" w:eastAsia="Arial" w:hAnsi="Arial"/>
          <w:b/>
          <w:bCs/>
          <w:color w:val="1A7A6B"/>
          <w:sz w:val="24"/>
          <w:szCs w:val="24"/>
        </w:rPr>
        <w:t xml:space="preserve">HIMSS EMRAM: Digital Maturity as a Quality Covariate</w:t>
      </w:r>
    </w:p>
    <w:p>
      <w:pPr>
        <w:spacing w:after="100" w:before="60" w:line="320"/>
      </w:pPr>
      <w:r>
        <w:rPr>
          <w:rFonts w:ascii="Arial" w:cs="Arial" w:eastAsia="Arial" w:hAnsi="Arial"/>
          <w:color w:val="1A1A1A"/>
          <w:sz w:val="22"/>
          <w:szCs w:val="22"/>
        </w:rPr>
        <w:t xml:space="preserve">The HIMSS Electronic Medical Record Adoption Model (EMRAM) is an eight-stage framework (0-7) measuring digital maturity of hospital information systems. Each stage requires all capabilities of the prior stage plus new functionality. The himss_emram_stage column in your dataset ranges from 0 to 7 and should be treated as a confounding variable in any multi-site quality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560"/>
        <w:gridCol w:w="340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EMRAM Stage</w:t>
            </w:r>
          </w:p>
        </w:tc>
        <w:tc>
          <w:tcPr>
            <w:tcW w:type="dxa" w:w="33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Capabilities Added</w:t>
            </w:r>
          </w:p>
        </w:tc>
        <w:tc>
          <w:tcPr>
            <w:tcW w:type="dxa" w:w="1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 Hospital Share</w:t>
            </w:r>
          </w:p>
        </w:tc>
        <w:tc>
          <w:tcPr>
            <w:tcW w:type="dxa" w:w="3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Analytics Relevance</w:t>
            </w:r>
          </w:p>
        </w:tc>
      </w:tr>
      <w:tr>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33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clinical information systems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&lt;1%</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digital data; manual records only</w:t>
            </w:r>
          </w:p>
        </w:tc>
      </w:tr>
      <w:tr>
        <w:tc>
          <w:tcPr>
            <w:tcW w:type="dxa" w:w="11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33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Lab, pharmacy, radiology departmental systems</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&lt;2%</w:t>
            </w:r>
          </w:p>
        </w:tc>
        <w:tc>
          <w:tcPr>
            <w:tcW w:type="dxa" w:w="3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Basic ancillary data accessible digitally</w:t>
            </w:r>
          </w:p>
        </w:tc>
      </w:tr>
      <w:tr>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33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Clinical data repository; cross-departmental data access</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Cross-departmental queries possible</w:t>
            </w:r>
          </w:p>
        </w:tc>
      </w:tr>
      <w:tr>
        <w:tc>
          <w:tcPr>
            <w:tcW w:type="dxa" w:w="11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33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Nursing documentation; PACS; electronic medication administration record</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3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Nursing notes and medication records digital</w:t>
            </w:r>
          </w:p>
        </w:tc>
      </w:tr>
      <w:tr>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33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CPOE with clinical decision support</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Physician order analytics; alert data</w:t>
            </w:r>
          </w:p>
        </w:tc>
      </w:tr>
      <w:tr>
        <w:tc>
          <w:tcPr>
            <w:tcW w:type="dxa" w:w="11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33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Closed-loop medication administration; full CPOE</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~25%</w:t>
            </w:r>
          </w:p>
        </w:tc>
        <w:tc>
          <w:tcPr>
            <w:tcW w:type="dxa" w:w="3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Medication safety tracking; barcode scanning</w:t>
            </w:r>
          </w:p>
        </w:tc>
      </w:tr>
      <w:tr>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33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physician documentation; structured data throughout</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NLP-ready notes; structured vitals and assessments</w:t>
            </w:r>
          </w:p>
        </w:tc>
      </w:tr>
      <w:tr>
        <w:tc>
          <w:tcPr>
            <w:tcW w:type="dxa" w:w="11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33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Complete EMR; external HIE; AI/ML operational analytics</w:t>
            </w:r>
          </w:p>
        </w:tc>
        <w:tc>
          <w:tcPr>
            <w:tcW w:type="dxa" w:w="156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w:t>
            </w:r>
          </w:p>
        </w:tc>
        <w:tc>
          <w:tcPr>
            <w:tcW w:type="dxa" w:w="3400"/>
            <w:tcBorders>
              <w:top w:val="single" w:color="D0D0D0" w:sz="1"/>
              <w:left w:val="single" w:color="D0D0D0" w:sz="1"/>
              <w:bottom w:val="single" w:color="D0D0D0" w:sz="1"/>
              <w:right w:val="single" w:color="D0D0D0"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Full analytics infrastructure; real-time dashboards</w:t>
            </w:r>
          </w:p>
        </w:tc>
      </w:tr>
    </w:tbl>
    <w:p>
      <w:pPr>
        <w:spacing w:after="100" w:before="0"/>
      </w:pPr>
      <w:r>
        <w:t xml:space="preserve"/>
      </w:r>
    </w:p>
    <w:p>
      <w:pPr>
        <w:spacing w:after="100" w:before="60" w:line="320"/>
      </w:pPr>
      <w:r>
        <w:rPr>
          <w:rFonts w:ascii="Arial" w:cs="Arial" w:eastAsia="Arial" w:hAnsi="Arial"/>
          <w:color w:val="1A1A1A"/>
          <w:sz w:val="22"/>
          <w:szCs w:val="22"/>
        </w:rPr>
        <w:t xml:space="preserve">Critical analyst implication: A Stage 7 hospital has complete clinical decision support, closed-loop medication safety systems, and real-time population health analytics. Its HAI rates, readmission rates, and CAHPS scores will differ structurally from a Stage 3 hospital — not because of superior clinical staff, but because of better information infrastructure. Failing to control for himss_emram_stage in any multi-site analysis is a classic omitted variable bias error. In regression models using your dataset, always include himss_emram_stage as a covariate when outcome variables include readmission_30d_flag, hai_flag, or any CAHPS dimension.</w:t>
      </w:r>
    </w:p>
    <w:p>
      <w:pPr>
        <w:spacing w:after="100" w:before="0"/>
      </w:pPr>
      <w:r>
        <w:t xml:space="preserve"/>
      </w:r>
    </w:p>
    <w:p>
      <w:pPr>
        <w:spacing w:after="80" w:before="200"/>
      </w:pPr>
      <w:r>
        <w:rPr>
          <w:rFonts w:ascii="Arial" w:cs="Arial" w:eastAsia="Arial" w:hAnsi="Arial"/>
          <w:b/>
          <w:bCs/>
          <w:color w:val="1A7A6B"/>
          <w:sz w:val="24"/>
          <w:szCs w:val="24"/>
        </w:rPr>
        <w:t xml:space="preserve">NDNQI and AHRQ Common Formats: The Safety Event Taxonomy</w:t>
      </w:r>
    </w:p>
    <w:p>
      <w:pPr>
        <w:spacing w:after="100" w:before="60" w:line="320"/>
      </w:pPr>
      <w:r>
        <w:rPr>
          <w:rFonts w:ascii="Arial" w:cs="Arial" w:eastAsia="Arial" w:hAnsi="Arial"/>
          <w:color w:val="1A1A1A"/>
          <w:sz w:val="22"/>
          <w:szCs w:val="22"/>
        </w:rPr>
        <w:t xml:space="preserve">The National Database of Nursing Quality Indicators (NDNQI), maintained by Press Ganey, is the premier nursing-specific benchmarking database in the U.S., collecting unit-level data from over 2,000 hospitals on nursing-sensitive indicators including patient falls, pressure injuries, CLABSI, CAUTI, and nurse staffing ratios. The incident_type column in the SDG Engine Operational domain uses NDNQI-aligned categories: Fall, Medication Error, Pressure Injury, CAUTI, CLABSI, SSI, Near-Miss, Equipment Failure, Delay in Care.</w:t>
      </w:r>
    </w:p>
    <w:p>
      <w:pPr>
        <w:spacing w:after="100" w:before="60" w:line="320"/>
      </w:pPr>
      <w:r>
        <w:rPr>
          <w:rFonts w:ascii="Arial" w:cs="Arial" w:eastAsia="Arial" w:hAnsi="Arial"/>
          <w:color w:val="1A1A1A"/>
          <w:sz w:val="22"/>
          <w:szCs w:val="22"/>
        </w:rPr>
        <w:t xml:space="preserve">The AHRQ Common Formats standardize the definitions and data elements for patient safety event reporting, enabling benchmarking across institutions that would otherwise use inconsistent terminology. The incident_severity column (Near-Miss, Minor, Moderate, Major) directly aligns with the AHRQ Common Formats Harm Scale. For a data analyst, these taxonomies are essential because they allow you to map your internal safety event data to published national benchmarks — enabling a hospital to determine whether its fall rate or medication error rate is above or below the national NDNQI average for its peer group.</w:t>
      </w:r>
    </w:p>
    <w:p>
      <w:pPr>
        <w:spacing w:after="100" w:before="0"/>
      </w:pPr>
      <w:r>
        <w:t xml:space="preserve"/>
      </w:r>
    </w:p>
    <w:p>
      <w:pPr>
        <w:spacing w:after="80" w:before="200"/>
      </w:pPr>
      <w:r>
        <w:rPr>
          <w:rFonts w:ascii="Arial" w:cs="Arial" w:eastAsia="Arial" w:hAnsi="Arial"/>
          <w:b/>
          <w:bCs/>
          <w:color w:val="1A7A6B"/>
          <w:sz w:val="24"/>
          <w:szCs w:val="24"/>
        </w:rPr>
        <w:t xml:space="preserve">APR-DRG and Charlson Comorbidity Index: The Risk Adjustment Foundation</w:t>
      </w:r>
    </w:p>
    <w:p>
      <w:pPr>
        <w:spacing w:after="100" w:before="60" w:line="320"/>
      </w:pPr>
      <w:r>
        <w:rPr>
          <w:rFonts w:ascii="Arial" w:cs="Arial" w:eastAsia="Arial" w:hAnsi="Arial"/>
          <w:color w:val="1A1A1A"/>
          <w:sz w:val="22"/>
          <w:szCs w:val="22"/>
        </w:rPr>
        <w:t xml:space="preserve">Risk adjustment is the statistical process of accounting for patient complexity differences when comparing outcomes across hospitals, physicians, or time periods. Without risk adjustment, a hospital treating sicker patients will appear to have worse outcomes — not from worse care, but from harder cases. Two frameworks underpin risk adjustment in U.S. hospital analytics:</w:t>
      </w:r>
    </w:p>
    <w:p>
      <w:pPr>
        <w:pStyle w:val="ListParagraph"/>
        <w:numPr>
          <w:ilvl w:val="0"/>
          <w:numId w:val="2"/>
        </w:numPr>
        <w:spacing w:after="60" w:before="40" w:line="300"/>
      </w:pPr>
      <w:r>
        <w:rPr>
          <w:rFonts w:ascii="Arial" w:cs="Arial" w:eastAsia="Arial" w:hAnsi="Arial"/>
          <w:color w:val="1A1A1A"/>
          <w:sz w:val="22"/>
          <w:szCs w:val="22"/>
        </w:rPr>
        <w:t xml:space="preserve">APR-DRG (All Patient Refined Diagnosis Related Groups): Developed by 3M Health Information Systems, APR-DRG extends basic DRG classification by adding four severity-of-illness subclasses (1=Minor, 2=Moderate, 3=Major, 4=Extreme) and four risk-of-mortality subclasses. The severity_index column in the SDG Engine is explicitly designed to mimic the APR-DRG severity-of-illness construct. It drives length of stay, OR time, submitted charges, readmission probability, and HAI risk simultaneously. It is your single most important risk adjustment variable.</w:t>
      </w:r>
    </w:p>
    <w:p>
      <w:pPr>
        <w:pStyle w:val="ListParagraph"/>
        <w:numPr>
          <w:ilvl w:val="0"/>
          <w:numId w:val="2"/>
        </w:numPr>
        <w:spacing w:after="60" w:before="40" w:line="300"/>
      </w:pPr>
      <w:r>
        <w:rPr>
          <w:rFonts w:ascii="Arial" w:cs="Arial" w:eastAsia="Arial" w:hAnsi="Arial"/>
          <w:color w:val="1A1A1A"/>
          <w:sz w:val="22"/>
          <w:szCs w:val="22"/>
        </w:rPr>
        <w:t xml:space="preserve">Charlson Comorbidity Index (CCI): The CCI assigns weighted scores to 17 chronic conditions and sums them into a composite score that predicts 10-year mortality risk. The comorbidity_count column is described in the data dictionary as 'a simplified Charlson-style index.' In practice: has_chf contributes the highest weight in the original CCI (score of 1, with decompensated CHF scoring higher), has_diabetes without end-organ damage scores 1, and has_hypertension alone scores 0 in the original CCI but contributes meaningfully to cardiovascular risk. In Python: a CCI proxy = comorbidity_count + (has_chf * 1) provides a slightly weighted version appropriate for regression covariates.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40"/>
              <w:bottom w:type="dxa" w:w="120"/>
              <w:right w:type="dxa" w:w="240"/>
            </w:tcMar>
          </w:tcPr>
          <w:p>
            <w:pPr>
              <w:spacing w:after="60" w:before="0"/>
            </w:pPr>
            <w:r>
              <w:rPr>
                <w:rFonts w:ascii="Arial" w:cs="Arial" w:eastAsia="Arial" w:hAnsi="Arial"/>
                <w:b/>
                <w:bCs/>
                <w:color w:val="2E75B6"/>
                <w:sz w:val="20"/>
                <w:szCs w:val="20"/>
              </w:rPr>
              <w:t xml:space="preserve">🔗  Dataset Connection — Risk-Adjusted Benchmarking</w:t>
            </w:r>
          </w:p>
          <w:p>
            <w:pPr>
              <w:spacing w:after="0" w:before="0"/>
            </w:pPr>
            <w:r>
              <w:rPr>
                <w:rFonts w:ascii="Arial" w:cs="Arial" w:eastAsia="Arial" w:hAnsi="Arial"/>
                <w:color w:val="1A1A1A"/>
                <w:sz w:val="20"/>
                <w:szCs w:val="20"/>
              </w:rPr>
              <w:t xml:space="preserve">Never compare hai_flag or readmission_30d_flag rates across diagnosis_category groups without risk adjustment. SQL pattern: SELECT diagnosis_category, NTILE(4) OVER (ORDER BY severity_index) AS severity_quartile, AVG(CAST(readmission_30d_flag AS FLOAT)) AS readmission_rate FROM encounters GROUP BY diagnosis_category, severity_quartile ORDER BY diagnosis_category, severity_quartile;  This reveals whether high readmission rates are driven by acuity (expected) or by operational failure (actionable).</w:t>
            </w:r>
          </w:p>
        </w:tc>
      </w:tr>
    </w:tbl>
    <w:p>
      <w:pPr>
        <w:spacing w:after="100" w:before="0"/>
      </w:pPr>
      <w:r>
        <w:t xml:space="preserve"/>
      </w:r>
    </w:p>
    <w:p>
      <w:pPr>
        <w:spacing w:after="80" w:before="200"/>
      </w:pPr>
      <w:r>
        <w:rPr>
          <w:rFonts w:ascii="Arial" w:cs="Arial" w:eastAsia="Arial" w:hAnsi="Arial"/>
          <w:b/>
          <w:bCs/>
          <w:color w:val="1F3864"/>
          <w:sz w:val="22"/>
          <w:szCs w:val="22"/>
        </w:rPr>
        <w:t xml:space="preserve">References &amp; Further Reading — Section 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NCQA. HEDIS 2025 Technical Specifications, Volume 2 — Comprehensive Diabetes Care. https://www.ncqa.org/hedis/</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CMS. HCAHPS Survey Instruments and Protocols. https://hcahpsonline.org/</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ISO. ISO 7101:2023 Healthcare Quality Management Systems. https://www.iso.org/standard/80661.html</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HIMSS. EMRAM Overview and Stage Descriptions. https://www.himss.org/what-we-do-solutions/digital-health-transformation/maturity-models/electronic-medical-record-adoption-model-emram</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Press Ganey / NDNQI. Nursing Quality Indicators. https://www.pressganey.com/solutions/clinical-excellence/nursing-quality</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AHRQ. Common Formats for Patient Safety Event Reporting — Version 2.0. https://www.psoppc.org/psoppc_web/publicpages/commonFormatsOverview</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Charlson ME et al. 'A new method of classifying prognostic comorbidity in longitudinal studies.' J Chronic Dis. 1987;40(5):373-383. doi:10.1016/0021-9681(87)90171-8</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3M Health Information Systems. APR-DRG Classification System v39. https://www.3m.com/3M/en_US/health-information-systems-us/drive-value-based-care/patient-classification-methodologies/apr-drgs/</w:t>
            </w:r>
          </w:p>
        </w:tc>
      </w:tr>
      <w:tr>
        <w:tc>
          <w:tcPr>
            <w:tcW w:type="dxa" w:w="9360"/>
            <w:tcBorders>
              <w:top w:val="none" w:color="FFFFFF" w:sz="0"/>
              <w:left w:val="single" w:color="C9A227" w:sz="6"/>
              <w:bottom w:val="none" w:color="FFFFFF" w:sz="0"/>
              <w:right w:val="none" w:color="FFFFFF" w:sz="0"/>
            </w:tcBorders>
            <w:shd w:fill="FFFDE7" w:val="clear"/>
            <w:tcMar>
              <w:top w:type="dxa" w:w="60"/>
              <w:left w:type="dxa" w:w="200"/>
              <w:bottom w:type="dxa" w:w="60"/>
              <w:right w:type="dxa" w:w="120"/>
            </w:tcMar>
          </w:tcPr>
          <w:p>
            <w:pPr>
              <w:spacing w:after="0" w:before="0"/>
            </w:pPr>
            <w:r>
              <w:rPr>
                <w:rFonts w:ascii="Arial" w:cs="Arial" w:eastAsia="Arial" w:hAnsi="Arial"/>
                <w:i/>
                <w:iCs/>
                <w:color w:val="555500"/>
                <w:sz w:val="19"/>
                <w:szCs w:val="19"/>
              </w:rPr>
              <w:t xml:space="preserve">Aiken LH et al. 'Patient Safety, Satisfaction, and Quality of Hospital Care.' BMJ. 2012;344:e1717. doi:10.1136/bmj.e1717</w:t>
            </w:r>
          </w:p>
        </w:tc>
      </w:tr>
    </w:tbl>
    <w:p>
      <w:pPr>
        <w:spacing w:after="200" w:before="0"/>
      </w:pPr>
      <w:r>
        <w:t xml:space="preserve"/>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sz w:val="22"/>
        <w:szCs w:val="22"/>
      </w:rPr>
    </w:lvl>
    <w:lvl w:ilvl="1" w15:tentative="1">
      <w:start w:val="1"/>
      <w:numFmt w:val="bullet"/>
      <w:lvlText w:val="◦"/>
      <w:lvlJc w:val="left"/>
      <w:pPr>
        <w:ind w:left="1080" w:hanging="360"/>
      </w:pPr>
      <w:rPr>
        <w:color w:val="1A7A6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20"/>
      <w:outlineLvl w:val="1"/>
    </w:pPr>
    <w:rPr>
      <w:rFonts w:ascii="Arial" w:cs="Arial" w:eastAsia="Arial" w:hAnsi="Arial"/>
      <w:b/>
      <w:bCs/>
      <w:color w:val="1F386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2026-06-11T18:31:29.911Z</dcterms:created>
  <dcterms:modified xsi:type="dcterms:W3CDTF">2026-06-11T18:31:29.925Z</dcterms:modified>
</cp:coreProperties>
</file>

<file path=docProps/custom.xml><?xml version="1.0" encoding="utf-8"?>
<Properties xmlns="http://schemas.openxmlformats.org/officeDocument/2006/custom-properties" xmlns:vt="http://schemas.openxmlformats.org/officeDocument/2006/docPropsVTypes"/>
</file>