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3864"/>
          <w:sz w:val="64"/>
          <w:szCs w:val="64"/>
        </w:rPr>
        <w:t xml:space="preserve">HEALTHCARE ANALYTICS</w:t>
      </w:r>
    </w:p>
    <w:p>
      <w:pPr>
        <w:spacing w:after="200" w:before="0"/>
        <w:jc w:val="center"/>
      </w:pPr>
      <w:r>
        <w:rPr>
          <w:rFonts w:ascii="Arial" w:cs="Arial" w:eastAsia="Arial" w:hAnsi="Arial"/>
          <w:b/>
          <w:bCs/>
          <w:color w:val="2E75B6"/>
          <w:sz w:val="64"/>
          <w:szCs w:val="64"/>
        </w:rPr>
        <w:t xml:space="preserve">REFERENCE GUIDE</w:t>
      </w:r>
    </w:p>
    <w:p>
      <w:pPr>
        <w:pBdr>
          <w:top w:val="single" w:color="C9A227" w:sz="12" w:space="4"/>
          <w:bottom w:val="single" w:color="C9A227" w:sz="12" w:space="4"/>
        </w:pBdr>
        <w:spacing w:after="120" w:before="0"/>
        <w:jc w:val="center"/>
      </w:pPr>
      <w:r>
        <w:rPr>
          <w:rFonts w:ascii="Arial" w:cs="Arial" w:eastAsia="Arial" w:hAnsi="Arial"/>
          <w:color w:val="C9A227"/>
          <w:sz w:val="26"/>
          <w:szCs w:val="26"/>
        </w:rPr>
        <w:t xml:space="preserve">The DEPI Data Analysis Track  |  April 2026 Edition</w:t>
      </w:r>
    </w:p>
    <w:p>
      <w:pPr>
        <w:spacing w:after="240" w:before="0"/>
      </w:pPr>
      <w:r>
        <w:t xml:space="preserve"/>
      </w:r>
    </w:p>
    <w:p>
      <w:pPr>
        <w:spacing w:after="100" w:before="0"/>
        <w:jc w:val="center"/>
      </w:pPr>
      <w:r>
        <w:rPr>
          <w:rFonts w:ascii="Arial" w:cs="Arial" w:eastAsia="Arial" w:hAnsi="Arial"/>
          <w:i/>
          <w:iCs/>
          <w:color w:val="555555"/>
          <w:sz w:val="24"/>
          <w:szCs w:val="24"/>
        </w:rPr>
        <w:t xml:space="preserve">From Industry Fundamentals to SQL, Python &amp; Power BI Workflows</w:t>
      </w:r>
    </w:p>
    <w:p>
      <w:pPr>
        <w:spacing w:after="360" w:before="0"/>
      </w:pPr>
      <w:r>
        <w:t xml:space="preserve"/>
      </w:r>
    </w:p>
    <w:p>
      <w:pPr>
        <w:jc w:val="center"/>
      </w:pPr>
      <w:r>
        <w:rPr>
          <w:rFonts w:ascii="Arial" w:cs="Arial" w:eastAsia="Arial" w:hAnsi="Arial"/>
          <w:color w:val="777777"/>
          <w:sz w:val="22"/>
          <w:szCs w:val="22"/>
        </w:rPr>
        <w:t xml:space="preserve">Based on the Healthcare SDG Engine v2.0  |  103-Column Integrated Dataset</w:t>
      </w:r>
    </w:p>
    <w:p>
      <w:pPr>
        <w:spacing w:after="120" w:before="0"/>
      </w:pPr>
      <w:r>
        <w:t xml:space="preserve"/>
      </w:r>
    </w:p>
    <w:p>
      <w:pPr>
        <w:jc w:val="center"/>
      </w:pPr>
      <w:r>
        <w:rPr>
          <w:rFonts w:ascii="Arial" w:cs="Arial" w:eastAsia="Arial" w:hAnsi="Arial"/>
          <w:color w:val="2E75B6"/>
          <w:sz w:val="22"/>
          <w:szCs w:val="22"/>
        </w:rPr>
        <w:t xml:space="preserve">Clinical · Operational · Financial · Patient Experience · HR · Supply Chain</w:t>
      </w:r>
    </w:p>
    <w:p>
      <w:r>
        <w:br w:type="page"/>
      </w:r>
    </w:p>
    <w:p>
      <w:pPr>
        <w:shd w:fill="1F3864" w:val="clear"/>
        <w:spacing w:after="200" w:before="0"/>
        <w:jc w:val="center"/>
      </w:pPr>
      <w:r>
        <w:rPr>
          <w:rFonts w:ascii="Arial" w:cs="Arial" w:eastAsia="Arial" w:hAnsi="Arial"/>
          <w:b/>
          <w:bCs/>
          <w:color w:val="FFFFFF"/>
          <w:sz w:val="32"/>
          <w:szCs w:val="32"/>
        </w:rPr>
        <w:t xml:space="preserve">PART 1: INDUSTRY RESEARCH &amp; HEALTHCARE BUSINESS CONTEXT</w:t>
      </w:r>
    </w:p>
    <w:p>
      <w:pPr>
        <w:spacing w:after="120" w:before="0"/>
      </w:pPr>
      <w:r>
        <w:t xml:space="preserve"/>
      </w:r>
    </w:p>
    <w:p>
      <w:pPr>
        <w:pStyle w:val="Heading2"/>
        <w:pBdr>
          <w:bottom w:val="single" w:color="2E75B6" w:sz="6" w:space="4"/>
        </w:pBdr>
        <w:spacing w:after="140" w:before="280"/>
      </w:pPr>
      <w:r>
        <w:rPr>
          <w:rFonts w:ascii="Arial" w:cs="Arial" w:eastAsia="Arial" w:hAnsi="Arial"/>
          <w:b/>
          <w:bCs/>
          <w:color w:val="1F3864"/>
          <w:sz w:val="30"/>
          <w:szCs w:val="30"/>
        </w:rPr>
        <w:t xml:space="preserve">1.1  Global Healthcare Industry Overview</w:t>
      </w:r>
    </w:p>
    <w:p>
      <w:pPr>
        <w:pStyle w:val="Heading3"/>
        <w:spacing w:after="100" w:before="220"/>
      </w:pPr>
      <w:r>
        <w:rPr>
          <w:rFonts w:ascii="Arial" w:cs="Arial" w:eastAsia="Arial" w:hAnsi="Arial"/>
          <w:b/>
          <w:bCs/>
          <w:color w:val="2E75B6"/>
          <w:sz w:val="26"/>
          <w:szCs w:val="26"/>
        </w:rPr>
        <w:t xml:space="preserve">1.1.1  Market Size &amp; Growth</w:t>
      </w:r>
    </w:p>
    <w:p>
      <w:pPr>
        <w:spacing w:after="100" w:before="60" w:line="320"/>
      </w:pPr>
      <w:r>
        <w:rPr>
          <w:rFonts w:ascii="Arial" w:cs="Arial" w:eastAsia="Arial" w:hAnsi="Arial"/>
          <w:color w:val="1A1A1A"/>
          <w:sz w:val="22"/>
          <w:szCs w:val="22"/>
        </w:rPr>
        <w:t xml:space="preserve">Before a data analyst can build a meaningful dashboard or train a predictive model on healthcare data, they must first understand the industry they are operating in. Healthcare is not just another vertical — it is the largest single sector of the global economy by expenditure, and arguably the most complex by regulatory density. This section builds the foundational economic context that every analyst must internalize.</w:t>
      </w:r>
    </w:p>
    <w:p>
      <w:pPr>
        <w:spacing w:after="120" w:before="0"/>
      </w:pPr>
      <w:r>
        <w:t xml:space="preserve"/>
      </w:r>
    </w:p>
    <w:p>
      <w:pPr>
        <w:spacing w:after="80" w:before="180"/>
      </w:pPr>
      <w:r>
        <w:rPr>
          <w:rFonts w:ascii="Arial" w:cs="Arial" w:eastAsia="Arial" w:hAnsi="Arial"/>
          <w:b/>
          <w:bCs/>
          <w:color w:val="1A7A6B"/>
          <w:sz w:val="24"/>
          <w:szCs w:val="24"/>
        </w:rPr>
        <w:t xml:space="preserve">The Scale of the Global Healthcare Market</w:t>
      </w:r>
    </w:p>
    <w:p>
      <w:pPr>
        <w:spacing w:after="100" w:before="60" w:line="320"/>
      </w:pPr>
      <w:r>
        <w:rPr>
          <w:rFonts w:ascii="Arial" w:cs="Arial" w:eastAsia="Arial" w:hAnsi="Arial"/>
          <w:color w:val="1A1A1A"/>
          <w:sz w:val="22"/>
          <w:szCs w:val="22"/>
        </w:rPr>
        <w:t xml:space="preserve">The global healthcare market encompasses hospitals, physician practices, pharmaceutical manufacturers, medical device companies, insurance payers, and the rapidly growing digital health and health IT subsector. Understanding the headline figures is not merely academic — these numbers explain why organizations invest heavily in analytics, why governments regulate the sector so stringently, and why the demand for healthcare data professionals is accelerating.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200"/>
        <w:gridCol w:w="19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2023 Value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2030 Projection</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CAGR</w:t>
            </w:r>
          </w:p>
        </w:tc>
        <w:tc>
          <w:tcPr>
            <w:tcW w:type="dxa" w:w="1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Global Healthcare Market (Total)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~$10.5 Trillion USD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~$16.0 Trillion USD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~6.2%</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WHO / Statista 2024</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 Healthcare Expenditure</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~$4.9 Trillion USD</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~$7.7 Trillion USD</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~6.7%</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CMS National Health Expenditure Data</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Global Health IT Market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~$394 Billion USD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~$974 Billion USD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~13.8%</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Grand View Research 2024</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Healthcare Analytics Market</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~$48 Billion USD</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~$167 Billion USD</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~19.2%</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MarketsandMarkets 2024</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Digital Health Market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~$211 Billion USD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~$780 Billion USD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~20.5%</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Fortune Business Insights 2024</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Global Hospital Management Software</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~$38 Billion USD</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~$90 Billion USD</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~13.1%</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Allied Market Research 2024</w:t>
            </w:r>
          </w:p>
        </w:tc>
      </w:tr>
    </w:tbl>
    <w:p>
      <w:pPr>
        <w:spacing w:after="120" w:before="0"/>
      </w:pPr>
      <w:r>
        <w:t xml:space="preserve"/>
      </w:r>
    </w:p>
    <w:p>
      <w:pPr>
        <w:spacing w:after="100" w:before="60" w:line="320"/>
      </w:pPr>
      <w:r>
        <w:rPr>
          <w:rFonts w:ascii="Arial" w:cs="Arial" w:eastAsia="Arial" w:hAnsi="Arial"/>
          <w:color w:val="1A1A1A"/>
          <w:sz w:val="22"/>
          <w:szCs w:val="22"/>
        </w:rPr>
        <w:t xml:space="preserve">Why do these numbers matter to a data analyst? Because they signal where investment is flowing. A global analytics market growing at nearly 20% CAGR means that hospitals, payer organizations, and health systems are urgently hiring people who can interpret data. The $974 billion Health IT projection means that the tools you will build dashboards on — electronic health records (EHRs), population health platforms, revenue cycle management systems — are all expanding in both capability and adoption. You are entering one of the highest-growth sub-fields of data analytics.</w:t>
      </w:r>
    </w:p>
    <w:p>
      <w:pPr>
        <w:spacing w:after="120" w:before="0"/>
      </w:pPr>
      <w:r>
        <w:t xml:space="preserve"/>
      </w:r>
    </w:p>
    <w:p>
      <w:pPr>
        <w:spacing w:after="80" w:before="180"/>
      </w:pPr>
      <w:r>
        <w:rPr>
          <w:rFonts w:ascii="Arial" w:cs="Arial" w:eastAsia="Arial" w:hAnsi="Arial"/>
          <w:b/>
          <w:bCs/>
          <w:color w:val="1A7A6B"/>
          <w:sz w:val="24"/>
          <w:szCs w:val="24"/>
        </w:rPr>
        <w:t xml:space="preserve">U.S. Healthcare Spending: Why the Numbers Are So Large</w:t>
      </w:r>
    </w:p>
    <w:p>
      <w:pPr>
        <w:spacing w:after="100" w:before="60" w:line="320"/>
      </w:pPr>
      <w:r>
        <w:rPr>
          <w:rFonts w:ascii="Arial" w:cs="Arial" w:eastAsia="Arial" w:hAnsi="Arial"/>
          <w:color w:val="1A1A1A"/>
          <w:sz w:val="22"/>
          <w:szCs w:val="22"/>
        </w:rPr>
        <w:t xml:space="preserve">The United States spends approximately 17.3% of its Gross Domestic Product (GDP) on healthcare — far more than any other high-income country (the OECD average is approximately 9.2%). This is not simply due to a sicker population; it reflects the structural complexity of the U.S. system, including: (1) a fragmented multi-payer insurance system that creates enormous administrative overhead; (2) high unit prices for drugs, devices, and hospital procedures compared to other nations; (3) a fee-for-service reimbursement model that historically rewarded volume of care rather than outcome quality; and (4) an aging population with a rising burden of chronic disease.</w:t>
      </w:r>
    </w:p>
    <w:p>
      <w:pPr>
        <w:spacing w:after="100" w:before="60" w:line="320"/>
      </w:pPr>
      <w:r>
        <w:rPr>
          <w:rFonts w:ascii="Arial" w:cs="Arial" w:eastAsia="Arial" w:hAnsi="Arial"/>
          <w:color w:val="1A1A1A"/>
          <w:sz w:val="22"/>
          <w:szCs w:val="22"/>
        </w:rPr>
        <w:t xml:space="preserve">For a data analyst working with the SDG Engine v2.0 dataset, this context is directly relevant. The financial domain columns — submitted_charge_usd, allowed_amount_usd, patient_responsibility_usd, drg_weight — all exist within this structural landscape. The gap between submitted_charge_usd and allowed_amount_usd in your dataset represents the contractual discount, which is itself a product of the multi-payer negotiation structure that defines American healthcare finance.</w:t>
      </w:r>
    </w:p>
    <w:p>
      <w:pPr>
        <w:spacing w:after="120" w:before="0"/>
      </w:pPr>
      <w:r>
        <w:t xml:space="preserve"/>
      </w:r>
    </w:p>
    <w:p>
      <w:pPr>
        <w:spacing w:after="80" w:before="180"/>
      </w:pPr>
      <w:r>
        <w:rPr>
          <w:rFonts w:ascii="Arial" w:cs="Arial" w:eastAsia="Arial" w:hAnsi="Arial"/>
          <w:b/>
          <w:bCs/>
          <w:color w:val="1A7A6B"/>
          <w:sz w:val="24"/>
          <w:szCs w:val="24"/>
        </w:rPr>
        <w:t xml:space="preserve">Fee-for-Service vs. Value-Based Care: The Central Business Model Shift</w:t>
      </w:r>
    </w:p>
    <w:p>
      <w:pPr>
        <w:spacing w:after="100" w:before="60" w:line="320"/>
      </w:pPr>
      <w:r>
        <w:rPr>
          <w:rFonts w:ascii="Arial" w:cs="Arial" w:eastAsia="Arial" w:hAnsi="Arial"/>
          <w:color w:val="1A1A1A"/>
          <w:sz w:val="22"/>
          <w:szCs w:val="22"/>
        </w:rPr>
        <w:t xml:space="preserve">Perhaps the single most important structural transition in modern healthcare — and the one most directly responsible for the surge in analytics demand — is the industry-wide shift from Fee-for-Service (FFS) reimbursement to Value-Based Care (VBC). Understanding this shift is not optional for a healthcare data analyst; it is foundational.</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Fee-for-Service (FFS): In the traditional model, hospitals and physicians are paid for each service they render — each test ordered, each procedure performed, each day a patient stays in a hospital. The financial incentive is therefore to do MORE, regardless of whether each service improves the patient's health. This model drove massive volume increases but poor coordination of care, unnecessary procedures, and runaway costs.</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Value-Based Care (VBC): In the emerging model — accelerated by the Affordable Care Act (2010) and CMS innovation programs — providers are paid based on the QUALITY and EFFICIENCY of outcomes they achieve. If a hospital reduces its 30-day readmission rate, it avoids financial penalties under the CMS Hospital Readmissions Reduction Program (HRRP). If a physician keeps diabetic patients' HbA1c under control, they may receive bonus payments under HEDIS-linked quality programs. The financial incentive is now to deliver BETTER care, not MORE care.</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The Analytics Implication: In a value-based world, you cannot manage what you cannot measure. Hospitals must now track dozens of clinical quality metrics (readmission rates, infection rates, medication adherence), operational metrics (length of stay, OR utilization), and patient experience scores (CAHPS/HCAHPS) — all of which appear as columns in your SDG Engine v2.0 dataset. This is precisely why healthcare analytics roles have exploded in demand. The dataset you are working with is, in a very real sense, a map of the entire value-based care measurement universe.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Analyst Insight — Why Your Dataset Exists</w:t>
            </w:r>
          </w:p>
          <w:p>
            <w:pPr>
              <w:spacing w:after="0" w:before="0"/>
            </w:pPr>
            <w:r>
              <w:rPr>
                <w:rFonts w:ascii="Arial" w:cs="Arial" w:eastAsia="Arial" w:hAnsi="Arial"/>
                <w:color w:val="1A1A1A"/>
                <w:sz w:val="20"/>
                <w:szCs w:val="20"/>
              </w:rPr>
              <w:t xml:space="preserve">Every column in the SDG Engine v2.0 dataset traces back to a financial incentive created by value-based care regulation. The readmission_30d_flag column exists because CMS created the HRRP. The hai_flag column exists because CMS created the HACRP. The hedis_hba1c_poor_control column exists because NCQA created HEDIS and payers use it to determine quality bonuses. You are not just analyzing data — you are measuring the performance of an entire payment system.</w:t>
            </w:r>
          </w:p>
        </w:tc>
      </w:tr>
    </w:tbl>
    <w:p>
      <w:pPr>
        <w:spacing w:after="120" w:before="0"/>
      </w:pPr>
      <w:r>
        <w:t xml:space="preserve"/>
      </w:r>
    </w:p>
    <w:p>
      <w:pPr>
        <w:spacing w:after="80" w:before="180"/>
      </w:pPr>
      <w:r>
        <w:rPr>
          <w:rFonts w:ascii="Arial" w:cs="Arial" w:eastAsia="Arial" w:hAnsi="Arial"/>
          <w:b/>
          <w:bCs/>
          <w:color w:val="1A7A6B"/>
          <w:sz w:val="24"/>
          <w:szCs w:val="24"/>
        </w:rPr>
        <w:t xml:space="preserve">The COVID-19 Pandemic: A Permanent Accelerant</w:t>
      </w:r>
    </w:p>
    <w:p>
      <w:pPr>
        <w:spacing w:after="100" w:before="60" w:line="320"/>
      </w:pPr>
      <w:r>
        <w:rPr>
          <w:rFonts w:ascii="Arial" w:cs="Arial" w:eastAsia="Arial" w:hAnsi="Arial"/>
          <w:color w:val="1A1A1A"/>
          <w:sz w:val="22"/>
          <w:szCs w:val="22"/>
        </w:rPr>
        <w:t xml:space="preserve">The COVID-19 pandemic (2020–2022) was a watershed moment for healthcare analytics. Hospitals were forced to build real-time capacity dashboards overnight, epidemiologists needed population-level data flows, supply chain disruptions exposed catastrophic inventory management gaps, and telehealth adoption accelerated by an estimated 3–5 years in the span of 18 months. Several structural changes that emerged from the pandemic are permanent:</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Telehealth normalization: CMS permanently expanded telehealth reimbursement post-pandemic. The telehealth_used_flag column in the patient experience domain of your dataset reflects this new reality — digital access to care is now a quality measure tracked by CMS Promoting Interoperability and HIMSS EMRAM.</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Supply chain fragility exposed: The acute shortage of PPE, ventilators, and consumable supplies during COVID revealed that most hospitals had dangerously lean inventories and no predictive demand forecasting. The entire supply chain domain of your dataset (surgical_kit_id, kit_current_stock, stockout_risk_flag, projected_demand_4wk) exists in direct response to this institutional trauma.</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Workforce burnout crisis: The pandemic drove an unprecedented exodus of experienced nurses and physicians. MBI burnout scores recorded during 2020–2022 were the highest in the history of the instrument. The HR domain of your dataset — burnout_exhaustion_mbi, burnout_cynicism_mbi, turnover_risk_index — reflects an industry that learned, painfully, that workforce wellbeing is an operational and safety variable, not just an HR concern.</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Analytics investment surge: Post-pandemic hospital budgets systematically increased allocations to data warehousing, business intelligence, and AI/ML platforms. The global healthcare analytics market grew at approximately 25% in the immediate post-pandemic years, well above its long-term CAGR baseline.</w:t>
      </w:r>
    </w:p>
    <w:p>
      <w:pPr>
        <w:spacing w:after="120" w:before="0"/>
      </w:pPr>
      <w:r>
        <w:t xml:space="preserve"/>
      </w:r>
    </w:p>
    <w:p>
      <w:pPr>
        <w:spacing w:after="80" w:before="180"/>
      </w:pPr>
      <w:r>
        <w:rPr>
          <w:rFonts w:ascii="Arial" w:cs="Arial" w:eastAsia="Arial" w:hAnsi="Arial"/>
          <w:b/>
          <w:bCs/>
          <w:color w:val="1A7A6B"/>
          <w:sz w:val="24"/>
          <w:szCs w:val="24"/>
        </w:rPr>
        <w:t xml:space="preserve">The Health IT and EHR Landscape</w:t>
      </w:r>
    </w:p>
    <w:p>
      <w:pPr>
        <w:spacing w:after="100" w:before="60" w:line="320"/>
      </w:pPr>
      <w:r>
        <w:rPr>
          <w:rFonts w:ascii="Arial" w:cs="Arial" w:eastAsia="Arial" w:hAnsi="Arial"/>
          <w:color w:val="1A1A1A"/>
          <w:sz w:val="22"/>
          <w:szCs w:val="22"/>
        </w:rPr>
        <w:t xml:space="preserve">The data you analyze as a healthcare analyst does not exist in a vacuum — it flows from electronic health record (EHR) systems, revenue cycle management (RCM) platforms, laboratory information systems (LIS), and supply chain management tools. Understanding the Health IT landscape helps you understand where data originates, what its quality limitations are, and how to interpret interoperability standards.</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EHR penetration: By 2023, approximately 96% of U.S. non-federal acute care hospitals had adopted a certified EHR system. The dominant vendors are Epic (market share ~35%), Oracle Cerner (~25%), and Meditech (~15%). The HIMSS EMRAM stage column in your dataset (himss_emram_stage, ranging 0–7) directly measures the digital maturity of the hospital. Stage 7 organizations have complete EMR environments with full clinical decision support and interoperability. Stage 0 still uses paper.</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FHIR R4 and interoperability: The HL7 Fast Healthcare Interoperability Resources (FHIR) R4 standard is the modern lingua franca for healthcare data exchange. Your SDG Engine v2.0 dataset is mapped to FHIR R4 resources — the encounter_id maps to FHIR Encounter.id, the claim_id maps to FHIR Claim.id. Understanding FHIR means you can translate between a database column and the healthcare information exchange (HIE) system that produced it.</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The 21st Century Cures Act (2016, implemented 2022): Federal law now prohibits 'information blocking' — healthcare organizations cannot obstruct the flow of clinical data. This has created a powerful legal mandate for interoperability and data sharing, further increasing the volume of data available for analytics.</w:t>
      </w:r>
    </w:p>
    <w:p>
      <w:pPr>
        <w:spacing w:after="120" w:before="0"/>
      </w:pPr>
      <w:r>
        <w:t xml:space="preserve"/>
      </w:r>
    </w:p>
    <w:p>
      <w:pPr>
        <w:spacing w:after="80" w:before="180"/>
      </w:pPr>
      <w:r>
        <w:rPr>
          <w:rFonts w:ascii="Arial" w:cs="Arial" w:eastAsia="Arial" w:hAnsi="Arial"/>
          <w:b/>
          <w:bCs/>
          <w:color w:val="1A7A6B"/>
          <w:sz w:val="24"/>
          <w:szCs w:val="24"/>
        </w:rPr>
        <w:t xml:space="preserve">Geographic Variation and Emerging Markets</w:t>
      </w:r>
    </w:p>
    <w:p>
      <w:pPr>
        <w:spacing w:after="100" w:before="60" w:line="320"/>
      </w:pPr>
      <w:r>
        <w:rPr>
          <w:rFonts w:ascii="Arial" w:cs="Arial" w:eastAsia="Arial" w:hAnsi="Arial"/>
          <w:color w:val="1A1A1A"/>
          <w:sz w:val="22"/>
          <w:szCs w:val="22"/>
        </w:rPr>
        <w:t xml:space="preserve">While the U.S. context dominates this guide due to regulatory alignment, the global healthcare analytics opportunity is expanding rapidly in emerging markets. The Middle East and Africa healthcare market is growing at approximately 8.5% CAGR, driven by Vision 2030 initiatives in Saudi Arabia, UAE healthcare infrastructure investment, and digitization programs in Egypt through entities such as the Universal Health Insurance program. For DEPI track students operating in the Egyptian and Arab regional context, this means the skillset you build with U.S.-standard datasets and frameworks is directly transferable — and in high demand — across the region's rapidly expanding healthcare sector.</w:t>
      </w:r>
    </w:p>
    <w:p>
      <w:pPr>
        <w:spacing w:after="120" w:before="0"/>
      </w:pPr>
      <w:r>
        <w:t xml:space="preserve"/>
      </w:r>
    </w:p>
    <w:p>
      <w:pPr>
        <w:spacing w:after="80" w:before="180"/>
      </w:pPr>
      <w:r>
        <w:rPr>
          <w:rFonts w:ascii="Arial" w:cs="Arial" w:eastAsia="Arial" w:hAnsi="Arial"/>
          <w:b/>
          <w:bCs/>
          <w:color w:val="1F3864"/>
          <w:sz w:val="22"/>
          <w:szCs w:val="22"/>
        </w:rPr>
        <w:t xml:space="preserve">References &amp; Further Reading — Section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Centers for Medicare &amp; Medicaid Services (CMS). National Health Expenditure Data, 2023. https://www.cms.gov/research-statistics-data-and-systems/statistics-trends-and-reports/nationalhealthexpenddata</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World Health Organization. Global Spending on Health: Rising to the Pandemic's Challenges, 2023. https://www.who.int/publications/i/item/9789240065727</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Grand View Research. Healthcare Analytics Market Size Report, 2024–2030. https://www.grandviewresearch.com/industry-analysis/healthcare-analytics-market</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HIMSS. Electronic Medical Record Adoption Model (EMRAM). https://www.himss.org/what-we-do-solutions/digital-health-transformation/maturity-models/electronic-medical-record-adoption-model-emram</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Hospital Readmissions Reduction Program (HRRP). https://www.cms.gov/medicare/payment/prospective-payment-systems/acute-inpatient-pps/hrrp</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Bodenheimer T, Sinsky C. 'From Triple to Quadruple Aim: Care of the Patient Requires Care of the Provider.' Annals of Family Medicine, 2014. doi:10.1370/afm.1713</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HL7 International. FHIR R4 Specification. https://hl7.org/fhir/R4/</w:t>
            </w:r>
          </w:p>
        </w:tc>
      </w:tr>
    </w:tbl>
    <w:p>
      <w:pPr>
        <w:spacing w:after="240" w:before="0"/>
      </w:pPr>
      <w:r>
        <w:t xml:space="preserve"/>
      </w:r>
    </w:p>
    <w:p>
      <w:pPr>
        <w:pStyle w:val="Heading3"/>
        <w:spacing w:after="100" w:before="220"/>
      </w:pPr>
      <w:r>
        <w:rPr>
          <w:rFonts w:ascii="Arial" w:cs="Arial" w:eastAsia="Arial" w:hAnsi="Arial"/>
          <w:b/>
          <w:bCs/>
          <w:color w:val="2E75B6"/>
          <w:sz w:val="26"/>
          <w:szCs w:val="26"/>
        </w:rPr>
        <w:t xml:space="preserve">1.1.2  Hospital Operations Landscape</w:t>
      </w:r>
    </w:p>
    <w:p>
      <w:pPr>
        <w:spacing w:after="100" w:before="60" w:line="320"/>
      </w:pPr>
      <w:r>
        <w:rPr>
          <w:rFonts w:ascii="Arial" w:cs="Arial" w:eastAsia="Arial" w:hAnsi="Arial"/>
          <w:color w:val="1A1A1A"/>
          <w:sz w:val="22"/>
          <w:szCs w:val="22"/>
        </w:rPr>
        <w:t xml:space="preserve">A hospital is simultaneously a clinical institution, a manufacturing operation, a hotel, a financial services company, and a regulatory compliance entity — all running in parallel, 24 hours a day, 7 days a week. For a data analyst, understanding how a hospital operates is not background knowledge; it is prerequisite knowledge. Every column in your dataset represents a moment in an operational workflow. If you do not understand the workflow, you cannot interpret the data, spot anomalies, or design meaningful analytics.</w:t>
      </w:r>
    </w:p>
    <w:p>
      <w:pPr>
        <w:spacing w:after="120" w:before="0"/>
      </w:pPr>
      <w:r>
        <w:t xml:space="preserve"/>
      </w:r>
    </w:p>
    <w:p>
      <w:pPr>
        <w:spacing w:after="80" w:before="180"/>
      </w:pPr>
      <w:r>
        <w:rPr>
          <w:rFonts w:ascii="Arial" w:cs="Arial" w:eastAsia="Arial" w:hAnsi="Arial"/>
          <w:b/>
          <w:bCs/>
          <w:color w:val="1A7A6B"/>
          <w:sz w:val="24"/>
          <w:szCs w:val="24"/>
        </w:rPr>
        <w:t xml:space="preserve">Inpatient vs. Outpatient Care: The Fundamental Distinction</w:t>
      </w:r>
    </w:p>
    <w:p>
      <w:pPr>
        <w:spacing w:after="100" w:before="60" w:line="320"/>
      </w:pPr>
      <w:r>
        <w:rPr>
          <w:rFonts w:ascii="Arial" w:cs="Arial" w:eastAsia="Arial" w:hAnsi="Arial"/>
          <w:color w:val="1A1A1A"/>
          <w:sz w:val="22"/>
          <w:szCs w:val="22"/>
        </w:rPr>
        <w:t xml:space="preserve">Every healthcare encounter is classified as either inpatient (the patient is admitted to the hospital and stays overnight) or outpatient (the patient receives care and goes home the same day). This distinction has profound implications for billing, staffing, length-of-stay measurement, and quality reporting.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36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Inpatient</w:t>
            </w:r>
          </w:p>
        </w:tc>
        <w:tc>
          <w:tcPr>
            <w:tcW w:type="dxa" w:w="36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Outpatient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Definition</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Patient formally admitted; stays ≥1 midnight</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Patient treated and released same day</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Billing Model</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DRG-based lump sum (Medicare) or per diem</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CPT/APC fee schedule per procedure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Avg. Revenue per Encounter</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$15,000–$60,000+ (surgical)</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$500–$5,000 (varies widely)</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Quality Metrics Focus</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LOS, readmissions, HAI, mortality</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Wait times, HEDIS preventive care, CAHPS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Dataset Relevance (SDG v2.0)</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103 columns apply — this is an inpatient surgical dataset</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Partial — CAHPS, HEDIS, telehealth apply</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Regulatory Program</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CMS IPPS (Inpatient Prospective Payment)</w:t>
            </w:r>
          </w:p>
        </w:tc>
        <w:tc>
          <w:tcPr>
            <w:tcW w:type="dxa" w:w="3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CMS OPPS (Outpatient Prospective Payment)</w:t>
            </w:r>
          </w:p>
        </w:tc>
      </w:tr>
    </w:tbl>
    <w:p>
      <w:pPr>
        <w:spacing w:after="120" w:before="0"/>
      </w:pPr>
      <w:r>
        <w:t xml:space="preserve"/>
      </w:r>
    </w:p>
    <w:p>
      <w:pPr>
        <w:spacing w:after="100" w:before="60" w:line="320"/>
      </w:pPr>
      <w:r>
        <w:rPr>
          <w:rFonts w:ascii="Arial" w:cs="Arial" w:eastAsia="Arial" w:hAnsi="Arial"/>
          <w:color w:val="1A1A1A"/>
          <w:sz w:val="22"/>
          <w:szCs w:val="22"/>
        </w:rPr>
        <w:t xml:space="preserve">The SDG Engine v2.0 dataset represents inpatient surgical encounters. This means every row corresponds to a patient who was admitted, underwent a surgical procedure in the operating room (tracked via cpt_code, or_start, or_end, actual_or_minutes), and was eventually discharged (discharge_timestamp). The length of stay (los_days) is the span from admit_timestamp to discharge_timestamp. Understanding this frame is critical because it tells you which KPIs are applicable, which regulatory programs govern the encounter, and what the benchmark standards are.</w:t>
      </w:r>
    </w:p>
    <w:p>
      <w:pPr>
        <w:spacing w:after="120" w:before="0"/>
      </w:pPr>
      <w:r>
        <w:t xml:space="preserve"/>
      </w:r>
    </w:p>
    <w:p>
      <w:pPr>
        <w:spacing w:after="80" w:before="180"/>
      </w:pPr>
      <w:r>
        <w:rPr>
          <w:rFonts w:ascii="Arial" w:cs="Arial" w:eastAsia="Arial" w:hAnsi="Arial"/>
          <w:b/>
          <w:bCs/>
          <w:color w:val="1A7A6B"/>
          <w:sz w:val="24"/>
          <w:szCs w:val="24"/>
        </w:rPr>
        <w:t xml:space="preserve">The Emergency Department (ED) as an Operational Entry Point</w:t>
      </w:r>
    </w:p>
    <w:p>
      <w:pPr>
        <w:spacing w:after="100" w:before="60" w:line="320"/>
      </w:pPr>
      <w:r>
        <w:rPr>
          <w:rFonts w:ascii="Arial" w:cs="Arial" w:eastAsia="Arial" w:hAnsi="Arial"/>
          <w:color w:val="1A1A1A"/>
          <w:sz w:val="22"/>
          <w:szCs w:val="22"/>
        </w:rPr>
        <w:t xml:space="preserve">While the SDG Engine v2.0 dataset is anchored in surgical inpatient encounters, many patients in real-world hospitals enter through the Emergency Department before being admitted for surgery. The operational flow is: Patient arrives → Triage (triage_timestamp) → Physician assessment (physician_assessment_timestamp) → Admission decision → Bed request (bed_request_time) → Bed assignment (bed_assign_time) → Surgery → Discharge (discharge_timestamp).</w:t>
      </w:r>
    </w:p>
    <w:p>
      <w:pPr>
        <w:spacing w:after="100" w:before="60" w:line="320"/>
      </w:pPr>
      <w:r>
        <w:rPr>
          <w:rFonts w:ascii="Arial" w:cs="Arial" w:eastAsia="Arial" w:hAnsi="Arial"/>
          <w:color w:val="1A1A1A"/>
          <w:sz w:val="22"/>
          <w:szCs w:val="22"/>
        </w:rPr>
        <w:t xml:space="preserve">Each timestamp in this chain is a KPI opportunity. The interval from triage to physician assessment is the Door-to-Doctor time, one of the most intensely tracked throughput metrics in hospital management. When bed_occupancy_pct exceeds 80–85% — a real-world threshold widely cited in hospital capacity management literature — this interval lengthens because physicians cannot physically evaluate patients when the department is at or beyond capacity. The SDG Engine explicitly models this relationship: physician_assessment_timestamp is delayed when bed_occupancy_pct is high. Recognizing this correlation in your data is what separates a data analyst from a data entry clerk.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860B" w:sz="1"/>
              <w:left w:val="single" w:color="B7860B" w:sz="12"/>
              <w:bottom w:val="single" w:color="B7860B" w:sz="1"/>
              <w:right w:val="single" w:color="B7860B" w:sz="1"/>
            </w:tcBorders>
            <w:shd w:fill="FFF3CD" w:val="clear"/>
            <w:tcMar>
              <w:top w:type="dxa" w:w="120"/>
              <w:left w:type="dxa" w:w="240"/>
              <w:bottom w:type="dxa" w:w="120"/>
              <w:right w:type="dxa" w:w="240"/>
            </w:tcMar>
          </w:tcPr>
          <w:p>
            <w:pPr>
              <w:spacing w:after="60" w:before="0"/>
            </w:pPr>
            <w:r>
              <w:rPr>
                <w:rFonts w:ascii="Arial" w:cs="Arial" w:eastAsia="Arial" w:hAnsi="Arial"/>
                <w:b/>
                <w:bCs/>
                <w:color w:val="B7860B"/>
                <w:sz w:val="20"/>
                <w:szCs w:val="20"/>
              </w:rPr>
              <w:t xml:space="preserve">⚕️  Real-World Scenario</w:t>
            </w:r>
          </w:p>
          <w:p>
            <w:pPr>
              <w:spacing w:after="0" w:before="0"/>
            </w:pPr>
            <w:r>
              <w:rPr>
                <w:rFonts w:ascii="Arial" w:cs="Arial" w:eastAsia="Arial" w:hAnsi="Arial"/>
                <w:color w:val="1A1A1A"/>
                <w:sz w:val="20"/>
                <w:szCs w:val="20"/>
              </w:rPr>
              <w:t xml:space="preserve">A hospital administrator notices that Door-to-Doctor time spikes every Tuesday and Wednesday evening. A junior analyst reports: 'Average door-to-doctor time is 42 minutes.' A senior analyst reports: 'Door-to-doctor time exceeds 60 minutes in 38% of Tuesday/Wednesday evening cases, correlated with bed_occupancy_pct &gt; 85%, driven by a predictable elective discharge gap between 3–5 PM. Recommendation: stagger discharge planning to create bed availability before the evening census peak.' The second analyst created business value. The first just measured a number.</w:t>
            </w:r>
          </w:p>
        </w:tc>
      </w:tr>
    </w:tbl>
    <w:p>
      <w:pPr>
        <w:spacing w:after="120" w:before="0"/>
      </w:pPr>
      <w:r>
        <w:t xml:space="preserve"/>
      </w:r>
    </w:p>
    <w:p>
      <w:pPr>
        <w:spacing w:after="80" w:before="180"/>
      </w:pPr>
      <w:r>
        <w:rPr>
          <w:rFonts w:ascii="Arial" w:cs="Arial" w:eastAsia="Arial" w:hAnsi="Arial"/>
          <w:b/>
          <w:bCs/>
          <w:color w:val="1A7A6B"/>
          <w:sz w:val="24"/>
          <w:szCs w:val="24"/>
        </w:rPr>
        <w:t xml:space="preserve">Surgical Volume and Operating Room (OR) Utilization</w:t>
      </w:r>
    </w:p>
    <w:p>
      <w:pPr>
        <w:spacing w:after="100" w:before="60" w:line="320"/>
      </w:pPr>
      <w:r>
        <w:rPr>
          <w:rFonts w:ascii="Arial" w:cs="Arial" w:eastAsia="Arial" w:hAnsi="Arial"/>
          <w:color w:val="1A1A1A"/>
          <w:sz w:val="22"/>
          <w:szCs w:val="22"/>
        </w:rPr>
        <w:t xml:space="preserve">Surgical cases are the primary revenue driver for most acute care hospitals. An operating room is an extraordinarily expensive asset: a single OR suite costs approximately $3–$6 million to build and equip, and costs $60–$100 per minute to operate when staffed and running. OR utilization management is therefore one of the highest-value analytics domains in hospital operations.</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OR Utilization Rate: The industry benchmark target is 75–85% utilization of allocated block time. Below 75% means the OR is sitting idle — capital and staff are being paid with no revenue generated. Above 85% creates scheduling bottlenecks, overtime costs, and increased turnover time pressure. Both extremes are financially damaging.</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Components tracked in the dataset: actual_or_minutes (how long the surgery took), or_turnover_minutes (time between cases for room cleaning and setup), or_start and or_end (enabling precise utilization calculation). The or_turnover_minutes benchmark target is typically under 30 minutes; many high-performing ORs target under 20 minutes for standard cases.</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First-case-on-time start (FCOTS): An OR metric not in the dataset but derived from or_start — the percentage of first scheduled cases that begin on time. Industry benchmark is 85%+. Every minute of first-case delay cascades through the entire OR schedule, creating a 'day-long domino effect' that contributes to overtime and surgeon dissatisfaction.</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Block scheduling: ORs are typically allocated in 'blocks' of time to specific surgeons or service lines. A Cardiothoracic surgeon may have Tuesdays and Thursdays blocked; an Orthopedic surgeon may have Mondays blocked. OR analytics includes measuring whether each surgeon's block time is being used efficiently (utilization rate) and whether cases are being added from waitlists when blocks go underused (block release management).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60"/>
        <w:gridCol w:w="28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 Metric</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Formula</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Benchmark</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Dataset Columns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 Utilization Rate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OR minutes used ÷ Total OR minutes available × 100</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75–85%</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actual_or_minutes, or_start, or_end</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 Turnover Time</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Next case start − Previous case end</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&lt; 30 minutes</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or_turnover_minutes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Case Length Variance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(Actual OR mins − Expected OR mins) ÷ Expected OR mins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±15%</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actual_or_minutes, procedure_display</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First Case On-Time Start</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Cases starting on time ÷ Total first cases × 100</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85%</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or_start (vs. scheduled time)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 Cost per Minute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OR operational cost ÷ Total OR minutes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$60–$100/min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Requires cost data; use as benchmark</w:t>
            </w:r>
          </w:p>
        </w:tc>
      </w:tr>
    </w:tbl>
    <w:p>
      <w:pPr>
        <w:spacing w:after="120" w:before="0"/>
      </w:pPr>
      <w:r>
        <w:t xml:space="preserve"/>
      </w:r>
    </w:p>
    <w:p>
      <w:pPr>
        <w:spacing w:after="80" w:before="180"/>
      </w:pPr>
      <w:r>
        <w:rPr>
          <w:rFonts w:ascii="Arial" w:cs="Arial" w:eastAsia="Arial" w:hAnsi="Arial"/>
          <w:b/>
          <w:bCs/>
          <w:color w:val="1A7A6B"/>
          <w:sz w:val="24"/>
          <w:szCs w:val="24"/>
        </w:rPr>
        <w:t xml:space="preserve">Length of Stay (LOS): The Master Operational Metric</w:t>
      </w:r>
    </w:p>
    <w:p>
      <w:pPr>
        <w:spacing w:after="100" w:before="60" w:line="320"/>
      </w:pPr>
      <w:r>
        <w:rPr>
          <w:rFonts w:ascii="Arial" w:cs="Arial" w:eastAsia="Arial" w:hAnsi="Arial"/>
          <w:color w:val="1A1A1A"/>
          <w:sz w:val="22"/>
          <w:szCs w:val="22"/>
        </w:rPr>
        <w:t xml:space="preserve">Length of Stay — the number of days from admission to discharge (los_days in the dataset) — is arguably the single most important operational metric in inpatient hospital management. It drives almost every other operational and financial outcome simultaneously.</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Financial impact: Under DRG-based prospective payment, the hospital receives a fixed payment per case regardless of how many days the patient stays. A hospital that can discharge a post-surgical knee replacement patient in 1.8 days instead of 2.5 days receives the same DRG payment but has consumed fewer nursing hours, fewer bed-days, fewer consumables, and fewer ICU resources. The cost savings on the second patient flow directly to the operating margin.</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Clinical quality impact: Paradoxically, longer stays are not always better care. Every additional day in a hospital exposes the patient to hospital-acquired infection risk (+1.5% per additional day beyond 3 days, as modeled in the SDG Engine's hai_flag column), pressure injury risk, deep vein thrombosis risk, and deconditioning. 'Appropriate' LOS — neither prematurely short nor unnecessarily long — is a clinical quality target, not just a cost target.</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Capacity and throughput impact: Every occupied bed is a bed unavailable to the next patient. When elective surgical schedules are planned without regard to realistic LOS projections, units fill up, patients queue in the ED, and the cascade of capacity strain described in the Door-to-Doctor discussion above begins. LOS forecasting using the severity_index, diagnosis_category, and procedure_display columns in your dataset is a classic predictive analytics use case in hospital operations.</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Benchmark variation: Average LOS varies dramatically by procedure. A laparoscopic cholecystectomy (CPT 47562) typically has a target LOS of 1–2 days. A coronary artery bypass graft (CABG) targets 5–7 days. A total knee arthroplasty (TKA, CPT 27447) has moved from a 3-day to a 1-2 day target over the past decade as enhanced recovery after surgery (ERAS) protocols have matured.</w:t>
      </w:r>
    </w:p>
    <w:p>
      <w:pPr>
        <w:spacing w:after="120" w:before="0"/>
      </w:pPr>
      <w:r>
        <w:t xml:space="preserve"/>
      </w:r>
    </w:p>
    <w:p>
      <w:pPr>
        <w:spacing w:after="80" w:before="180"/>
      </w:pPr>
      <w:r>
        <w:rPr>
          <w:rFonts w:ascii="Arial" w:cs="Arial" w:eastAsia="Arial" w:hAnsi="Arial"/>
          <w:b/>
          <w:bCs/>
          <w:color w:val="1A7A6B"/>
          <w:sz w:val="24"/>
          <w:szCs w:val="24"/>
        </w:rPr>
        <w:t xml:space="preserve">ICU Operations and High-Acuity Units</w:t>
      </w:r>
    </w:p>
    <w:p>
      <w:pPr>
        <w:spacing w:after="100" w:before="60" w:line="320"/>
      </w:pPr>
      <w:r>
        <w:rPr>
          <w:rFonts w:ascii="Arial" w:cs="Arial" w:eastAsia="Arial" w:hAnsi="Arial"/>
          <w:color w:val="1A1A1A"/>
          <w:sz w:val="22"/>
          <w:szCs w:val="22"/>
        </w:rPr>
        <w:t xml:space="preserve">Intensive Care Units (ICUs) are the most resource-intensive care environments in a hospital. ICU bed costs are approximately 2–3× those of standard medical-surgical beds, primarily due to nurse-to-patient ratios of 1:1 or 1:2 (versus 1:4 to 1:6 in general units). The unit_assigned column in the SDG Engine dataset includes ICU, MICU (Medical ICU), and SICU (Surgical ICU) as unit categories, reflecting the real-world tiering of critical care.</w:t>
      </w:r>
    </w:p>
    <w:p>
      <w:pPr>
        <w:spacing w:after="100" w:before="60" w:line="320"/>
      </w:pPr>
      <w:r>
        <w:rPr>
          <w:rFonts w:ascii="Arial" w:cs="Arial" w:eastAsia="Arial" w:hAnsi="Arial"/>
          <w:color w:val="1A1A1A"/>
          <w:sz w:val="22"/>
          <w:szCs w:val="22"/>
        </w:rPr>
        <w:t xml:space="preserve">From an analytics perspective, ICU cases drive disproportionate cost, resource utilization, and complication risk. The ICU admission flag directly influences hai_flag probability in the dataset (+4% HAI risk modifier), reflecting the real-world relationship between invasive monitoring, immunocompromised states, and hospital-acquired infections. Analysts working on case-mix optimization, capacity planning, or value-based care performance often segment analyses by ICU vs. non-ICU encounters precisely because the operational and financial dynamics are so different.</w:t>
      </w:r>
    </w:p>
    <w:p>
      <w:pPr>
        <w:spacing w:after="120" w:before="0"/>
      </w:pPr>
      <w:r>
        <w:t xml:space="preserve"/>
      </w:r>
    </w:p>
    <w:p>
      <w:pPr>
        <w:spacing w:after="80" w:before="180"/>
      </w:pPr>
      <w:r>
        <w:rPr>
          <w:rFonts w:ascii="Arial" w:cs="Arial" w:eastAsia="Arial" w:hAnsi="Arial"/>
          <w:b/>
          <w:bCs/>
          <w:color w:val="1A7A6B"/>
          <w:sz w:val="24"/>
          <w:szCs w:val="24"/>
        </w:rPr>
        <w:t xml:space="preserve">Staffing Ratios: The Intersection of Operations, Quality, and Finance</w:t>
      </w:r>
    </w:p>
    <w:p>
      <w:pPr>
        <w:spacing w:after="100" w:before="60" w:line="320"/>
      </w:pPr>
      <w:r>
        <w:rPr>
          <w:rFonts w:ascii="Arial" w:cs="Arial" w:eastAsia="Arial" w:hAnsi="Arial"/>
          <w:color w:val="1A1A1A"/>
          <w:sz w:val="22"/>
          <w:szCs w:val="22"/>
        </w:rPr>
        <w:t xml:space="preserve">Nurse staffing ratios — the number of patients assigned to each nurse per shift (patients_per_nurse_ratio in the dataset) — represent one of the most extensively studied variables in health services research. The landmark Aiken et al. study (2002, JAMA) found that each additional patient added to a nurse's assignment was associated with a 7% increase in the 30-day mortality odds for surgical patients. This is not a theoretical concern; it is an empirical relationship with profound operational and legal implications.</w:t>
      </w:r>
    </w:p>
    <w:p>
      <w:pPr>
        <w:spacing w:after="120" w:before="0"/>
      </w:pPr>
      <w:r>
        <w:t xml:space="preserve"/>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State-mandated ratios: California is currently the only U.S. state with legislated minimum nurse-to-patient ratios (1:5 in medical-surgical, 1:2 in ICU). Several other states are actively debating similar legislation following high-profile safety events. Hospitals must staff to these minimums regardless of cost pressure.</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The financial-quality tradeoff: Each additional nurse on a shift costs approximately $50–$80 per hour in direct wages plus benefits and agency/overtime premiums. Hospitals chronically understaffed relative to patient volume reduce direct labor costs in the short term but increase safety event rates, CAHPS scores decline, HCAHPS penalties follow, and turnover accelerates — creating a cost spiral that ultimately exceeds the original savings. The SDG Engine explicitly models this cascade: patients_per_nurse_ratio drives safety_incident_flag, which drives CAHPS scores downward, which drives CMS penalty exposure.</w:t>
      </w:r>
    </w:p>
    <w:p>
      <w:pPr>
        <w:pStyle w:val="ListParagraph"/>
        <w:numPr>
          <w:ilvl w:val="0"/>
          <w:numId w:val="2"/>
        </w:numPr>
        <w:spacing w:after="60" w:before="40" w:line="300"/>
      </w:pPr>
      <w:r>
        <w:rPr>
          <w:rFonts w:ascii="Arial" w:cs="Arial" w:eastAsia="Arial" w:hAnsi="Arial"/>
          <w:b w:val="false"/>
          <w:bCs w:val="false"/>
          <w:color w:val="1A1A1A"/>
          <w:sz w:val="22"/>
          <w:szCs w:val="22"/>
        </w:rPr>
        <w:t xml:space="preserve">Float pool and agency nursing: When regular staff are unavailable, hospitals use 'float pool' nurses (internal per-diem staff who rotate between units) or external agency/travel nurses who may cost 2–3× the rate of permanent staff. Travel nurse utilization, which surged to record levels during COVID-19, became a major cost driver for hospitals in 2021–2023.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900"/>
        <w:gridCol w:w="1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 Type</w:t>
            </w:r>
          </w:p>
        </w:tc>
        <w:tc>
          <w:tcPr>
            <w:tcW w:type="dxa" w:w="19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Typical Nurse:Patient Ratio</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Typical Bed Count</w:t>
            </w:r>
          </w:p>
        </w:tc>
        <w:tc>
          <w:tcPr>
            <w:tcW w:type="dxa" w:w="19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per Bed-Day (Est.)</w:t>
            </w:r>
          </w:p>
        </w:tc>
        <w:tc>
          <w:tcPr>
            <w:tcW w:type="dxa" w:w="1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Analytics Concern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ICU / SICU / MICU</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 to 1:2</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8–20 beds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$3,000–$5,000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LOS, ventilator days, HAI, mortality</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Step-Down / Intermediate</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1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12–24 beds</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$1,800–$2,500</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Escalation vs. discharge decisions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Medical-Surgical (Med-Surg)</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 to 1:6</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24–40 beds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$1,200–$1,800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LOS, falls, pressure injuries, readmissions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Orthopedic Unit</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1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16–30 beds</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$1,400–$2,000</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LOS, mobilization, DVT, SSI</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Oncology Unit</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 to 1:5</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16–24 beds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$1,600–$2,400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Neutropenic fever, HAI, medication errors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Cardiac Unit</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 to 1:4</w:t>
            </w:r>
          </w:p>
        </w:tc>
        <w:tc>
          <w:tcPr>
            <w:tcW w:type="dxa" w:w="1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16–28 beds</w:t>
            </w:r>
          </w:p>
        </w:tc>
        <w:tc>
          <w:tcPr>
            <w:tcW w:type="dxa" w:w="1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$1,800–$2,600</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Arrhythmia monitoring, readmissions, HbA1c</w:t>
            </w:r>
          </w:p>
        </w:tc>
      </w:tr>
    </w:tbl>
    <w:p>
      <w:pPr>
        <w:spacing w:after="120" w:before="0"/>
      </w:pPr>
      <w:r>
        <w:t xml:space="preserve"/>
      </w:r>
    </w:p>
    <w:p>
      <w:pPr>
        <w:spacing w:after="80" w:before="180"/>
      </w:pPr>
      <w:r>
        <w:rPr>
          <w:rFonts w:ascii="Arial" w:cs="Arial" w:eastAsia="Arial" w:hAnsi="Arial"/>
          <w:b/>
          <w:bCs/>
          <w:color w:val="1A7A6B"/>
          <w:sz w:val="24"/>
          <w:szCs w:val="24"/>
        </w:rPr>
        <w:t xml:space="preserve">Service Line Management: The Strategic Organizing Framework</w:t>
      </w:r>
    </w:p>
    <w:p>
      <w:pPr>
        <w:spacing w:after="100" w:before="60" w:line="320"/>
      </w:pPr>
      <w:r>
        <w:rPr>
          <w:rFonts w:ascii="Arial" w:cs="Arial" w:eastAsia="Arial" w:hAnsi="Arial"/>
          <w:color w:val="1A1A1A"/>
          <w:sz w:val="22"/>
          <w:szCs w:val="22"/>
        </w:rPr>
        <w:t xml:space="preserve">Modern hospitals do not operate as monolithic institutions; they are organized into clinical service lines — distinct operational and financial units grouped by clinical specialty. The diagnosis_category column in your dataset (MSK, GI, CV, ONC, ENDO, GU, PULM, DERM) maps directly to service line groupings. Service line analytics is the practice of measuring volume, revenue, cost, quality, and market share for each line independently, enabling hospitals to make strategic decisions about where to invest, where to cut, and where competitive differentiation is achievable.</w:t>
      </w:r>
    </w:p>
    <w:p>
      <w:pPr>
        <w:spacing w:after="100" w:before="60" w:line="320"/>
      </w:pPr>
      <w:r>
        <w:rPr>
          <w:rFonts w:ascii="Arial" w:cs="Arial" w:eastAsia="Arial" w:hAnsi="Arial"/>
          <w:color w:val="1A1A1A"/>
          <w:sz w:val="22"/>
          <w:szCs w:val="22"/>
        </w:rPr>
        <w:t xml:space="preserve">For example, a hospital's Orthopedic service line (MSK) may contribute 28% of surgical volume but 42% of contribution margin because total joint arthroplasty cases (TKA, THA) are high-volume, standardized procedures with favorable DRG weights and relatively predictable lengths of stay. Conversely, an Oncology service line may carry high operating costs due to complex chemotherapy regimens and frequent ICU admissions but may be strategically important for brand positioning and research mission. Service line dashboards that compare actual vs. benchmark LOS, OR utilization, supply costs, and CAHPS scores by diagnosis_category are among the most requested analytics deliverables in hospital administration.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Dataset Connection — How Operational Columns Link Together</w:t>
            </w:r>
          </w:p>
          <w:p>
            <w:pPr>
              <w:spacing w:after="0" w:before="0"/>
            </w:pPr>
            <w:r>
              <w:rPr>
                <w:rFonts w:ascii="Arial" w:cs="Arial" w:eastAsia="Arial" w:hAnsi="Arial"/>
                <w:color w:val="1A1A1A"/>
                <w:sz w:val="20"/>
                <w:szCs w:val="20"/>
              </w:rPr>
              <w:t xml:space="preserve">In the SDG Engine v2.0 dataset, the operational story of a single encounter can be read as a timeline: triage_timestamp → physician_assessment_timestamp (door-to-doctor KPI) → admit_timestamp → bed_request_time → bed_assign_time (bed wait KPI) → or_start → or_end (OR utilization KPI) → discharge_timestamp (LOS KPI). Every timestamp pair is a KPI waiting to be calculated. In SQL: DATEDIFF(minute, triage_timestamp, physician_assessment_timestamp) = Door-to-Doctor minutes. DATEDIFF(day, admit_timestamp, discharge_timestamp) = LOS in days.</w:t>
            </w:r>
          </w:p>
        </w:tc>
      </w:tr>
    </w:tbl>
    <w:p>
      <w:pPr>
        <w:spacing w:after="120" w:before="0"/>
      </w:pPr>
      <w:r>
        <w:t xml:space="preserve"/>
      </w:r>
    </w:p>
    <w:p>
      <w:pPr>
        <w:spacing w:after="80" w:before="180"/>
      </w:pPr>
      <w:r>
        <w:rPr>
          <w:rFonts w:ascii="Arial" w:cs="Arial" w:eastAsia="Arial" w:hAnsi="Arial"/>
          <w:b/>
          <w:bCs/>
          <w:color w:val="1F3864"/>
          <w:sz w:val="22"/>
          <w:szCs w:val="22"/>
        </w:rPr>
        <w:t xml:space="preserve">References &amp; Further Reading — Section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Aiken LH, Clarke SP, Sloane DM, Sochalski J, Silber JH. 'Hospital Nurse Staffing and Patient Mortality, Nurse Burnout, and Job Dissatisfaction.' JAMA. 2002;288(16):1987–1993. doi:10.1001/jama.288.16.1987</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American Hospital Association (AHA). AHA Hospital Statistics, 2024 Edition. https://www.aha.org/statistics/fast-facts-us-hospitals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Emergency Department Benchmarking Alliance (EDBA). ED Operational Benchmarks Report, 2023. https://www.edbenchmarking.org/</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Inpatient Prospective Payment System (IPPS). https://www.cms.gov/medicare/payment/prospective-payment-systems/acute-inpatient-pps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Agency for Healthcare Research and Quality (AHRQ). HCUP National Inpatient Sample (NIS), 2022. https://www.hcup-us.ahrq.gov/nisoverview.jsp</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Drummond MF et al. Methods for the Economic Evaluation of Health Care Programmes. 4th ed. Oxford University Press, 2015.</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HIMSS. 2023 State of Healthcare Report: Workforce, Technology &amp; Transformation. https://www.himss.org/resources/himss-2023-state-healthcare-report</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Needleman J et al. 'Nurse Staffing and Inpatient Hospital Mortality.' New England Journal of Medicine. 2011;364:1037–1045.</w:t>
            </w:r>
          </w:p>
        </w:tc>
      </w:tr>
    </w:tbl>
    <w:p>
      <w:pPr>
        <w:spacing w:after="240" w:before="0"/>
      </w:pPr>
      <w:r>
        <w:t xml:space="preserve"/>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22"/>
        <w:szCs w:val="22"/>
      </w:rPr>
    </w:lvl>
    <w:lvl w:ilvl="1" w15:tentative="1">
      <w:start w:val="1"/>
      <w:numFmt w:val="bullet"/>
      <w:lvlText w:val="◦"/>
      <w:lvlJc w:val="left"/>
      <w:pPr>
        <w:ind w:left="1080" w:hanging="360"/>
      </w:pPr>
      <w:rPr>
        <w:color w:val="1A7A6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2026-06-11T18:10:47.191Z</dcterms:created>
  <dcterms:modified xsi:type="dcterms:W3CDTF">2026-06-11T18:10:47.191Z</dcterms:modified>
</cp:coreProperties>
</file>

<file path=docProps/custom.xml><?xml version="1.0" encoding="utf-8"?>
<Properties xmlns="http://schemas.openxmlformats.org/officeDocument/2006/custom-properties" xmlns:vt="http://schemas.openxmlformats.org/officeDocument/2006/docPropsVTypes"/>
</file>