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874"/>
            </w:pPr>
          </w:p>
          <w:p>
            <w:pPr>
              <w:pBdr>
                <w:bottom w:val="single" w:color="37DCF2" w:sz="6" w:space="8"/>
              </w:pBdr>
              <w:spacing w:after="500"/>
              <w:ind w:left="1200" w:right="800"/>
            </w:pPr>
            <w:r>
              <w:rPr>
                <w:color w:val="37DCF2"/>
                <w:sz w:val="18"/>
                <w:szCs w:val="18"/>
                <w:rFonts w:ascii="Arial"/>
                <w:spacing w:val="40"/>
              </w:rPr>
              <w:t xml:space="preserve">D E P I   G R A D U A T I O N   P R O J E C T</w:t>
            </w:r>
          </w:p>
          <w:p>
            <w:pPr>
              <w:spacing w:after="300" w:line="874" w:lineRule="atLeast"/>
              <w:ind w:left="1200"/>
            </w:pPr>
            <w:r>
              <w:rPr>
                <w:b/>
                <w:bCs/>
                <w:color w:val="FFFFFF"/>
                <w:sz w:val="76"/>
                <w:szCs w:val="76"/>
                <w:rFonts w:ascii="Arial" w:eastAsia="Arial"/>
              </w:rPr>
              <w:t xml:space="preserve">Literature Review</w:t>
            </w:r>
          </w:p>
          <w:p>
            <w:pPr>
              <w:spacing w:after="800"/>
              <w:ind w:left="1200"/>
            </w:pPr>
            <w:r>
              <w:rPr>
                <w:color w:val="B0B8C0"/>
                <w:sz w:val="24"/>
                <w:szCs w:val="24"/>
                <w:rFonts w:ascii="Arial"/>
              </w:rPr>
              <w:t xml:space="preserve">Remote Sensing Change Detection: Datasets, Methods, and Evaluation Practice</w:t>
            </w:r>
          </w:p>
          <w:p>
            <w:pPr>
              <w:pBdr>
                <w:left w:val="single" w:color="37DCF2" w:sz="8" w:space="12"/>
              </w:pBdr>
              <w:spacing w:after="70"/>
              <w:ind w:left="1400"/>
            </w:pPr>
            <w:r>
              <w:rPr>
                <w:b/>
                <w:bCs/>
                <w:color w:val="FFFFFF"/>
                <w:sz w:val="21"/>
                <w:szCs w:val="21"/>
                <w:rFonts w:ascii="Arial"/>
              </w:rPr>
              <w:t xml:space="preserve">Digital Egypt Pioneers Initiative (DEPI) - AI Track</w:t>
            </w:r>
          </w:p>
          <w:p>
            <w:pPr>
              <w:pBdr>
                <w:left w:val="single" w:color="37DCF2" w:sz="8" w:space="12"/>
              </w:pBdr>
              <w:spacing w:after="70"/>
              <w:ind w:left="1400"/>
            </w:pPr>
            <w:r>
              <w:rPr>
                <w:b/>
                <w:bCs/>
                <w:color w:val="37DCF2"/>
                <w:sz w:val="20"/>
                <w:szCs w:val="20"/>
                <w:rFonts w:ascii="Arial"/>
              </w:rPr>
              <w:t xml:space="preserve">Milestone 2 of 6 - Literature Review</w:t>
            </w:r>
          </w:p>
          <w:p>
            <w:pPr>
              <w:pBdr>
                <w:left w:val="single" w:color="37DCF2" w:sz="8" w:space="12"/>
              </w:pBdr>
              <w:spacing w:after="70"/>
              <w:ind w:left="1400"/>
            </w:pPr>
            <w:r>
              <w:rPr>
                <w:b/>
                <w:bCs/>
                <w:color w:val="E2E8F0"/>
                <w:sz w:val="20"/>
                <w:szCs w:val="20"/>
                <w:rFonts w:ascii="Arial"/>
              </w:rPr>
              <w:t xml:space="preserve">Project Team Members:</w:t>
            </w:r>
          </w:p>
          <w:p>
            <w:pPr>
              <w:pBdr>
                <w:left w:val="single" w:color="37DCF2" w:sz="8" w:space="12"/>
              </w:pBdr>
              <w:spacing w:after="70"/>
              <w:ind w:left="1500"/>
            </w:pPr>
            <w:r>
              <w:rPr>
                <w:b w:val="false"/>
                <w:bCs w:val="false"/>
                <w:color w:val="90989F"/>
                <w:sz w:val="19"/>
                <w:szCs w:val="19"/>
                <w:rFonts w:ascii="Arial"/>
              </w:rPr>
              <w:t xml:space="preserve">  • Ahmed Refaat Abd-Elmotelb (Lead ML Engineer &amp; Pipeline Architect)</w:t>
            </w:r>
          </w:p>
          <w:p>
            <w:pPr>
              <w:pBdr>
                <w:left w:val="single" w:color="37DCF2" w:sz="8" w:space="12"/>
              </w:pBdr>
              <w:spacing w:after="70"/>
              <w:ind w:left="1500"/>
            </w:pPr>
            <w:r>
              <w:rPr>
                <w:b w:val="false"/>
                <w:bCs w:val="false"/>
                <w:color w:val="90989F"/>
                <w:sz w:val="19"/>
                <w:szCs w:val="19"/>
                <w:rFonts w:ascii="Arial"/>
              </w:rPr>
              <w:t xml:space="preserve">  • Ahmed Reda Mohamed (Deep Learning Specialist &amp; Loss Optimization)</w:t>
            </w:r>
          </w:p>
          <w:p>
            <w:pPr>
              <w:pBdr>
                <w:left w:val="single" w:color="37DCF2" w:sz="8" w:space="12"/>
              </w:pBdr>
              <w:spacing w:after="70"/>
              <w:ind w:left="1500"/>
            </w:pPr>
            <w:r>
              <w:rPr>
                <w:b w:val="false"/>
                <w:bCs w:val="false"/>
                <w:color w:val="90989F"/>
                <w:sz w:val="19"/>
                <w:szCs w:val="19"/>
                <w:rFonts w:ascii="Arial"/>
              </w:rPr>
              <w:t xml:space="preserve">  • Raeed Youssef Mahfouz (Data Systems &amp; Augmentation Specialist)</w:t>
            </w:r>
          </w:p>
          <w:p>
            <w:pPr>
              <w:pBdr>
                <w:left w:val="single" w:color="37DCF2" w:sz="8" w:space="12"/>
              </w:pBdr>
              <w:spacing w:after="70"/>
              <w:ind w:left="1500"/>
            </w:pPr>
            <w:r>
              <w:rPr>
                <w:b w:val="false"/>
                <w:bCs w:val="false"/>
                <w:color w:val="90989F"/>
                <w:sz w:val="19"/>
                <w:szCs w:val="19"/>
                <w:rFonts w:ascii="Arial"/>
              </w:rPr>
              <w:t xml:space="preserve">  • Ahmed Mohamed Qotb (Evaluation Metrics &amp; Quality Assurance Lead)</w:t>
            </w:r>
          </w:p>
          <w:p>
            <w:pPr>
              <w:pBdr>
                <w:left w:val="single" w:color="37DCF2" w:sz="8" w:space="12"/>
              </w:pBdr>
              <w:spacing w:after="70"/>
              <w:ind w:left="1400"/>
            </w:pPr>
            <w:r>
              <w:rPr>
                <w:b w:val="false"/>
                <w:bCs w:val="false"/>
                <w:color w:val="90989F"/>
                <w:sz w:val="19"/>
                <w:szCs w:val="19"/>
                <w:rFonts w:ascii="Arial"/>
              </w:rPr>
              <w:t xml:space="preserve">Academic / Technical Track: Artificial Intelligence &amp; Deep Learning</w:t>
            </w:r>
          </w:p>
          <w:p>
            <w:pPr>
              <w:pBdr>
                <w:left w:val="single" w:color="37DCF2" w:sz="8" w:space="12"/>
              </w:pBdr>
              <w:spacing w:after="70"/>
              <w:ind w:left="1400"/>
            </w:pPr>
            <w:r>
              <w:rPr>
                <w:b w:val="false"/>
                <w:bCs w:val="false"/>
                <w:color w:val="90989F"/>
                <w:sz w:val="19"/>
                <w:szCs w:val="19"/>
                <w:rFonts w:ascii="Arial"/>
              </w:rPr>
              <w:t xml:space="preserve">Submission Date: October 2026</w:t>
            </w:r>
          </w:p>
          <w:p>
            <w:pPr>
              <w:spacing w:before="3874"/>
            </w:pPr>
          </w:p>
          <w:p>
            <w:pPr>
              <w:pBdr>
                <w:top w:val="single" w:color="37DCF2" w:sz="2" w:space="8"/>
              </w:pBdr>
              <w:spacing w:before="200"/>
              <w:ind w:left="1200" w:right="800"/>
            </w:pPr>
            <w:r>
              <w:rPr>
                <w:color w:val="687078"/>
                <w:sz w:val="16"/>
                <w:szCs w:val="16"/>
                <w:rFonts w:ascii="Arial"/>
              </w:rPr>
              <w:t xml:space="preserve">Digital Egypt Pioneers Initiative - AI Track</w:t>
            </w:r>
            <w:r>
              <w:t xml:space="preserve">                                        </w:t>
            </w:r>
            <w:r>
              <w:rPr>
                <w:color w:val="687078"/>
                <w:sz w:val="16"/>
                <w:szCs w:val="16"/>
                <w:rFonts w:ascii="Arial"/>
              </w:rPr>
              <w:t xml:space="preserve">Milestone 2</w:t>
            </w:r>
          </w:p>
        </w:tc>
      </w:tr>
    </w:tbl>
    <w:p>
      <w:pPr>
        <w:sectPr>
          <w:pgSz w:w="11906" w:h="16838" w:orient="portrait"/>
          <w:pgMar w:top="0" w:right="0" w:bottom="0" w:left="0" w:header="708" w:footer="708" w:gutter="0"/>
          <w:pgNumType/>
          <w:docGrid w:linePitch="360"/>
        </w:sectPr>
      </w:pPr>
    </w:p>
    <w:p>
      <w:pPr>
        <w:spacing w:before="480" w:after="360"/>
        <w:jc w:val="center"/>
      </w:pPr>
      <w:r>
        <w:rPr>
          <w:b/>
          <w:bCs/>
          <w:color w:val="0A1628"/>
          <w:sz w:val="30"/>
          <w:szCs w:val="30"/>
          <w:rFonts w:ascii="Arial" w:eastAsia="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i/>
          <w:iCs/>
          <w:color w:val="888888"/>
          <w:sz w:val="18"/>
          <w:szCs w:val="18"/>
          <w:rFonts w:ascii="Times New Roman" w:eastAsia="Times New Roman"/>
        </w:rPr>
        <w:t xml:space="preserve">Note: this Table of Contents is generated via field codes. After editing the document, right-click the TOC and choose Update Field to refresh page numbers.</w:t>
      </w:r>
    </w:p>
    <w:p>
      <w:r>
        <w:br w:type="page"/>
      </w:r>
    </w:p>
    <w:p>
      <w:pPr>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before="360" w:after="160" w:line="312"/>
      </w:pPr>
      <w:r>
        <w:rPr>
          <w:b/>
          <w:bCs/>
          <w:color w:val="0A1628"/>
          <w:sz w:val="30"/>
          <w:szCs w:val="30"/>
          <w:rFonts w:ascii="Arial" w:eastAsia="Arial"/>
        </w:rPr>
        <w:t xml:space="preserve">1. Introduction and Problem Domain</w:t>
      </w:r>
    </w:p>
    <w:p>
      <w:pPr>
        <w:spacing w:line="312" w:after="120"/>
        <w:jc w:val="both"/>
      </w:pPr>
      <w:r>
        <w:rPr>
          <w:i w:val="false"/>
          <w:iCs w:val="false"/>
          <w:color w:val="000000"/>
          <w:sz w:val="22"/>
          <w:szCs w:val="22"/>
          <w:rFonts w:ascii="Times New Roman" w:eastAsia="Times New Roman"/>
        </w:rPr>
        <w:t xml:space="preserve">Change detection (CD) in Earth observation and remote sensing addresses the task of identifying land-cover alterations between two coregistered images acquired over the same geographical location at different times (t1 and t2). Automatic CD is fundamental for urban sprawl monitoring, disaster damage assessment, unauthorized construction tracking, and deforestation monitoring. This literature review surveys the theoretical foundations, benchmark datasets, evolution from handcrafted spectral analysis to modern Siamese deep neural networks, loss functions for severe class imbalance, and the architectural rationale for the models implemented in this project.</w:t>
      </w:r>
    </w:p>
    <w:p>
      <w:pPr>
        <w:keepNext/>
        <w:spacing w:before="160" w:after="80"/>
      </w:pPr>
      <w:r>
        <w:rPr>
          <w:b/>
          <w:bCs/>
          <w:color w:val="0A1628"/>
          <w:sz w:val="21"/>
          <w:szCs w:val="21"/>
          <w:rFonts w:ascii="Arial" w:eastAsia="Arial"/>
        </w:rPr>
        <w:t xml:space="preserve">Project Team Identification &amp; Roles</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6%"/>
            <w:shd w:fill="1B6B7A" w:val="clear"/>
            <w:tcMar>
              <w:top w:type="dxa" w:w="70"/>
              <w:left w:type="dxa" w:w="110"/>
              <w:bottom w:type="dxa" w:w="70"/>
              <w:right w:type="dxa" w:w="110"/>
            </w:tcMar>
          </w:tcPr>
          <w:p>
            <w:pPr>
              <w:spacing w:line="276"/>
            </w:pPr>
            <w:r>
              <w:rPr>
                <w:b/>
                <w:bCs/>
                <w:color w:val="FFFFFF"/>
                <w:sz w:val="20"/>
                <w:szCs w:val="20"/>
                <w:rFonts w:ascii="Arial" w:eastAsia="Arial"/>
              </w:rPr>
              <w:t xml:space="preserve">#</w:t>
            </w:r>
          </w:p>
        </w:tc>
        <w:tc>
          <w:tcPr>
            <w:tcW w:type="pct" w:w="32%"/>
            <w:shd w:fill="1B6B7A" w:val="clear"/>
            <w:tcMar>
              <w:top w:type="dxa" w:w="70"/>
              <w:left w:type="dxa" w:w="110"/>
              <w:bottom w:type="dxa" w:w="70"/>
              <w:right w:type="dxa" w:w="110"/>
            </w:tcMar>
          </w:tcPr>
          <w:p>
            <w:pPr>
              <w:spacing w:line="276"/>
            </w:pPr>
            <w:r>
              <w:rPr>
                <w:b/>
                <w:bCs/>
                <w:color w:val="FFFFFF"/>
                <w:sz w:val="20"/>
                <w:szCs w:val="20"/>
                <w:rFonts w:ascii="Arial" w:eastAsia="Arial"/>
              </w:rPr>
              <w:t xml:space="preserve">Team Member Name</w:t>
            </w:r>
          </w:p>
        </w:tc>
        <w:tc>
          <w:tcPr>
            <w:tcW w:type="pct" w:w="62%"/>
            <w:shd w:fill="1B6B7A" w:val="clear"/>
            <w:tcMar>
              <w:top w:type="dxa" w:w="70"/>
              <w:left w:type="dxa" w:w="110"/>
              <w:bottom w:type="dxa" w:w="70"/>
              <w:right w:type="dxa" w:w="110"/>
            </w:tcMar>
          </w:tcPr>
          <w:p>
            <w:pPr>
              <w:spacing w:line="276"/>
            </w:pPr>
            <w:r>
              <w:rPr>
                <w:b/>
                <w:bCs/>
                <w:color w:val="FFFFFF"/>
                <w:sz w:val="20"/>
                <w:szCs w:val="20"/>
                <w:rFonts w:ascii="Arial" w:eastAsia="Arial"/>
              </w:rPr>
              <w:t xml:space="preserve">Specialized Role &amp; Key Responsibilities</w:t>
            </w:r>
          </w:p>
        </w:tc>
      </w:tr>
      <w:tr>
        <w:trPr>
          <w:cantSplit/>
        </w:trPr>
        <w:tc>
          <w:tcPr>
            <w:tcW w:type="pct" w:w="6%"/>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1</w:t>
            </w:r>
          </w:p>
        </w:tc>
        <w:tc>
          <w:tcPr>
            <w:tcW w:type="pct" w:w="32%"/>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Ahmed Refaat Abd-Elmotelb</w:t>
            </w:r>
          </w:p>
        </w:tc>
        <w:tc>
          <w:tcPr>
            <w:tcW w:type="pct" w:w="62%"/>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Lead ML Engineer &amp; Pipeline Architect: Siamese U-Net implementation, zero-leakage split enforcement, dual-model ensemble blending, and TTA pipeline.</w:t>
            </w:r>
          </w:p>
        </w:tc>
      </w:tr>
      <w:tr>
        <w:trPr>
          <w:cantSplit/>
        </w:trPr>
        <w:tc>
          <w:tcPr>
            <w:tcW w:type="pct" w:w="6%"/>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2</w:t>
            </w:r>
          </w:p>
        </w:tc>
        <w:tc>
          <w:tcPr>
            <w:tcW w:type="pct" w:w="32%"/>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Ahmed Reda Mohamed</w:t>
            </w:r>
          </w:p>
        </w:tc>
        <w:tc>
          <w:tcPr>
            <w:tcW w:type="pct" w:w="62%"/>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Deep Learning Specialist &amp; Loss Design: Differential feature fusion (diff_cat), BCE + Soft Dice loss weighting (pos_weight=10.0), and gradient stabilization.</w:t>
            </w:r>
          </w:p>
        </w:tc>
      </w:tr>
      <w:tr>
        <w:trPr>
          <w:cantSplit/>
        </w:trPr>
        <w:tc>
          <w:tcPr>
            <w:tcW w:type="pct" w:w="6%"/>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3</w:t>
            </w:r>
          </w:p>
        </w:tc>
        <w:tc>
          <w:tcPr>
            <w:tcW w:type="pct" w:w="32%"/>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Raeed Youssef Mahfouz</w:t>
            </w:r>
          </w:p>
        </w:tc>
        <w:tc>
          <w:tcPr>
            <w:tcW w:type="pct" w:w="62%"/>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Data Systems &amp; Augmentation Engineer: Automated dataset discovery, synchronized dihedral geometric augmentation, and memory-safe evaluation tiling.</w:t>
            </w:r>
          </w:p>
        </w:tc>
      </w:tr>
      <w:tr>
        <w:trPr>
          <w:cantSplit/>
        </w:trPr>
        <w:tc>
          <w:tcPr>
            <w:tcW w:type="pct" w:w="6%"/>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4</w:t>
            </w:r>
          </w:p>
        </w:tc>
        <w:tc>
          <w:tcPr>
            <w:tcW w:type="pct" w:w="32%"/>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Ahmed Mohamed Qotb</w:t>
            </w:r>
          </w:p>
        </w:tc>
        <w:tc>
          <w:tcPr>
            <w:tcW w:type="pct" w:w="62%"/>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Evaluation Metrics &amp; QA Lead: Confusion matrix accumulation, validation threshold calibration, error mapping (TP/FP/FN), and diagnostics.</w:t>
            </w:r>
          </w:p>
        </w:tc>
      </w:tr>
    </w:tbl>
    <w:p>
      <w:pPr>
        <w:pStyle w:val="Heading1"/>
        <w:spacing w:before="360" w:after="160" w:line="312"/>
      </w:pPr>
      <w:r>
        <w:rPr>
          <w:b/>
          <w:bCs/>
          <w:color w:val="0A1628"/>
          <w:sz w:val="30"/>
          <w:szCs w:val="30"/>
          <w:rFonts w:ascii="Arial" w:eastAsia="Arial"/>
        </w:rPr>
        <w:t xml:space="preserve">2. Mathematical Formulation</w:t>
      </w:r>
    </w:p>
    <w:p>
      <w:pPr>
        <w:spacing w:line="312" w:after="120"/>
        <w:jc w:val="both"/>
      </w:pPr>
      <w:r>
        <w:rPr>
          <w:i w:val="false"/>
          <w:iCs w:val="false"/>
          <w:color w:val="000000"/>
          <w:sz w:val="22"/>
          <w:szCs w:val="22"/>
          <w:rFonts w:ascii="Times New Roman" w:eastAsia="Times New Roman"/>
        </w:rPr>
        <w:t xml:space="preserve">Given a pair of coregistered bi-temporal aerial images I1, I2 in R^(H x W x 3) captured at times t1 and t2, the goal of binary change detection is to infer a binary change map M in {0, 1}^(H x W), where M(i,j) = 1 denotes that a significant semantic change occurred at pixel (i,j), while M(i,j) = 0 indicates that the land-cover state remained unchanged. Unlike single-image semantic segmentation, change detection requires the network to decouple genuine structural changes from pseudo-changes caused by seasonal vegetation shifts, illumination changes, sensor angle variations, and atmospheric haze.</w:t>
      </w:r>
    </w:p>
    <w:p>
      <w:pPr>
        <w:pStyle w:val="Heading1"/>
        <w:spacing w:before="360" w:after="160" w:line="312"/>
      </w:pPr>
      <w:r>
        <w:rPr>
          <w:b/>
          <w:bCs/>
          <w:color w:val="0A1628"/>
          <w:sz w:val="30"/>
          <w:szCs w:val="30"/>
          <w:rFonts w:ascii="Arial" w:eastAsia="Arial"/>
        </w:rPr>
        <w:t xml:space="preserve">3. Remote Sensing Benchmark Datasets</w:t>
      </w:r>
    </w:p>
    <w:p>
      <w:pPr>
        <w:keepNext/>
        <w:spacing w:before="160" w:after="80"/>
      </w:pPr>
      <w:r>
        <w:rPr>
          <w:b/>
          <w:bCs/>
          <w:color w:val="0A1628"/>
          <w:sz w:val="21"/>
          <w:szCs w:val="21"/>
          <w:rFonts w:ascii="Arial" w:eastAsia="Arial"/>
        </w:rPr>
        <w:t xml:space="preserve">Table 1 - Primary public aerial change detection benchmarks</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gridCol w:w="100"/>
      </w:tblGrid>
      <w:tr>
        <w:trPr>
          <w:cantSplit/>
          <w:tblHeader/>
        </w:trPr>
        <w:tc>
          <w:tcPr>
            <w:tcW w:type="pct" w:w="26%"/>
            <w:shd w:fill="1B6B7A" w:val="clear"/>
            <w:tcMar>
              <w:top w:type="dxa" w:w="70"/>
              <w:left w:type="dxa" w:w="110"/>
              <w:bottom w:type="dxa" w:w="70"/>
              <w:right w:type="dxa" w:w="110"/>
            </w:tcMar>
          </w:tcPr>
          <w:p>
            <w:pPr>
              <w:spacing w:line="276"/>
            </w:pPr>
            <w:r>
              <w:rPr>
                <w:b/>
                <w:bCs/>
                <w:color w:val="FFFFFF"/>
                <w:sz w:val="20"/>
                <w:szCs w:val="20"/>
                <w:rFonts w:ascii="Arial" w:eastAsia="Arial"/>
              </w:rPr>
              <w:t xml:space="preserve">Dataset</w:t>
            </w:r>
          </w:p>
        </w:tc>
        <w:tc>
          <w:tcPr>
            <w:tcW w:type="pct" w:w="18%"/>
            <w:shd w:fill="1B6B7A" w:val="clear"/>
            <w:tcMar>
              <w:top w:type="dxa" w:w="70"/>
              <w:left w:type="dxa" w:w="110"/>
              <w:bottom w:type="dxa" w:w="70"/>
              <w:right w:type="dxa" w:w="110"/>
            </w:tcMar>
          </w:tcPr>
          <w:p>
            <w:pPr>
              <w:spacing w:line="276"/>
            </w:pPr>
            <w:r>
              <w:rPr>
                <w:b/>
                <w:bCs/>
                <w:color w:val="FFFFFF"/>
                <w:sz w:val="20"/>
                <w:szCs w:val="20"/>
                <w:rFonts w:ascii="Arial" w:eastAsia="Arial"/>
              </w:rPr>
              <w:t xml:space="preserve">Spatial Resolution</w:t>
            </w:r>
          </w:p>
        </w:tc>
        <w:tc>
          <w:tcPr>
            <w:tcW w:type="pct" w:w="18%"/>
            <w:shd w:fill="1B6B7A" w:val="clear"/>
            <w:tcMar>
              <w:top w:type="dxa" w:w="70"/>
              <w:left w:type="dxa" w:w="110"/>
              <w:bottom w:type="dxa" w:w="70"/>
              <w:right w:type="dxa" w:w="110"/>
            </w:tcMar>
          </w:tcPr>
          <w:p>
            <w:pPr>
              <w:spacing w:line="276"/>
            </w:pPr>
            <w:r>
              <w:rPr>
                <w:b/>
                <w:bCs/>
                <w:color w:val="FFFFFF"/>
                <w:sz w:val="20"/>
                <w:szCs w:val="20"/>
                <w:rFonts w:ascii="Arial" w:eastAsia="Arial"/>
              </w:rPr>
              <w:t xml:space="preserve">Dimensions</w:t>
            </w:r>
          </w:p>
        </w:tc>
        <w:tc>
          <w:tcPr>
            <w:tcW w:type="pct" w:w="16%"/>
            <w:shd w:fill="1B6B7A" w:val="clear"/>
            <w:tcMar>
              <w:top w:type="dxa" w:w="70"/>
              <w:left w:type="dxa" w:w="110"/>
              <w:bottom w:type="dxa" w:w="70"/>
              <w:right w:type="dxa" w:w="110"/>
            </w:tcMar>
          </w:tcPr>
          <w:p>
            <w:pPr>
              <w:spacing w:line="276"/>
            </w:pPr>
            <w:r>
              <w:rPr>
                <w:b/>
                <w:bCs/>
                <w:color w:val="FFFFFF"/>
                <w:sz w:val="20"/>
                <w:szCs w:val="20"/>
                <w:rFonts w:ascii="Arial" w:eastAsia="Arial"/>
              </w:rPr>
              <w:t xml:space="preserve">Pairs</w:t>
            </w:r>
          </w:p>
        </w:tc>
        <w:tc>
          <w:tcPr>
            <w:tcW w:type="pct" w:w="22%"/>
            <w:shd w:fill="1B6B7A" w:val="clear"/>
            <w:tcMar>
              <w:top w:type="dxa" w:w="70"/>
              <w:left w:type="dxa" w:w="110"/>
              <w:bottom w:type="dxa" w:w="70"/>
              <w:right w:type="dxa" w:w="110"/>
            </w:tcMar>
          </w:tcPr>
          <w:p>
            <w:pPr>
              <w:spacing w:line="276"/>
            </w:pPr>
            <w:r>
              <w:rPr>
                <w:b/>
                <w:bCs/>
                <w:color w:val="FFFFFF"/>
                <w:sz w:val="20"/>
                <w:szCs w:val="20"/>
                <w:rFonts w:ascii="Arial" w:eastAsia="Arial"/>
              </w:rPr>
              <w:t xml:space="preserve">Target Class</w:t>
            </w:r>
          </w:p>
        </w:tc>
      </w:tr>
      <w:tr>
        <w:trPr>
          <w:cantSplit/>
        </w:trPr>
        <w:tc>
          <w:tcPr>
            <w:tcW w:type="pct" w:w="26%"/>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LEVIR-CD+ (Benchmark Used)</w:t>
            </w:r>
          </w:p>
        </w:tc>
        <w:tc>
          <w:tcPr>
            <w:tcW w:type="pct" w:w="18%"/>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0.5 m / pixel</w:t>
            </w:r>
          </w:p>
        </w:tc>
        <w:tc>
          <w:tcPr>
            <w:tcW w:type="pct" w:w="18%"/>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1024 x 1024</w:t>
            </w:r>
          </w:p>
        </w:tc>
        <w:tc>
          <w:tcPr>
            <w:tcW w:type="pct" w:w="16%"/>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985 pairs</w:t>
            </w:r>
          </w:p>
        </w:tc>
        <w:tc>
          <w:tcPr>
            <w:tcW w:type="pct" w:w="22%"/>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Building construction / demolition</w:t>
            </w:r>
          </w:p>
        </w:tc>
      </w:tr>
      <w:tr>
        <w:trPr>
          <w:cantSplit/>
        </w:trPr>
        <w:tc>
          <w:tcPr>
            <w:tcW w:type="pct" w:w="26%"/>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LEVIR-CD (Patch-based)</w:t>
            </w:r>
          </w:p>
        </w:tc>
        <w:tc>
          <w:tcPr>
            <w:tcW w:type="pct" w:w="18%"/>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0.5 m / pixel</w:t>
            </w:r>
          </w:p>
        </w:tc>
        <w:tc>
          <w:tcPr>
            <w:tcW w:type="pct" w:w="18%"/>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256 x 256</w:t>
            </w:r>
          </w:p>
        </w:tc>
        <w:tc>
          <w:tcPr>
            <w:tcW w:type="pct" w:w="16%"/>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6,375 patches</w:t>
            </w:r>
          </w:p>
        </w:tc>
        <w:tc>
          <w:tcPr>
            <w:tcW w:type="pct" w:w="22%"/>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Building change</w:t>
            </w:r>
          </w:p>
        </w:tc>
      </w:tr>
      <w:tr>
        <w:trPr>
          <w:cantSplit/>
        </w:trPr>
        <w:tc>
          <w:tcPr>
            <w:tcW w:type="pct" w:w="26%"/>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WHU-CD (Ji et al., 2019)</w:t>
            </w:r>
          </w:p>
        </w:tc>
        <w:tc>
          <w:tcPr>
            <w:tcW w:type="pct" w:w="18%"/>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0.075 m / pixel</w:t>
            </w:r>
          </w:p>
        </w:tc>
        <w:tc>
          <w:tcPr>
            <w:tcW w:type="pct" w:w="18%"/>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Variable large</w:t>
            </w:r>
          </w:p>
        </w:tc>
        <w:tc>
          <w:tcPr>
            <w:tcW w:type="pct" w:w="16%"/>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1 large pair</w:t>
            </w:r>
          </w:p>
        </w:tc>
        <w:tc>
          <w:tcPr>
            <w:tcW w:type="pct" w:w="22%"/>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Urban building change</w:t>
            </w:r>
          </w:p>
        </w:tc>
      </w:tr>
      <w:tr>
        <w:trPr>
          <w:cantSplit/>
        </w:trPr>
        <w:tc>
          <w:tcPr>
            <w:tcW w:type="pct" w:w="26%"/>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SYSU-CD (Shi et al., 2022)</w:t>
            </w:r>
          </w:p>
        </w:tc>
        <w:tc>
          <w:tcPr>
            <w:tcW w:type="pct" w:w="18%"/>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0.5 - 2.0 m / pixel</w:t>
            </w:r>
          </w:p>
        </w:tc>
        <w:tc>
          <w:tcPr>
            <w:tcW w:type="pct" w:w="18%"/>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256 x 256</w:t>
            </w:r>
          </w:p>
        </w:tc>
        <w:tc>
          <w:tcPr>
            <w:tcW w:type="pct" w:w="16%"/>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20,000 pairs</w:t>
            </w:r>
          </w:p>
        </w:tc>
        <w:tc>
          <w:tcPr>
            <w:tcW w:type="pct" w:w="22%"/>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Mixed urban alterations</w:t>
            </w:r>
          </w:p>
        </w:tc>
      </w:tr>
      <w:tr>
        <w:trPr>
          <w:cantSplit/>
        </w:trPr>
        <w:tc>
          <w:tcPr>
            <w:tcW w:type="pct" w:w="26%"/>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DSIFN-CD (Zhang et al., 2020)</w:t>
            </w:r>
          </w:p>
        </w:tc>
        <w:tc>
          <w:tcPr>
            <w:tcW w:type="pct" w:w="18%"/>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0.5 - 2.0 m / pixel</w:t>
            </w:r>
          </w:p>
        </w:tc>
        <w:tc>
          <w:tcPr>
            <w:tcW w:type="pct" w:w="18%"/>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512 x 512</w:t>
            </w:r>
          </w:p>
        </w:tc>
        <w:tc>
          <w:tcPr>
            <w:tcW w:type="pct" w:w="16%"/>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3,914 pairs</w:t>
            </w:r>
          </w:p>
        </w:tc>
        <w:tc>
          <w:tcPr>
            <w:tcW w:type="pct" w:w="22%"/>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Multi-city urban change</w:t>
            </w:r>
          </w:p>
        </w:tc>
      </w:tr>
    </w:tbl>
    <w:p>
      <w:pPr>
        <w:spacing w:line="312" w:after="120"/>
        <w:jc w:val="both"/>
      </w:pPr>
      <w:r>
        <w:rPr>
          <w:i w:val="false"/>
          <w:iCs w:val="false"/>
          <w:color w:val="000000"/>
          <w:sz w:val="22"/>
          <w:szCs w:val="22"/>
          <w:rFonts w:ascii="Times New Roman" w:eastAsia="Times New Roman"/>
        </w:rPr>
        <w:t xml:space="preserve">LEVIR-CD+ is a high-resolution benchmark composed of 985 full-scene 1024 x 1024 pixel image pairs collected across multiple cities in Texas, USA, over a span of 5 to 14 years. It presents genuine operational challenges: building changes occupy only 4.3% to 5.5% of total pixel volume, and images feature complex seasonal and illumination shifts.</w:t>
      </w:r>
    </w:p>
    <w:p>
      <w:pPr>
        <w:pStyle w:val="Heading1"/>
        <w:spacing w:before="360" w:after="160" w:line="312"/>
      </w:pPr>
      <w:r>
        <w:rPr>
          <w:b/>
          <w:bCs/>
          <w:color w:val="0A1628"/>
          <w:sz w:val="30"/>
          <w:szCs w:val="30"/>
          <w:rFonts w:ascii="Arial" w:eastAsia="Arial"/>
        </w:rPr>
        <w:t xml:space="preserve">4. Evolution of Change Detection Methodologies</w:t>
      </w:r>
    </w:p>
    <w:p>
      <w:pPr>
        <w:pStyle w:val="Heading2"/>
        <w:spacing w:before="260" w:after="120" w:line="312"/>
      </w:pPr>
      <w:r>
        <w:rPr>
          <w:b/>
          <w:bCs/>
          <w:color w:val="0A1628"/>
          <w:sz w:val="26"/>
          <w:szCs w:val="26"/>
          <w:rFonts w:ascii="Arial" w:eastAsia="Arial"/>
        </w:rPr>
        <w:t xml:space="preserve">4.1 Classical &amp; Handcrafted Approaches</w:t>
      </w:r>
    </w:p>
    <w:p>
      <w:pPr>
        <w:pStyle w:val="ListParagraph"/>
        <w:numPr>
          <w:ilvl w:val="0"/>
          <w:numId w:val="1"/>
        </w:numPr>
        <w:spacing w:line="312" w:after="60"/>
        <w:jc w:val="both"/>
      </w:pPr>
      <w:r>
        <w:rPr>
          <w:color w:val="000000"/>
          <w:sz w:val="22"/>
          <w:szCs w:val="22"/>
          <w:rFonts w:ascii="Times New Roman" w:eastAsia="Times New Roman"/>
        </w:rPr>
        <w:t xml:space="preserve">Change Vector Analysis (CVA): Computes spectral difference vectors between normalized pixel bands. While computationally trivial, CVA is severely corrupted by radiometric variations and shadows.</w:t>
      </w:r>
    </w:p>
    <w:p>
      <w:pPr>
        <w:pStyle w:val="ListParagraph"/>
        <w:numPr>
          <w:ilvl w:val="0"/>
          <w:numId w:val="1"/>
        </w:numPr>
        <w:spacing w:line="312" w:after="60"/>
        <w:jc w:val="both"/>
      </w:pPr>
      <w:r>
        <w:rPr>
          <w:color w:val="000000"/>
          <w:sz w:val="22"/>
          <w:szCs w:val="22"/>
          <w:rFonts w:ascii="Times New Roman" w:eastAsia="Times New Roman"/>
        </w:rPr>
        <w:t xml:space="preserve">Post-Classification Comparison (PCC): Independently segments image 1 and image 2, then compares predicted class labels. Classification errors from each date compound multiplicatively, resulting in high false alarm rates.</w:t>
      </w:r>
    </w:p>
    <w:p>
      <w:pPr>
        <w:pStyle w:val="Heading2"/>
        <w:spacing w:before="260" w:after="120" w:line="312"/>
      </w:pPr>
      <w:r>
        <w:rPr>
          <w:b/>
          <w:bCs/>
          <w:color w:val="0A1628"/>
          <w:sz w:val="26"/>
          <w:szCs w:val="26"/>
          <w:rFonts w:ascii="Arial" w:eastAsia="Arial"/>
        </w:rPr>
        <w:t xml:space="preserve">4.2 Deep Learning: Siamese Convolutional Networks</w:t>
      </w:r>
    </w:p>
    <w:p>
      <w:pPr>
        <w:spacing w:line="312" w:after="120"/>
        <w:jc w:val="both"/>
      </w:pPr>
      <w:r>
        <w:rPr>
          <w:i w:val="false"/>
          <w:iCs w:val="false"/>
          <w:color w:val="000000"/>
          <w:sz w:val="22"/>
          <w:szCs w:val="22"/>
          <w:rFonts w:ascii="Times New Roman" w:eastAsia="Times New Roman"/>
        </w:rPr>
        <w:t xml:space="preserve">The advent of deep convolutional neural networks established Siamese architectures as the dominant paradigm in remote sensing change detection:</w:t>
      </w:r>
    </w:p>
    <w:p>
      <w:pPr>
        <w:pStyle w:val="ListParagraph"/>
        <w:numPr>
          <w:ilvl w:val="0"/>
          <w:numId w:val="1"/>
        </w:numPr>
        <w:spacing w:line="312" w:after="60"/>
        <w:jc w:val="both"/>
      </w:pPr>
      <w:r>
        <w:rPr>
          <w:color w:val="000000"/>
          <w:sz w:val="22"/>
          <w:szCs w:val="22"/>
          <w:rFonts w:ascii="Times New Roman" w:eastAsia="Times New Roman"/>
        </w:rPr>
        <w:t xml:space="preserve">Early Fusion (Concat Input): Concatenates I1 and I2 into a 6-channel tensor fed into a single CNN. This forces the earliest layers to reconcile radiometric discrepancies without dedicated temporal feature representations.</w:t>
      </w:r>
    </w:p>
    <w:p>
      <w:pPr>
        <w:pStyle w:val="ListParagraph"/>
        <w:numPr>
          <w:ilvl w:val="0"/>
          <w:numId w:val="1"/>
        </w:numPr>
        <w:spacing w:line="312" w:after="60"/>
        <w:jc w:val="both"/>
      </w:pPr>
      <w:r>
        <w:rPr>
          <w:color w:val="000000"/>
          <w:sz w:val="22"/>
          <w:szCs w:val="22"/>
          <w:rFonts w:ascii="Times New Roman" w:eastAsia="Times New Roman"/>
        </w:rPr>
        <w:t xml:space="preserve">Siamese Feature Concatenation (FC-Siam-conc): Employs two weight-sharing encoder streams that map both dates into a shared, invariant semantic space. Feature maps at each scale are concatenated [F1, F2] and processed by a U-Net decoder.</w:t>
      </w:r>
    </w:p>
    <w:p>
      <w:pPr>
        <w:pStyle w:val="ListParagraph"/>
        <w:numPr>
          <w:ilvl w:val="0"/>
          <w:numId w:val="1"/>
        </w:numPr>
        <w:spacing w:line="312" w:after="60"/>
        <w:jc w:val="both"/>
      </w:pPr>
      <w:r>
        <w:rPr>
          <w:color w:val="000000"/>
          <w:sz w:val="22"/>
          <w:szCs w:val="22"/>
          <w:rFonts w:ascii="Times New Roman" w:eastAsia="Times New Roman"/>
        </w:rPr>
        <w:t xml:space="preserve">Differential Feature Fusion (diff_cat): Extends simple concatenation by explicitly incorporating absolute feature difference vectors |F1 - F2| alongside concatenated representations. This directly encodes distance in feature space, enhancing the network's sensitivity to structural changes while suppressing illumination shifts.</w:t>
      </w:r>
    </w:p>
    <w:p>
      <w:pPr>
        <w:pStyle w:val="ListParagraph"/>
        <w:numPr>
          <w:ilvl w:val="0"/>
          <w:numId w:val="1"/>
        </w:numPr>
        <w:spacing w:line="312" w:after="60"/>
        <w:jc w:val="both"/>
      </w:pPr>
      <w:r>
        <w:rPr>
          <w:color w:val="000000"/>
          <w:sz w:val="22"/>
          <w:szCs w:val="22"/>
          <w:rFonts w:ascii="Times New Roman" w:eastAsia="Times New Roman"/>
        </w:rPr>
        <w:t xml:space="preserve">Multi-Model Ensembling &amp; Test-Time Augmentation (TTA): In aerial imagery, orientation should be invariant. Applying 4-fold dihedral symmetry (horizontal, vertical, and diagonal flips) at inference time significantly reduces border jitter and false positives.</w:t>
      </w:r>
    </w:p>
    <w:p>
      <w:pPr>
        <w:keepNext/>
        <w:spacing w:before="160" w:after="80"/>
      </w:pPr>
      <w:r>
        <w:rPr>
          <w:b/>
          <w:bCs/>
          <w:color w:val="0A1628"/>
          <w:sz w:val="21"/>
          <w:szCs w:val="21"/>
          <w:rFonts w:ascii="Arial" w:eastAsia="Arial"/>
        </w:rPr>
        <w:t xml:space="preserve">Table 2 - Architectural comparison of change detection paradigms</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gridCol w:w="100"/>
      </w:tblGrid>
      <w:tr>
        <w:trPr>
          <w:cantSplit/>
          <w:tblHeader/>
        </w:trPr>
        <w:tc>
          <w:tcPr>
            <w:tcW w:type="pct" w:w="18%"/>
            <w:shd w:fill="1B6B7A" w:val="clear"/>
            <w:tcMar>
              <w:top w:type="dxa" w:w="70"/>
              <w:left w:type="dxa" w:w="110"/>
              <w:bottom w:type="dxa" w:w="70"/>
              <w:right w:type="dxa" w:w="110"/>
            </w:tcMar>
          </w:tcPr>
          <w:p>
            <w:pPr>
              <w:spacing w:line="276"/>
            </w:pPr>
            <w:r>
              <w:rPr>
                <w:b/>
                <w:bCs/>
                <w:color w:val="FFFFFF"/>
                <w:sz w:val="20"/>
                <w:szCs w:val="20"/>
                <w:rFonts w:ascii="Arial" w:eastAsia="Arial"/>
              </w:rPr>
              <w:t xml:space="preserve">Paradigm</w:t>
            </w:r>
          </w:p>
        </w:tc>
        <w:tc>
          <w:tcPr>
            <w:tcW w:type="pct" w:w="22%"/>
            <w:shd w:fill="1B6B7A" w:val="clear"/>
            <w:tcMar>
              <w:top w:type="dxa" w:w="70"/>
              <w:left w:type="dxa" w:w="110"/>
              <w:bottom w:type="dxa" w:w="70"/>
              <w:right w:type="dxa" w:w="110"/>
            </w:tcMar>
          </w:tcPr>
          <w:p>
            <w:pPr>
              <w:spacing w:line="276"/>
            </w:pPr>
            <w:r>
              <w:rPr>
                <w:b/>
                <w:bCs/>
                <w:color w:val="FFFFFF"/>
                <w:sz w:val="20"/>
                <w:szCs w:val="20"/>
                <w:rFonts w:ascii="Arial" w:eastAsia="Arial"/>
              </w:rPr>
              <w:t xml:space="preserve">Encoder Design</w:t>
            </w:r>
          </w:p>
        </w:tc>
        <w:tc>
          <w:tcPr>
            <w:tcW w:type="pct" w:w="22%"/>
            <w:shd w:fill="1B6B7A" w:val="clear"/>
            <w:tcMar>
              <w:top w:type="dxa" w:w="70"/>
              <w:left w:type="dxa" w:w="110"/>
              <w:bottom w:type="dxa" w:w="70"/>
              <w:right w:type="dxa" w:w="110"/>
            </w:tcMar>
          </w:tcPr>
          <w:p>
            <w:pPr>
              <w:spacing w:line="276"/>
            </w:pPr>
            <w:r>
              <w:rPr>
                <w:b/>
                <w:bCs/>
                <w:color w:val="FFFFFF"/>
                <w:sz w:val="20"/>
                <w:szCs w:val="20"/>
                <w:rFonts w:ascii="Arial" w:eastAsia="Arial"/>
              </w:rPr>
              <w:t xml:space="preserve">Feature Fusion</w:t>
            </w:r>
          </w:p>
        </w:tc>
        <w:tc>
          <w:tcPr>
            <w:tcW w:type="pct" w:w="20%"/>
            <w:shd w:fill="1B6B7A" w:val="clear"/>
            <w:tcMar>
              <w:top w:type="dxa" w:w="70"/>
              <w:left w:type="dxa" w:w="110"/>
              <w:bottom w:type="dxa" w:w="70"/>
              <w:right w:type="dxa" w:w="110"/>
            </w:tcMar>
          </w:tcPr>
          <w:p>
            <w:pPr>
              <w:spacing w:line="276"/>
            </w:pPr>
            <w:r>
              <w:rPr>
                <w:b/>
                <w:bCs/>
                <w:color w:val="FFFFFF"/>
                <w:sz w:val="20"/>
                <w:szCs w:val="20"/>
                <w:rFonts w:ascii="Arial" w:eastAsia="Arial"/>
              </w:rPr>
              <w:t xml:space="preserve">Advantages</w:t>
            </w:r>
          </w:p>
        </w:tc>
        <w:tc>
          <w:tcPr>
            <w:tcW w:type="pct" w:w="18%"/>
            <w:shd w:fill="1B6B7A" w:val="clear"/>
            <w:tcMar>
              <w:top w:type="dxa" w:w="70"/>
              <w:left w:type="dxa" w:w="110"/>
              <w:bottom w:type="dxa" w:w="70"/>
              <w:right w:type="dxa" w:w="110"/>
            </w:tcMar>
          </w:tcPr>
          <w:p>
            <w:pPr>
              <w:spacing w:line="276"/>
            </w:pPr>
            <w:r>
              <w:rPr>
                <w:b/>
                <w:bCs/>
                <w:color w:val="FFFFFF"/>
                <w:sz w:val="20"/>
                <w:szCs w:val="20"/>
                <w:rFonts w:ascii="Arial" w:eastAsia="Arial"/>
              </w:rPr>
              <w:t xml:space="preserve">Limitations</w:t>
            </w:r>
          </w:p>
        </w:tc>
      </w:tr>
      <w:tr>
        <w:trPr>
          <w:cantSplit/>
        </w:trPr>
        <w:tc>
          <w:tcPr>
            <w:tcW w:type="pct" w:w="18%"/>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Early Fusion</w:t>
            </w:r>
          </w:p>
        </w:tc>
        <w:tc>
          <w:tcPr>
            <w:tcW w:type="pct" w:w="22%"/>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Single 6-ch CNN</w:t>
            </w:r>
          </w:p>
        </w:tc>
        <w:tc>
          <w:tcPr>
            <w:tcW w:type="pct" w:w="22%"/>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Input level</w:t>
            </w:r>
          </w:p>
        </w:tc>
        <w:tc>
          <w:tcPr>
            <w:tcW w:type="pct" w:w="20%"/>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Fast inference</w:t>
            </w:r>
          </w:p>
        </w:tc>
        <w:tc>
          <w:tcPr>
            <w:tcW w:type="pct" w:w="18%"/>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Prone to seasonal false alarms</w:t>
            </w:r>
          </w:p>
        </w:tc>
      </w:tr>
      <w:tr>
        <w:trPr>
          <w:cantSplit/>
        </w:trPr>
        <w:tc>
          <w:tcPr>
            <w:tcW w:type="pct" w:w="18%"/>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Baseline Siamese</w:t>
            </w:r>
          </w:p>
        </w:tc>
        <w:tc>
          <w:tcPr>
            <w:tcW w:type="pct" w:w="22%"/>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Weight-shared dual CNN</w:t>
            </w:r>
          </w:p>
        </w:tc>
        <w:tc>
          <w:tcPr>
            <w:tcW w:type="pct" w:w="22%"/>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Concatenation [F1, F2]</w:t>
            </w:r>
          </w:p>
        </w:tc>
        <w:tc>
          <w:tcPr>
            <w:tcW w:type="pct" w:w="20%"/>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Invariant semantic space</w:t>
            </w:r>
          </w:p>
        </w:tc>
        <w:tc>
          <w:tcPr>
            <w:tcW w:type="pct" w:w="18%"/>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Requires decoder to infer differences</w:t>
            </w:r>
          </w:p>
        </w:tc>
      </w:tr>
      <w:tr>
        <w:trPr>
          <w:cantSplit/>
        </w:trPr>
        <w:tc>
          <w:tcPr>
            <w:tcW w:type="pct" w:w="18%"/>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Diff-Cat Siamese</w:t>
            </w:r>
          </w:p>
        </w:tc>
        <w:tc>
          <w:tcPr>
            <w:tcW w:type="pct" w:w="22%"/>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Weight-shared dual CNN</w:t>
            </w:r>
          </w:p>
        </w:tc>
        <w:tc>
          <w:tcPr>
            <w:tcW w:type="pct" w:w="22%"/>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Hybrid [F1, F2, |F1-F2|]</w:t>
            </w:r>
          </w:p>
        </w:tc>
        <w:tc>
          <w:tcPr>
            <w:tcW w:type="pct" w:w="20%"/>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Strong boundary &amp; structural cues</w:t>
            </w:r>
          </w:p>
        </w:tc>
        <w:tc>
          <w:tcPr>
            <w:tcW w:type="pct" w:w="18%"/>
            <w:shd w:fill="EDF3F5" w:val="clear"/>
            <w:tcMar>
              <w:top w:type="dxa" w:w="60"/>
              <w:left w:type="dxa" w:w="110"/>
              <w:bottom w:type="dxa" w:w="60"/>
              <w:right w:type="dxa" w:w="110"/>
            </w:tcMar>
          </w:tcPr>
          <w:p>
            <w:pPr>
              <w:spacing w:line="276"/>
            </w:pPr>
            <w:r>
              <w:rPr>
                <w:color w:val="000000"/>
                <w:sz w:val="20"/>
                <w:szCs w:val="20"/>
                <w:rFonts w:ascii="Times New Roman" w:eastAsia="Times New Roman"/>
              </w:rPr>
              <w:t xml:space="preserve">Higher channel count in decoder</w:t>
            </w:r>
          </w:p>
        </w:tc>
      </w:tr>
      <w:tr>
        <w:trPr>
          <w:cantSplit/>
        </w:trPr>
        <w:tc>
          <w:tcPr>
            <w:tcW w:type="pct" w:w="18%"/>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Dual-Ensemble + TTA</w:t>
            </w:r>
          </w:p>
        </w:tc>
        <w:tc>
          <w:tcPr>
            <w:tcW w:type="pct" w:w="22%"/>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Blended dual models</w:t>
            </w:r>
          </w:p>
        </w:tc>
        <w:tc>
          <w:tcPr>
            <w:tcW w:type="pct" w:w="22%"/>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Multi-model probability blend</w:t>
            </w:r>
          </w:p>
        </w:tc>
        <w:tc>
          <w:tcPr>
            <w:tcW w:type="pct" w:w="20%"/>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SOTA robustness and precision</w:t>
            </w:r>
          </w:p>
        </w:tc>
        <w:tc>
          <w:tcPr>
            <w:tcW w:type="pct" w:w="18%"/>
            <w:shd w:fill="FFFFFF" w:val="clear"/>
            <w:tcMar>
              <w:top w:type="dxa" w:w="60"/>
              <w:left w:type="dxa" w:w="110"/>
              <w:bottom w:type="dxa" w:w="60"/>
              <w:right w:type="dxa" w:w="110"/>
            </w:tcMar>
          </w:tcPr>
          <w:p>
            <w:pPr>
              <w:spacing w:line="276"/>
            </w:pPr>
            <w:r>
              <w:rPr>
                <w:color w:val="000000"/>
                <w:sz w:val="20"/>
                <w:szCs w:val="20"/>
                <w:rFonts w:ascii="Times New Roman" w:eastAsia="Times New Roman"/>
              </w:rPr>
              <w:t xml:space="preserve">2x inference computation</w:t>
            </w:r>
          </w:p>
        </w:tc>
      </w:tr>
    </w:tbl>
    <w:p>
      <w:pPr>
        <w:pStyle w:val="Heading1"/>
        <w:spacing w:before="360" w:after="160" w:line="312"/>
      </w:pPr>
      <w:r>
        <w:rPr>
          <w:b/>
          <w:bCs/>
          <w:color w:val="0A1628"/>
          <w:sz w:val="30"/>
          <w:szCs w:val="30"/>
          <w:rFonts w:ascii="Arial" w:eastAsia="Arial"/>
        </w:rPr>
        <w:t xml:space="preserve">5. Addressing Severe Class Imbalance</w:t>
      </w:r>
    </w:p>
    <w:p>
      <w:pPr>
        <w:spacing w:line="312" w:after="120"/>
        <w:jc w:val="both"/>
      </w:pPr>
      <w:r>
        <w:rPr>
          <w:i w:val="false"/>
          <w:iCs w:val="false"/>
          <w:color w:val="000000"/>
          <w:sz w:val="22"/>
          <w:szCs w:val="22"/>
          <w:rFonts w:ascii="Times New Roman" w:eastAsia="Times New Roman"/>
        </w:rPr>
        <w:t xml:space="preserve">In LEVIR-CD+, over 95.7% of all pixels represent unchanged background. Standard binary cross-entropy (BCE) loss allows majority negative pixels to dominate gradients, leading to under-prediction of change:</w:t>
      </w:r>
    </w:p>
    <w:p>
      <w:pPr>
        <w:pStyle w:val="ListParagraph"/>
        <w:numPr>
          <w:ilvl w:val="0"/>
          <w:numId w:val="1"/>
        </w:numPr>
        <w:spacing w:line="312" w:after="60"/>
        <w:jc w:val="both"/>
      </w:pPr>
      <w:r>
        <w:rPr>
          <w:color w:val="000000"/>
          <w:sz w:val="22"/>
          <w:szCs w:val="22"/>
          <w:rFonts w:ascii="Times New Roman" w:eastAsia="Times New Roman"/>
        </w:rPr>
        <w:t xml:space="preserve">Soft Dice Loss: Directly optimizes region overlap (intersection over union) between prediction and ground truth, independent of background scale.</w:t>
      </w:r>
    </w:p>
    <w:p>
      <w:pPr>
        <w:pStyle w:val="ListParagraph"/>
        <w:numPr>
          <w:ilvl w:val="0"/>
          <w:numId w:val="1"/>
        </w:numPr>
        <w:spacing w:line="312" w:after="60"/>
        <w:jc w:val="both"/>
      </w:pPr>
      <w:r>
        <w:rPr>
          <w:color w:val="000000"/>
          <w:sz w:val="22"/>
          <w:szCs w:val="22"/>
          <w:rFonts w:ascii="Times New Roman" w:eastAsia="Times New Roman"/>
        </w:rPr>
        <w:t xml:space="preserve">Positive Class Weighting (pos_weight): Multiplies the loss incurred on positive (changed) pixels by a factor w = 10.0, heavily penalizing false negatives and compelling the optimizer to discover subtle building changes.</w:t>
      </w:r>
    </w:p>
    <w:p>
      <w:pPr>
        <w:pStyle w:val="ListParagraph"/>
        <w:numPr>
          <w:ilvl w:val="0"/>
          <w:numId w:val="1"/>
        </w:numPr>
        <w:spacing w:line="312" w:after="60"/>
        <w:jc w:val="both"/>
      </w:pPr>
      <w:r>
        <w:rPr>
          <w:color w:val="000000"/>
          <w:sz w:val="22"/>
          <w:szCs w:val="22"/>
          <w:rFonts w:ascii="Times New Roman" w:eastAsia="Times New Roman"/>
        </w:rPr>
        <w:t xml:space="preserve">Composite BCEDiceLoss: Combines weighted BCE with Soft Dice loss, providing smooth probabilistic calibration along with aggressive foreground overlap maximization.</w:t>
      </w:r>
    </w:p>
    <w:p>
      <w:pPr>
        <w:pStyle w:val="Heading1"/>
        <w:spacing w:before="360" w:after="160" w:line="312"/>
      </w:pPr>
      <w:r>
        <w:rPr>
          <w:b/>
          <w:bCs/>
          <w:color w:val="0A1628"/>
          <w:sz w:val="30"/>
          <w:szCs w:val="30"/>
          <w:rFonts w:ascii="Arial" w:eastAsia="Arial"/>
        </w:rPr>
        <w:t xml:space="preserve">6. Conclusion and Approach Selection</w:t>
      </w:r>
    </w:p>
    <w:p>
      <w:pPr>
        <w:spacing w:line="312" w:after="120"/>
        <w:jc w:val="both"/>
      </w:pPr>
      <w:r>
        <w:rPr>
          <w:i w:val="false"/>
          <w:iCs w:val="false"/>
          <w:color w:val="000000"/>
          <w:sz w:val="22"/>
          <w:szCs w:val="22"/>
          <w:rFonts w:ascii="Times New Roman" w:eastAsia="Times New Roman"/>
        </w:rPr>
        <w:t xml:space="preserve">The literature demonstrates that a Siamese U-Net with hybrid differential fusion, trained with imbalance-aware composite loss (BCE with pos_weight=10.0 + Soft Dice), and evaluated with multi-model blending and TTA, represents the most scientifically sound, robust, and reproducible solution within realistic single-GPU computational constraints.</w:t>
      </w:r>
    </w:p>
    <w:p>
      <w:pPr>
        <w:pStyle w:val="Heading1"/>
        <w:spacing w:before="360" w:after="160" w:line="312"/>
      </w:pPr>
      <w:r>
        <w:rPr>
          <w:b/>
          <w:bCs/>
          <w:color w:val="0A1628"/>
          <w:sz w:val="30"/>
          <w:szCs w:val="30"/>
          <w:rFonts w:ascii="Arial" w:eastAsia="Arial"/>
        </w:rPr>
        <w:t xml:space="preserve">References</w:t>
      </w:r>
    </w:p>
    <w:p>
      <w:pPr>
        <w:pStyle w:val="ListParagraph"/>
        <w:numPr>
          <w:ilvl w:val="0"/>
          <w:numId w:val="2"/>
        </w:numPr>
        <w:spacing w:line="312" w:after="60"/>
        <w:jc w:val="both"/>
      </w:pPr>
      <w:r>
        <w:rPr>
          <w:color w:val="000000"/>
          <w:sz w:val="22"/>
          <w:szCs w:val="22"/>
          <w:rFonts w:ascii="Times New Roman" w:eastAsia="Times New Roman"/>
        </w:rPr>
        <w:t xml:space="preserve">Chen, H., and Shi, Z. A spatial-temporal attention-based method and a new dataset for remote sensing image change detection. Remote Sensing, 12(10):1662, 2020.</w:t>
      </w:r>
    </w:p>
    <w:p>
      <w:pPr>
        <w:pStyle w:val="ListParagraph"/>
        <w:numPr>
          <w:ilvl w:val="0"/>
          <w:numId w:val="2"/>
        </w:numPr>
        <w:spacing w:line="312" w:after="60"/>
        <w:jc w:val="both"/>
      </w:pPr>
      <w:r>
        <w:rPr>
          <w:color w:val="000000"/>
          <w:sz w:val="22"/>
          <w:szCs w:val="22"/>
          <w:rFonts w:ascii="Times New Roman" w:eastAsia="Times New Roman"/>
        </w:rPr>
        <w:t xml:space="preserve">Daudt, R. C., Le Saux, B., and Boulch, A. Fully convolutional siamese networks for change detection. In IEEE ICIP, 2018.</w:t>
      </w:r>
    </w:p>
    <w:p>
      <w:pPr>
        <w:pStyle w:val="ListParagraph"/>
        <w:numPr>
          <w:ilvl w:val="0"/>
          <w:numId w:val="2"/>
        </w:numPr>
        <w:spacing w:line="312" w:after="60"/>
        <w:jc w:val="both"/>
      </w:pPr>
      <w:r>
        <w:rPr>
          <w:color w:val="000000"/>
          <w:sz w:val="22"/>
          <w:szCs w:val="22"/>
          <w:rFonts w:ascii="Times New Roman" w:eastAsia="Times New Roman"/>
        </w:rPr>
        <w:t xml:space="preserve">Fang, S., Li, K., Shao, J., and Li, Z. SNUNet-CD: A densely connected siamese network for change detection of VHR images. IEEE GRSL, 2021.</w:t>
      </w:r>
    </w:p>
    <w:p>
      <w:pPr>
        <w:pStyle w:val="ListParagraph"/>
        <w:numPr>
          <w:ilvl w:val="0"/>
          <w:numId w:val="2"/>
        </w:numPr>
        <w:spacing w:line="312" w:after="60"/>
        <w:jc w:val="both"/>
      </w:pPr>
      <w:r>
        <w:rPr>
          <w:color w:val="000000"/>
          <w:sz w:val="22"/>
          <w:szCs w:val="22"/>
          <w:rFonts w:ascii="Times New Roman" w:eastAsia="Times New Roman"/>
        </w:rPr>
        <w:t xml:space="preserve">Ronneberger, O., Fischer, P., and Brox, T. U-Net: Convolutional networks for biomedical image segmentation. In MICCAI, 2015.</w:t>
      </w:r>
    </w:p>
    <w:p>
      <w:pPr>
        <w:pStyle w:val="ListParagraph"/>
        <w:numPr>
          <w:ilvl w:val="0"/>
          <w:numId w:val="2"/>
        </w:numPr>
        <w:spacing w:line="312" w:after="60"/>
        <w:jc w:val="both"/>
      </w:pPr>
      <w:r>
        <w:rPr>
          <w:color w:val="000000"/>
          <w:sz w:val="22"/>
          <w:szCs w:val="22"/>
          <w:rFonts w:ascii="Times New Roman" w:eastAsia="Times New Roman"/>
        </w:rPr>
        <w:t xml:space="preserve">Milletari, F., Navab, N., and Ahmadi, S.-A. V-Net: Fully convolutional neural networks for volumetric medical image segmentation. In 3DV, 2016.</w:t>
      </w:r>
    </w:p>
    <w:p>
      <w:pPr>
        <w:pStyle w:val="ListParagraph"/>
        <w:numPr>
          <w:ilvl w:val="0"/>
          <w:numId w:val="2"/>
        </w:numPr>
        <w:spacing w:line="312" w:after="60"/>
        <w:jc w:val="both"/>
      </w:pPr>
      <w:r>
        <w:rPr>
          <w:color w:val="000000"/>
          <w:sz w:val="22"/>
          <w:szCs w:val="22"/>
          <w:rFonts w:ascii="Times New Roman" w:eastAsia="Times New Roman"/>
        </w:rPr>
        <w:t xml:space="preserve">Bandara, W. G. C., and Patel, V. M. A transformer-based siamese network for change detection. In IEEE IGARSS, 2022.</w:t>
      </w:r>
    </w:p>
    <w:p>
      <w:pPr>
        <w:pStyle w:val="ListParagraph"/>
        <w:numPr>
          <w:ilvl w:val="0"/>
          <w:numId w:val="2"/>
        </w:numPr>
        <w:spacing w:line="312" w:after="60"/>
        <w:jc w:val="both"/>
      </w:pPr>
      <w:r>
        <w:rPr>
          <w:color w:val="000000"/>
          <w:sz w:val="22"/>
          <w:szCs w:val="22"/>
          <w:rFonts w:ascii="Times New Roman" w:eastAsia="Times New Roman"/>
        </w:rPr>
        <w:t xml:space="preserve">Ji, S., Shen, Y., Lu, M., and Zhang, Y. Building instance change detection from large-scale aerial imagery. ISPRS Journal, 2021.</w:t>
      </w:r>
    </w:p>
    <w:p>
      <w:pPr>
        <w:spacing w:line="312" w:after="0"/>
        <w:jc w:val="both"/>
      </w:pPr>
      <w:r>
        <w:rPr>
          <w:i w:val="false"/>
          <w:iCs w:val="false"/>
          <w:color w:val="000000"/>
          <w:sz w:val="22"/>
          <w:szCs w:val="22"/>
          <w:rFonts w:ascii="Times New Roman" w:eastAsia="Times New Roman"/>
        </w:rPr>
        <w:t xml:space="preserve">End of Milestone 2 document.</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8"/>
        <w:szCs w:val="18"/>
        <w:rFonts w:ascii="Times New Roman" w:eastAsia="Times New Roma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8"/>
        <w:szCs w:val="18"/>
        <w:rFonts w:ascii="Times New Roman" w:eastAsia="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right"/>
    </w:pPr>
    <w:r>
      <w:rPr>
        <w:color w:val="4A5568"/>
        <w:sz w:val="16"/>
        <w:szCs w:val="16"/>
        <w:rFonts w:ascii="Times New Roman" w:eastAsia="Times New Roman"/>
      </w:rPr>
      <w:t xml:space="preserve">Literature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right"/>
    </w:pPr>
    <w:r>
      <w:rPr>
        <w:color w:val="4A5568"/>
        <w:sz w:val="16"/>
        <w:szCs w:val="16"/>
        <w:rFonts w:ascii="Times New Roman" w:eastAsia="Times New Roman"/>
      </w:rPr>
      <w:t xml:space="preserve">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6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2"/>
        <w:szCs w:val="22"/>
        <w:rFonts w:ascii="Times New Roman" w:eastAsia="Times New Roma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160" w:line="312"/>
    </w:pPr>
    <w:rPr>
      <w:b/>
      <w:bCs/>
      <w:color w:val="0A1628"/>
      <w:sz w:val="30"/>
      <w:szCs w:val="30"/>
      <w:rFonts w:ascii="Arial" w:eastAsia="Arial"/>
    </w:rPr>
  </w:style>
  <w:style w:type="paragraph" w:styleId="Heading2">
    <w:name w:val="Heading 2"/>
    <w:basedOn w:val="Normal"/>
    <w:next w:val="Normal"/>
    <w:qFormat/>
    <w:pPr>
      <w:spacing w:before="260" w:after="120" w:line="312"/>
    </w:pPr>
    <w:rPr>
      <w:b/>
      <w:bCs/>
      <w:color w:val="0A1628"/>
      <w:sz w:val="26"/>
      <w:szCs w:val="26"/>
      <w:rFonts w:ascii="Arial" w:eastAsia="Arial"/>
    </w:rPr>
  </w:style>
  <w:style w:type="paragraph" w:styleId="Heading3">
    <w:name w:val="Heading 3"/>
    <w:basedOn w:val="Normal"/>
    <w:next w:val="Normal"/>
    <w:qFormat/>
    <w:pPr>
      <w:spacing w:before="200" w:after="100" w:line="312"/>
    </w:pPr>
    <w:rPr>
      <w:b/>
      <w:bCs/>
      <w:color w:val="0A1628"/>
      <w:sz w:val="23"/>
      <w:szCs w:val="23"/>
      <w:rFonts w:ascii="Arial" w:eastAsia="Arial"/>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dc:title>
  <dc:creator>DEPI AI Track</dc:creator>
  <cp:lastModifiedBy>Un-named</cp:lastModifiedBy>
  <cp:revision>1</cp:revision>
  <dcterms:created xsi:type="dcterms:W3CDTF">2026-10-14T15:32:25.554Z</dcterms:created>
  <dcterms:modified xsi:type="dcterms:W3CDTF">2026-10-14T15:32:25.554Z</dcterms:modified>
</cp:coreProperties>
</file>

<file path=docProps/custom.xml><?xml version="1.0" encoding="utf-8"?>
<Properties xmlns="http://schemas.openxmlformats.org/officeDocument/2006/custom-properties" xmlns:vt="http://schemas.openxmlformats.org/officeDocument/2006/docPropsVTypes"/>
</file>