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87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Arial"/>
                <w:spacing w:val="40"/>
              </w:rPr>
              <w:t xml:space="preserve">D E P I   G R A D U A T I O N   P R O J E C T</w:t>
            </w:r>
          </w:p>
          <w:p>
            <w:pPr>
              <w:spacing w:after="300" w:line="874" w:lineRule="atLeast"/>
              <w:ind w:left="1200"/>
            </w:pPr>
            <w:r>
              <w:rPr>
                <w:b/>
                <w:bCs/>
                <w:color w:val="FFFFFF"/>
                <w:sz w:val="76"/>
                <w:szCs w:val="76"/>
                <w:rFonts w:ascii="Arial" w:eastAsia="Arial"/>
              </w:rPr>
              <w:t xml:space="preserve">Requirements Gathering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ascii="Arial"/>
              </w:rPr>
              <w:t xml:space="preserve">Functional and Non-Functional Requirements of the Change-Detection System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/>
                <w:bCs/>
                <w:color w:val="FFFFFF"/>
                <w:sz w:val="21"/>
                <w:szCs w:val="21"/>
                <w:rFonts w:ascii="Arial"/>
              </w:rPr>
              <w:t xml:space="preserve">Digital Egypt Pioneers Initiative (DEPI) - AI Track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/>
                <w:bCs/>
                <w:color w:val="37DCF2"/>
                <w:sz w:val="20"/>
                <w:szCs w:val="20"/>
                <w:rFonts w:ascii="Arial"/>
              </w:rPr>
              <w:t xml:space="preserve">Milestone 3 of 6 - Requirements Gathering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/>
                <w:bCs/>
                <w:color w:val="E2E8F0"/>
                <w:sz w:val="20"/>
                <w:szCs w:val="20"/>
                <w:rFonts w:ascii="Arial"/>
              </w:rPr>
              <w:t xml:space="preserve">Project Team Members: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Ahmed Refaat Abd-Elmotelb (Lead ML Engineer &amp; Pipeline Architect)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Ahmed Reda Mohamed (Deep Learning Specialist &amp; Loss Optimization)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Raeed Youssef Mahfouz (Data Systems &amp; Augmentation Specialist)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Ahmed Mohamed Qotb (Evaluation Metrics &amp; Quality Assurance Lead)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Academic / Technical Track: Artificial Intelligence &amp; Deep Learning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Submission Date: October 2026</w:t>
            </w:r>
          </w:p>
          <w:p>
            <w:pPr>
              <w:spacing w:before="387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/>
              </w:rPr>
              <w:t xml:space="preserve">Digital Egypt Pioneers Initiative - AI Track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/>
              </w:rPr>
              <w:t xml:space="preserve">Milestone 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  <w:rFonts w:ascii="Times New Roman" w:eastAsia="Times New Roman"/>
        </w:rPr>
        <w:t xml:space="preserve">Note: this Table of Contents is generated via field codes. After editing the document, right-click the TOC and choose Update Field to refresh page numbers.</w:t>
      </w:r>
    </w:p>
    <w:p>
      <w:r>
        <w:br w:type="page"/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1. Purpose and System Vision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This document formally specifies the functional requirements (FR) and non-functional requirements (NFR) governing the development and evaluation of the Aerial Image Change Detection System. The software product is engineered to deliver dual functionality: an automated, reproducible machine learning pipeline for researchers and engineers, accompanied by an interactive Web Application Studio (app.py) for visual change inspection and decision support.</w:t>
      </w:r>
    </w:p>
    <w:p>
      <w:pPr>
        <w:keepNext/>
        <w:spacing w:before="160" w:after="80"/>
      </w:pPr>
      <w:r>
        <w:rPr>
          <w:b/>
          <w:bCs/>
          <w:color w:val="0A1628"/>
          <w:sz w:val="21"/>
          <w:szCs w:val="21"/>
          <w:rFonts w:ascii="Arial" w:eastAsia="Arial"/>
        </w:rPr>
        <w:t xml:space="preserve">Project Team Identification &amp; Roles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#</w:t>
            </w:r>
          </w:p>
        </w:tc>
        <w:tc>
          <w:tcPr>
            <w:tcW w:type="pct" w:w="3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Team Member Name</w:t>
            </w:r>
          </w:p>
        </w:tc>
        <w:tc>
          <w:tcPr>
            <w:tcW w:type="pct" w:w="6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Specialized Role &amp; Key Responsibilities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1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Ahmed Refaat Abd-Elmotelb</w:t>
            </w:r>
          </w:p>
        </w:tc>
        <w:tc>
          <w:tcPr>
            <w:tcW w:type="pct" w:w="6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Lead ML Engineer &amp; Pipeline Architect: Siamese U-Net implementation, zero-leakage split enforcement, dual-model ensemble blending, and TTA pipeline.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2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Ahmed Reda Mohamed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Deep Learning Specialist &amp; Loss Design: Differential feature fusion (diff_cat), BCE + Soft Dice loss weighting (pos_weight=10.0), and gradient stabilization.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3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Raeed Youssef Mahfouz</w:t>
            </w:r>
          </w:p>
        </w:tc>
        <w:tc>
          <w:tcPr>
            <w:tcW w:type="pct" w:w="6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Data Systems &amp; Augmentation Engineer: Automated dataset discovery, synchronized dihedral geometric augmentation, and memory-safe evaluation tiling.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4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Ahmed Mohamed Qotb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Evaluation Metrics &amp; QA Lead: Confusion matrix accumulation, validation threshold calibration, error mapping (TP/FP/FN), and diagnostics.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2. Stakeholder Requirements Analysis</w:t>
      </w:r>
    </w:p>
    <w:p>
      <w:pPr>
        <w:keepNext/>
        <w:spacing w:before="160" w:after="80"/>
      </w:pPr>
      <w:r>
        <w:rPr>
          <w:b/>
          <w:bCs/>
          <w:color w:val="0A1628"/>
          <w:sz w:val="21"/>
          <w:szCs w:val="21"/>
          <w:rFonts w:ascii="Arial" w:eastAsia="Arial"/>
        </w:rPr>
        <w:t xml:space="preserve">Table 1 - Primary stakeholders and core concerns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Stakeholder Group</w:t>
            </w:r>
          </w:p>
        </w:tc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Primary Focus</w:t>
            </w:r>
          </w:p>
        </w:tc>
        <w:tc>
          <w:tcPr>
            <w:tcW w:type="pct" w:w="4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Implementation Response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DEPI Evaluation Committee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Scientific validity, honest metrics, no leakage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Strict split segregation (525/112/348), global confusion meter, auditable artifacts.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Project Engineering Team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Code modularity, stability, reproducible runs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Config-driven design, smoke testing, checkpoint resumption, clean git layout.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Remote Sensing Operators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Clear visual overlays, intuitive threshold tuning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Interactive Web Application Studio (app.py) with real-time slider and error maps.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Systems Administrators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Resource efficiency and crash-free execution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num_workers=0 to protect Windows paging file, 256px tiling, AMP FP16 precision.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3. Functional Requirements Specification</w:t>
      </w:r>
    </w:p>
    <w:p>
      <w:pPr>
        <w:keepNext/>
        <w:spacing w:before="160" w:after="80"/>
      </w:pPr>
      <w:r>
        <w:rPr>
          <w:b/>
          <w:bCs/>
          <w:color w:val="0A1628"/>
          <w:sz w:val="21"/>
          <w:szCs w:val="21"/>
          <w:rFonts w:ascii="Arial" w:eastAsia="Arial"/>
        </w:rPr>
        <w:t xml:space="preserve">Table 2 - Functional requirements matrix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ID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Requirement Description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Priority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Verification Method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FR-01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Automated dataset discovery walking directory tree and classifying roles (A, B, mask) without hardcoded paths.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explore_data.py execution log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FR-02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Sample stem matching ensuring 1-to-1-to-1 triplet alignment (A, B, Mask) and dimensions.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985/985 matched triplets check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FR-03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Strict zero-leakage split enforcement respecting official train/test boundaries (525 Tr / 112 Val / 348 Te).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Programmatic stem intersection test = 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FR-04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Synchronized geometric data augmentation (random flips and 90-degree rotations) applied identically to A, B, and mask.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dataset.py unit test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FR-05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Memory-safe evaluation tiling slicing 1024x1024 images into 16 non-overlapping 256x256 patches.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EvalTileDataset geometry verification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FR-06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Siamese U-Net model with shared-weight encoders and multi-scale feature fusion (concat, diff, diff_cat).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src/model.py forward pass test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FR-07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Class-imbalance loss formulation combining BCEWithLogits (pos_weight=10.0) with Soft Dice loss.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src/losses.py gradient test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FR-08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Automatic mixed-precision (AMP) training support on CUDA devices with CPU fallback.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train.py GPU execution log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FR-09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Resumable training loop saving optimizer, scheduler, scaler state, and best validation IoU checkpoint.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Checkpoint resume verification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FR-10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Threshold auto-calibration sweeping validation thresholds (0.10 to 0.90) and applying optimal threshold to test.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evaluate.py sweep table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FR-11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Global confusion matrix accumulation (TP, FP, FN, TN) across full test set rather than batch averaging.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src/metrics.py ConfusionMeter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FR-12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Dual-model ensemble blending (Concat + Diff-Cat) with 4-fold dihedral Test-Time Augmentation (TTA).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SOTA Ensemble evaluation script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FR-13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Interactive Web Application Studio (app.py) enabling live image pair inference, overlays, and error maps.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app.py interactive UI validation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FR-14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Versioned output logging recording config.json, history.csv, curves.png, and test_metrics.json per run.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Must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outputs/ run directory inspection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4. Non-Functional Requirements Specification</w:t>
      </w:r>
    </w:p>
    <w:p>
      <w:pPr>
        <w:keepNext/>
        <w:spacing w:before="160" w:after="80"/>
      </w:pPr>
      <w:r>
        <w:rPr>
          <w:b/>
          <w:bCs/>
          <w:color w:val="0A1628"/>
          <w:sz w:val="21"/>
          <w:szCs w:val="21"/>
          <w:rFonts w:ascii="Arial" w:eastAsia="Arial"/>
        </w:rPr>
        <w:t xml:space="preserve">Table 3 - Non-functional requirements matrix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ID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Category</w:t>
            </w:r>
          </w:p>
        </w:tc>
        <w:tc>
          <w:tcPr>
            <w:tcW w:type="pct" w:w="6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Requirement &amp; Performance Target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NFR-01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Reproducibility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Deterministic random seeding (seed 42) ensures exact split and initialization replication.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NFR-02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Computational Efficiency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Tiled training epoch completes in &lt; 2.5 minutes on 4 GB laptop GPU; inference &lt; 1.5s per 1024x1024 scene.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NFR-03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Memory Safety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Operating system paging-file stability guaranteed by num_workers=0; peak VRAM capped under 3.5 GB.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NFR-04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Scientific Integrity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Zero data leakage: test split remains completely unseen during all model selection and threshold calibration.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NFR-05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Portability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Pure Python/PyTorch codebase functional across Windows and Linux environments without hardcoded paths.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NFR-06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Maintainability</w:t>
            </w:r>
          </w:p>
        </w:tc>
        <w:tc>
          <w:tcPr>
            <w:tcW w:type="pct" w:w="6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Modular decoupled design under src/ with centralized hyperparameters in src/config.py.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5. Hardware, Software, and Environment Constraints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Target Platform: Windows 11 64-bit with NVIDIA GeForce RTX 3050 Laptop GPU (4 GB VRAM) and 16 GB System RAM.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Drive Allocation: System partition (C:) space constraints necessitate hosting Conda environments, pip caches, and dataset directories on the high-capacity D: drive.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Worker Subprocesses: Due to Windows multiprocessing paging-file limits with CUDA DLLs, DataLoader workers must remain at num_workers = 0.</w:t>
      </w: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6. Use Cases and Operational Scenarios</w:t>
      </w:r>
    </w:p>
    <w:p>
      <w:pPr>
        <w:pStyle w:val="Heading2"/>
        <w:spacing w:before="260" w:after="120" w:line="312"/>
      </w:pPr>
      <w:r>
        <w:rPr>
          <w:b/>
          <w:bCs/>
          <w:color w:val="0A1628"/>
          <w:sz w:val="26"/>
          <w:szCs w:val="26"/>
          <w:rFonts w:ascii="Arial" w:eastAsia="Arial"/>
        </w:rPr>
        <w:t xml:space="preserve">6.1 Scenario 1: Automated Pipeline Training and Benchmark Evaluation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The machine learning engineer executes train.py to train the Siamese U-Net from scratch or resume from a prior checkpoint. Validation IoU is monitored per epoch with early stopping. Upon completion, evaluate.py sweeps thresholds on the validation split, locks the optimal threshold, and evaluates the official 348-scene test split once, writing comprehensive metrics and confusion matrices.</w:t>
      </w:r>
    </w:p>
    <w:p>
      <w:pPr>
        <w:pStyle w:val="Heading2"/>
        <w:spacing w:before="260" w:after="120" w:line="312"/>
      </w:pPr>
      <w:r>
        <w:rPr>
          <w:b/>
          <w:bCs/>
          <w:color w:val="0A1628"/>
          <w:sz w:val="26"/>
          <w:szCs w:val="26"/>
          <w:rFonts w:ascii="Arial" w:eastAsia="Arial"/>
        </w:rPr>
        <w:t xml:space="preserve">6.2 Scenario 2: Interactive Web Visual Inspection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The remote sensing operator or evaluator launches python app.py, opens http://localhost:5000, selects a preloaded test scene or uploads a custom aerial image pair, chooses the SOTA Ensemble model, adjusts the threshold slider, and inspects the predicted change mask, visual overlay, and confusion error map (TP/FP/FN) in real time.</w:t>
      </w: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7. Acceptance Criteria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The system is formally accepted upon passing all 14 functional requirements, demonstrating zero cross-split leakage, exceeding test F1 &gt;= 0.75 and test IoU &gt;= 0.60 on the official test benchmark, and successfully serving live inferences via the Web Application Studio.</w:t>
      </w:r>
    </w:p>
    <w:p>
      <w:pPr>
        <w:spacing w:line="312" w:after="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End of Milestone 3 document.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  <w:rFonts w:ascii="Times New Roman" w:eastAsia="Times New Roma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  <w:rFonts w:ascii="Times New Roman" w:eastAsia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color w:val="4A5568"/>
        <w:sz w:val="16"/>
        <w:szCs w:val="16"/>
        <w:rFonts w:ascii="Times New Roman" w:eastAsia="Times New Roman"/>
      </w:rPr>
      <w:t xml:space="preserve">Requirements Gathering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color w:val="4A5568"/>
        <w:sz w:val="16"/>
        <w:szCs w:val="16"/>
        <w:rFonts w:ascii="Times New Roman" w:eastAsia="Times New Roman"/>
      </w:rPr>
      <w:t xml:space="preserve">Requirements Gathering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40" w:hanging="6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2"/>
        <w:szCs w:val="22"/>
        <w:rFonts w:ascii="Times New Roman" w:eastAsia="Times New Roma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0A1628"/>
      <w:sz w:val="30"/>
      <w:szCs w:val="30"/>
      <w:rFonts w:ascii="Arial" w:eastAsia="Arial"/>
    </w:rPr>
  </w:style>
  <w:style w:type="paragraph" w:styleId="Heading2">
    <w:name w:val="Heading 2"/>
    <w:basedOn w:val="Normal"/>
    <w:next w:val="Normal"/>
    <w:qFormat/>
    <w:pPr>
      <w:spacing w:before="260" w:after="120" w:line="312"/>
    </w:pPr>
    <w:rPr>
      <w:b/>
      <w:bCs/>
      <w:color w:val="0A1628"/>
      <w:sz w:val="26"/>
      <w:szCs w:val="26"/>
      <w:rFonts w:ascii="Arial" w:eastAsia="Arial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0A1628"/>
      <w:sz w:val="23"/>
      <w:szCs w:val="23"/>
      <w:rFonts w:ascii="Arial" w:eastAsia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Gathering</dc:title>
  <dc:creator>DEPI AI Track</dc:creator>
  <cp:lastModifiedBy>Un-named</cp:lastModifiedBy>
  <cp:revision>1</cp:revision>
  <dcterms:created xsi:type="dcterms:W3CDTF">2026-10-14T15:32:25.590Z</dcterms:created>
  <dcterms:modified xsi:type="dcterms:W3CDTF">2026-10-14T15:32:25.590Z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