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D7874"/>
          <w:sz w:val="28"/>
        </w:rPr>
        <w:t>Digital Egypt Pioneers Initiative (DEPI)</w:t>
        <w:br/>
        <w:t>مبادرة رواد مصر الرقمية</w:t>
      </w:r>
    </w:p>
    <w:p>
      <w:pPr>
        <w:spacing w:before="80" w:after="40"/>
        <w:jc w:val="center"/>
      </w:pPr>
      <w:r>
        <w:rPr>
          <w:b/>
          <w:color w:val="5A6469"/>
          <w:sz w:val="24"/>
        </w:rPr>
        <w:t>Graduation Project Documentation — Phase 1 (Planning &amp; Requirements)</w:t>
      </w:r>
    </w:p>
    <w:p>
      <w:pPr>
        <w:spacing w:before="240" w:after="120"/>
        <w:jc w:val="center"/>
      </w:pPr>
      <w:r>
        <w:rPr>
          <w:b/>
          <w:color w:val="004D5A"/>
          <w:sz w:val="40"/>
        </w:rPr>
        <w:t>Generative Campaign Studio with Brand Guidelines</w:t>
        <w:br/>
        <w:t>(Brand-Governed Content Studio)</w:t>
      </w:r>
    </w:p>
    <w:p>
      <w:pPr>
        <w:spacing w:before="40" w:after="320"/>
        <w:jc w:val="center"/>
        <w:bidi w:val="1"/>
      </w:pPr>
      <w:r>
        <w:rPr>
          <w:b/>
          <w:color w:val="1D7874"/>
          <w:sz w:val="28"/>
        </w:rPr>
        <w:t>استوديو الحملات الترويجية الموجهة بالذكاء الاصطناعي وحوكمة الهوية المؤسسية</w:t>
      </w:r>
    </w:p>
    <w:tbl>
      <w:tblPr>
        <w:tblW w:type="auto" w:w="0"/>
        <w:jc w:val="center"/>
        <w:tblLayout w:type="fixed"/>
        <w:tblLook w:firstColumn="1" w:firstRow="1" w:lastColumn="0" w:lastRow="0" w:noHBand="0" w:noVBand="1" w:val="04A0"/>
      </w:tblPr>
      <w:tblGrid>
        <w:gridCol w:w="4680"/>
        <w:gridCol w:w="4680"/>
      </w:tblGrid>
      <w:tr>
        <w:tc>
          <w:tcPr>
            <w:tcW w:type="dxa" w:w="4680"/>
            <w:shd w:fill="F2F7F7"/>
            <w:tcMar>
              <w:top w:w="100" w:type="dxa"/>
              <w:bottom w:w="100" w:type="dxa"/>
              <w:left w:w="150" w:type="dxa"/>
              <w:right w:w="150" w:type="dxa"/>
            </w:tcMar>
            <w:tcBorders>
              <w:top w:val="single" w:sz="4" w:space="0" w:color="D0DCDC"/>
              <w:bottom w:val="single" w:sz="4" w:space="0" w:color="D0DCDC"/>
              <w:left w:val="single" w:sz="4" w:space="0" w:color="D0DCDC"/>
              <w:right w:val="single" w:sz="4" w:space="0" w:color="D0DCDC"/>
            </w:tcBorders>
          </w:tcPr>
          <w:p>
            <w:pPr>
              <w:spacing w:before="40" w:after="40"/>
            </w:pPr>
            <w:r>
              <w:rPr>
                <w:b/>
                <w:color w:val="004D5A"/>
                <w:sz w:val="20"/>
              </w:rPr>
              <w:t>Track:</w:t>
            </w:r>
            <w:r>
              <w:rPr>
                <w:color w:val="22252A"/>
                <w:sz w:val="20"/>
              </w:rPr>
              <w:t xml:space="preserve"> AWS Machine Learning Engineer</w:t>
            </w:r>
          </w:p>
        </w:tc>
        <w:tc>
          <w:tcPr>
            <w:tcW w:type="dxa" w:w="4680"/>
            <w:shd w:fill="F2F7F7"/>
            <w:tcMar>
              <w:top w:w="100" w:type="dxa"/>
              <w:bottom w:w="100" w:type="dxa"/>
              <w:left w:w="150" w:type="dxa"/>
              <w:right w:w="150" w:type="dxa"/>
            </w:tcMar>
            <w:tcBorders>
              <w:top w:val="single" w:sz="4" w:space="0" w:color="D0DCDC"/>
              <w:bottom w:val="single" w:sz="4" w:space="0" w:color="D0DCDC"/>
              <w:left w:val="single" w:sz="4" w:space="0" w:color="D0DCDC"/>
              <w:right w:val="single" w:sz="4" w:space="0" w:color="D0DCDC"/>
            </w:tcBorders>
          </w:tcPr>
          <w:p>
            <w:pPr>
              <w:spacing w:before="40" w:after="40"/>
            </w:pPr>
            <w:r>
              <w:rPr>
                <w:b/>
                <w:color w:val="004D5A"/>
                <w:sz w:val="20"/>
              </w:rPr>
              <w:t>Project Reference:</w:t>
            </w:r>
            <w:r>
              <w:rPr>
                <w:color w:val="22252A"/>
                <w:sz w:val="20"/>
              </w:rPr>
              <w:t xml:space="preserve"> Project 03 (Easy / Applied ML Catalog)</w:t>
            </w:r>
          </w:p>
        </w:tc>
      </w:tr>
      <w:tr>
        <w:tc>
          <w:tcPr>
            <w:tcW w:type="dxa" w:w="4680"/>
            <w:shd w:fill="F2F7F7"/>
            <w:tcMar>
              <w:top w:w="100" w:type="dxa"/>
              <w:bottom w:w="100" w:type="dxa"/>
              <w:left w:w="150" w:type="dxa"/>
              <w:right w:w="150" w:type="dxa"/>
            </w:tcMar>
            <w:tcBorders>
              <w:top w:val="single" w:sz="4" w:space="0" w:color="D0DCDC"/>
              <w:bottom w:val="single" w:sz="4" w:space="0" w:color="D0DCDC"/>
              <w:left w:val="single" w:sz="4" w:space="0" w:color="D0DCDC"/>
              <w:right w:val="single" w:sz="4" w:space="0" w:color="D0DCDC"/>
            </w:tcBorders>
          </w:tcPr>
          <w:p>
            <w:pPr>
              <w:spacing w:before="40" w:after="40"/>
            </w:pPr>
            <w:r>
              <w:rPr>
                <w:b/>
                <w:color w:val="004D5A"/>
                <w:sz w:val="20"/>
              </w:rPr>
              <w:t>Submission Deadline:</w:t>
            </w:r>
            <w:r>
              <w:rPr>
                <w:color w:val="22252A"/>
                <w:sz w:val="20"/>
              </w:rPr>
              <w:t xml:space="preserve"> October 16, 2026 (Milestone 1)</w:t>
            </w:r>
          </w:p>
        </w:tc>
        <w:tc>
          <w:tcPr>
            <w:tcW w:type="dxa" w:w="4680"/>
            <w:shd w:fill="F2F7F7"/>
            <w:tcMar>
              <w:top w:w="100" w:type="dxa"/>
              <w:bottom w:w="100" w:type="dxa"/>
              <w:left w:w="150" w:type="dxa"/>
              <w:right w:w="150" w:type="dxa"/>
            </w:tcMar>
            <w:tcBorders>
              <w:top w:val="single" w:sz="4" w:space="0" w:color="D0DCDC"/>
              <w:bottom w:val="single" w:sz="4" w:space="0" w:color="D0DCDC"/>
              <w:left w:val="single" w:sz="4" w:space="0" w:color="D0DCDC"/>
              <w:right w:val="single" w:sz="4" w:space="0" w:color="D0DCDC"/>
            </w:tcBorders>
          </w:tcPr>
          <w:p>
            <w:pPr>
              <w:spacing w:before="40" w:after="40"/>
            </w:pPr>
            <w:r>
              <w:rPr>
                <w:b/>
                <w:color w:val="004D5A"/>
                <w:sz w:val="20"/>
              </w:rPr>
              <w:t>Supervision / Initiative:</w:t>
            </w:r>
            <w:r>
              <w:rPr>
                <w:color w:val="22252A"/>
                <w:sz w:val="20"/>
              </w:rPr>
              <w:t xml:space="preserve"> DEPI — MCIT Egypt</w:t>
            </w:r>
          </w:p>
        </w:tc>
      </w:tr>
    </w:tbl>
    <w:p>
      <w:pPr>
        <w:spacing w:after="160"/>
      </w:pPr>
    </w:p>
    <w:p>
      <w:pPr>
        <w:keepNext/>
        <w:bidi w:val="1"/>
        <w:spacing w:before="360" w:after="160"/>
        <w:pBdr>
          <w:bottom w:val="single" w:sz="12" w:space="4" w:color="004D5A"/>
        </w:pBdr>
      </w:pPr>
      <w:r>
        <w:rPr>
          <w:b/>
          <w:color w:val="004D5A"/>
          <w:sz w:val="30"/>
        </w:rPr>
        <w:t>بيانات وأعضاء الفريق (Project Team Members)</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004D5A"/>
            <w:tcMar>
              <w:top w:w="120" w:type="dxa"/>
              <w:bottom w:w="120" w:type="dxa"/>
              <w:left w:w="140" w:type="dxa"/>
              <w:right w:w="140" w:type="dxa"/>
            </w:tcMar>
          </w:tcPr>
          <w:p>
            <w:pPr>
              <w:jc w:val="center"/>
              <w:bidi w:val="1"/>
            </w:pPr>
            <w:r>
              <w:rPr>
                <w:b/>
                <w:color w:val="FFFFFF"/>
                <w:sz w:val="21"/>
              </w:rPr>
              <w:t>#</w:t>
            </w:r>
          </w:p>
        </w:tc>
        <w:tc>
          <w:tcPr>
            <w:tcW w:type="dxa" w:w="3888"/>
            <w:shd w:fill="004D5A"/>
            <w:tcMar>
              <w:top w:w="120" w:type="dxa"/>
              <w:bottom w:w="120" w:type="dxa"/>
              <w:left w:w="140" w:type="dxa"/>
              <w:right w:w="140" w:type="dxa"/>
            </w:tcMar>
          </w:tcPr>
          <w:p>
            <w:pPr>
              <w:jc w:val="right"/>
              <w:bidi w:val="1"/>
            </w:pPr>
            <w:r>
              <w:rPr>
                <w:b/>
                <w:color w:val="FFFFFF"/>
                <w:sz w:val="21"/>
              </w:rPr>
              <w:t>اسم المتدرب (Member Name)</w:t>
            </w:r>
          </w:p>
        </w:tc>
        <w:tc>
          <w:tcPr>
            <w:tcW w:type="dxa" w:w="4608"/>
            <w:shd w:fill="004D5A"/>
            <w:tcMar>
              <w:top w:w="120" w:type="dxa"/>
              <w:bottom w:w="120" w:type="dxa"/>
              <w:left w:w="140" w:type="dxa"/>
              <w:right w:w="140" w:type="dxa"/>
            </w:tcMar>
          </w:tcPr>
          <w:p>
            <w:pPr>
              <w:jc w:val="right"/>
              <w:bidi w:val="1"/>
            </w:pPr>
            <w:r>
              <w:rPr>
                <w:b/>
                <w:color w:val="FFFFFF"/>
                <w:sz w:val="21"/>
              </w:rPr>
              <w:t>الدور الرئيسي (Assigned Role)</w:t>
            </w:r>
          </w:p>
        </w:tc>
      </w:tr>
      <w:tr>
        <w:tc>
          <w:tcPr>
            <w:tcW w:type="dxa" w:w="864"/>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center"/>
              <w:bidi w:val="1"/>
            </w:pPr>
            <w:r>
              <w:rPr>
                <w:sz w:val="20"/>
              </w:rPr>
              <w:t>1</w:t>
            </w:r>
          </w:p>
        </w:tc>
        <w:tc>
          <w:tcPr>
            <w:tcW w:type="dxa" w:w="388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20"/>
              </w:rPr>
              <w:t>حجازي عادل (Team Leader)</w:t>
            </w:r>
          </w:p>
        </w:tc>
        <w:tc>
          <w:tcPr>
            <w:tcW w:type="dxa" w:w="460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color w:val="1D7874"/>
                <w:sz w:val="20"/>
              </w:rPr>
              <w:t>Team Lead &amp; ML Cloud Architect</w:t>
            </w:r>
          </w:p>
        </w:tc>
      </w:tr>
      <w:tr>
        <w:tc>
          <w:tcPr>
            <w:tcW w:type="dxa" w:w="864"/>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center"/>
              <w:bidi w:val="1"/>
            </w:pPr>
            <w:r>
              <w:rPr>
                <w:sz w:val="20"/>
              </w:rPr>
              <w:t>2</w:t>
            </w:r>
          </w:p>
        </w:tc>
        <w:tc>
          <w:tcPr>
            <w:tcW w:type="dxa" w:w="3888"/>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20"/>
              </w:rPr>
              <w:t>أحمد حمدي</w:t>
            </w:r>
          </w:p>
        </w:tc>
        <w:tc>
          <w:tcPr>
            <w:tcW w:type="dxa" w:w="4608"/>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color w:val="1D7874"/>
                <w:sz w:val="20"/>
              </w:rPr>
              <w:t>Lead ML / Prompt Engineer</w:t>
            </w:r>
          </w:p>
        </w:tc>
      </w:tr>
      <w:tr>
        <w:tc>
          <w:tcPr>
            <w:tcW w:type="dxa" w:w="864"/>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center"/>
              <w:bidi w:val="1"/>
            </w:pPr>
            <w:r>
              <w:rPr>
                <w:sz w:val="20"/>
              </w:rPr>
              <w:t>3</w:t>
            </w:r>
          </w:p>
        </w:tc>
        <w:tc>
          <w:tcPr>
            <w:tcW w:type="dxa" w:w="388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20"/>
              </w:rPr>
              <w:t>أحمد عبدالقادر</w:t>
            </w:r>
          </w:p>
        </w:tc>
        <w:tc>
          <w:tcPr>
            <w:tcW w:type="dxa" w:w="460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color w:val="1D7874"/>
                <w:sz w:val="20"/>
              </w:rPr>
              <w:t>Serverless Backend &amp; Data Validation Engineer</w:t>
            </w:r>
          </w:p>
        </w:tc>
      </w:tr>
      <w:tr>
        <w:tc>
          <w:tcPr>
            <w:tcW w:type="dxa" w:w="864"/>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center"/>
              <w:bidi w:val="1"/>
            </w:pPr>
            <w:r>
              <w:rPr>
                <w:sz w:val="20"/>
              </w:rPr>
              <w:t>4</w:t>
            </w:r>
          </w:p>
        </w:tc>
        <w:tc>
          <w:tcPr>
            <w:tcW w:type="dxa" w:w="3888"/>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20"/>
              </w:rPr>
              <w:t>أحمد جهاد</w:t>
            </w:r>
          </w:p>
        </w:tc>
        <w:tc>
          <w:tcPr>
            <w:tcW w:type="dxa" w:w="4608"/>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color w:val="1D7874"/>
                <w:sz w:val="20"/>
              </w:rPr>
              <w:t>Frontend UI/UX &amp; Application Integration Engineer</w:t>
            </w:r>
          </w:p>
        </w:tc>
      </w:tr>
    </w:tbl>
    <w:p>
      <w:pPr>
        <w:keepNext/>
        <w:bidi w:val="1"/>
        <w:spacing w:before="360" w:after="160"/>
        <w:pBdr>
          <w:bottom w:val="single" w:sz="12" w:space="4" w:color="004D5A"/>
        </w:pBdr>
      </w:pPr>
      <w:r>
        <w:rPr>
          <w:b/>
          <w:color w:val="004D5A"/>
          <w:sz w:val="30"/>
        </w:rPr>
        <w:t>1. Project Planning &amp; Management (تخطيط وإدارة المشروع)</w:t>
      </w:r>
    </w:p>
    <w:p>
      <w:pPr>
        <w:keepNext/>
        <w:bidi w:val="1"/>
        <w:spacing w:before="280" w:after="120"/>
      </w:pPr>
      <w:r>
        <w:rPr>
          <w:b/>
          <w:color w:val="1D7874"/>
          <w:sz w:val="25"/>
        </w:rPr>
        <w:t>1.1 Project Proposal (المقترح وأهداف المشروع)</w:t>
      </w:r>
    </w:p>
    <w:tbl>
      <w:tblPr>
        <w:tblW w:type="auto" w:w="0"/>
        <w:jc w:val="center"/>
        <w:tblLook w:firstColumn="1" w:firstRow="1" w:lastColumn="0" w:lastRow="0" w:noHBand="0" w:noVBand="1" w:val="04A0"/>
      </w:tblPr>
      <w:tblGrid>
        <w:gridCol w:w="9360"/>
      </w:tblGrid>
      <w:tr>
        <w:tc>
          <w:tcPr>
            <w:tcW w:type="dxa" w:w="9360"/>
            <w:shd w:fill="F2F7F7"/>
            <w:tcMar>
              <w:top w:w="140" w:type="dxa"/>
              <w:bottom w:w="140" w:type="dxa"/>
              <w:left w:w="180" w:type="dxa"/>
              <w:right w:w="180" w:type="dxa"/>
            </w:tcMar>
            <w:tcBorders>
              <w:top w:val="none" w:sz="4" w:space="0" w:color="auto"/>
              <w:bottom w:val="none" w:sz="4" w:space="0" w:color="auto"/>
              <w:left w:val="none" w:sz="4" w:space="0" w:color="auto"/>
              <w:right w:val="single" w:sz="24" w:space="0" w:color="004D5A"/>
            </w:tcBorders>
          </w:tcPr>
          <w:p>
            <w:pPr>
              <w:spacing w:before="0" w:after="0"/>
              <w:bidi w:val="1"/>
            </w:pPr>
            <w:r>
              <w:rPr>
                <w:b/>
                <w:color w:val="004D5A"/>
                <w:sz w:val="22"/>
              </w:rPr>
              <w:t>Overview (نظرة عامة على المشروع):</w:t>
              <w:br/>
            </w:r>
            <w:r>
              <w:rPr>
                <w:color w:val="22252A"/>
                <w:sz w:val="21"/>
              </w:rPr>
              <w:t>استوديو تسويقي وإعلاني رقمي مؤتمت بالكامل يعتمد على الذكاء الاصطناعي التوليدي عبر منصة AWS لإنشاء نصوص وصور الحملات الترويجية بناءً على ملخص الحملة (Brief)، مع فرض قيود صارمة لمطابقة هوية العلامة التجارية (Brand Guidelines).</w:t>
            </w:r>
          </w:p>
        </w:tc>
      </w:tr>
    </w:tbl>
    <w:p>
      <w:pPr>
        <w:spacing w:before="0" w:after="80"/>
      </w:pPr>
    </w:p>
    <w:p>
      <w:pPr>
        <w:bidi w:val="1"/>
        <w:spacing w:before="120" w:after="80"/>
      </w:pPr>
      <w:r>
        <w:rPr>
          <w:b/>
          <w:color w:val="004D5A"/>
        </w:rPr>
        <w:t>الأهداف الجوهرية (Core Objectives):</w:t>
      </w:r>
    </w:p>
    <w:p>
      <w:pPr>
        <w:pStyle w:val="ListBullet"/>
        <w:bidi w:val="1"/>
        <w:spacing w:before="40" w:after="40"/>
      </w:pPr>
      <w:r>
        <w:rPr>
          <w:b/>
          <w:color w:val="1D7874"/>
        </w:rPr>
        <w:t xml:space="preserve">خفض زمن إنشاء المسودات الإعلانية المتكاملة: </w:t>
      </w:r>
      <w:r>
        <w:rPr>
          <w:sz w:val="21"/>
        </w:rPr>
        <w:t>تقليص زمن العمل بنسبة تزيد عن 70% مع توفير بدائل وخيارات إبداعية متعددة للنسخ النصية والتصاميم المرئية (Multi-Copy &amp; Multi-Image Generation).</w:t>
      </w:r>
    </w:p>
    <w:p>
      <w:pPr>
        <w:pStyle w:val="ListBullet"/>
        <w:bidi w:val="1"/>
        <w:spacing w:before="40" w:after="40"/>
      </w:pPr>
      <w:r>
        <w:rPr>
          <w:b/>
          <w:color w:val="1D7874"/>
        </w:rPr>
        <w:t xml:space="preserve">القضاء التام على الهلوسة التسويقية (Zero Hallucination): </w:t>
      </w:r>
      <w:r>
        <w:rPr>
          <w:sz w:val="21"/>
        </w:rPr>
        <w:t>منع ترويج أي مواصفات غير مدعومة، أو أسعار غير دقيقة، أو ادعاءات مضللة للمنتجات عبر الربط الصارم بكتالوج معتمد.</w:t>
      </w:r>
    </w:p>
    <w:p>
      <w:pPr>
        <w:pStyle w:val="ListBullet"/>
        <w:bidi w:val="1"/>
        <w:spacing w:before="40" w:after="40"/>
      </w:pPr>
      <w:r>
        <w:rPr>
          <w:b/>
          <w:color w:val="1D7874"/>
        </w:rPr>
        <w:t xml:space="preserve">حوكمة المخرجات قبل النشر (Pre-Publication Governance): </w:t>
      </w:r>
      <w:r>
        <w:rPr>
          <w:sz w:val="21"/>
        </w:rPr>
        <w:t>تطبيق مسار تدقيق هجين يجمع بين الفحص الآلي الحتمي للقواعد، وبوابة الاعتماد والمراجعة البشرية الإلزامية (Human-in-the-Loop Gate).</w:t>
      </w:r>
    </w:p>
    <w:p>
      <w:pPr>
        <w:bidi w:val="1"/>
        <w:spacing w:before="160" w:after="80"/>
      </w:pPr>
      <w:r>
        <w:rPr>
          <w:b/>
          <w:color w:val="004D5A"/>
        </w:rPr>
        <w:t>حدود ونطاق العمل (Scope Boundaries):</w:t>
      </w:r>
    </w:p>
    <w:p>
      <w:pPr>
        <w:pStyle w:val="ListBullet"/>
        <w:bidi w:val="1"/>
        <w:spacing w:before="40" w:after="40"/>
      </w:pPr>
      <w:r>
        <w:rPr>
          <w:b/>
        </w:rPr>
        <w:t xml:space="preserve">داخل النطاق (In-Scope): </w:t>
      </w:r>
      <w:r>
        <w:rPr>
          <w:sz w:val="21"/>
        </w:rPr>
        <w:t>معالجة كتالوج منتجات تجريبي (مواصفات رسمية، أسعار محددة، قائمة الكلمات المحظورة)، توليد نصوص وصور متناسقة بالذكاء الاصطناعي، التحقق الآلي من القواعد الصارمة، وحفظ سجل كامل للمراجعات والاعتماد النهائي.</w:t>
      </w:r>
    </w:p>
    <w:p>
      <w:pPr>
        <w:pStyle w:val="ListBullet"/>
        <w:bidi w:val="1"/>
        <w:spacing w:before="40" w:after="40"/>
      </w:pPr>
      <w:r>
        <w:rPr>
          <w:b/>
        </w:rPr>
        <w:t xml:space="preserve">خارج النطاق (Out-of-Scope): </w:t>
      </w:r>
      <w:r>
        <w:rPr>
          <w:sz w:val="21"/>
        </w:rPr>
        <w:t>الربط المباشر مع واجهات النشر التلقائي لمنصات التواصل الإعلانية (مثل Facebook Ads APIs / Google Ads API)، وإدارة ميزانيات الحملات الإعلانية الفعلية والدفع الإلكتروني.</w:t>
      </w:r>
    </w:p>
    <w:p>
      <w:pPr>
        <w:keepNext/>
        <w:bidi w:val="1"/>
        <w:spacing w:before="280" w:after="120"/>
      </w:pPr>
      <w:r>
        <w:rPr>
          <w:b/>
          <w:color w:val="1D7874"/>
          <w:sz w:val="25"/>
        </w:rPr>
        <w:t>1.2 Timeline &amp; Project Milestones (الجدول الزمني ومراحل التسليم)</w:t>
      </w:r>
    </w:p>
    <w:p>
      <w:pPr>
        <w:bidi w:val="1"/>
        <w:spacing w:after="120"/>
      </w:pPr>
      <w:r>
        <w:t>بناءً على الجدول الزمني المعتمد لمبادرة رواد مصر الرقمية (DEPI):</w:t>
      </w:r>
    </w:p>
    <w:tbl>
      <w:tblPr>
        <w:tblW w:type="auto" w:w="0"/>
        <w:jc w:val="center"/>
        <w:tblLook w:firstColumn="1" w:firstRow="1" w:lastColumn="0" w:lastRow="0" w:noHBand="0" w:noVBand="1" w:val="04A0"/>
      </w:tblPr>
      <w:tblGrid>
        <w:gridCol w:w="3120"/>
        <w:gridCol w:w="3120"/>
        <w:gridCol w:w="3120"/>
      </w:tblGrid>
      <w:tr>
        <w:tc>
          <w:tcPr>
            <w:tcW w:type="dxa" w:w="2592"/>
            <w:shd w:fill="1D7874"/>
            <w:tcMar>
              <w:top w:w="120" w:type="dxa"/>
              <w:bottom w:w="120" w:type="dxa"/>
              <w:left w:w="140" w:type="dxa"/>
              <w:right w:w="140" w:type="dxa"/>
            </w:tcMar>
          </w:tcPr>
          <w:p>
            <w:pPr>
              <w:jc w:val="right"/>
              <w:bidi w:val="1"/>
            </w:pPr>
            <w:r>
              <w:rPr>
                <w:b/>
                <w:color w:val="FFFFFF"/>
                <w:sz w:val="20"/>
              </w:rPr>
              <w:t>المرحلة (Milestone)</w:t>
            </w:r>
          </w:p>
        </w:tc>
        <w:tc>
          <w:tcPr>
            <w:tcW w:type="dxa" w:w="2160"/>
            <w:shd w:fill="1D7874"/>
            <w:tcMar>
              <w:top w:w="120" w:type="dxa"/>
              <w:bottom w:w="120" w:type="dxa"/>
              <w:left w:w="140" w:type="dxa"/>
              <w:right w:w="140" w:type="dxa"/>
            </w:tcMar>
          </w:tcPr>
          <w:p>
            <w:pPr>
              <w:jc w:val="right"/>
              <w:bidi w:val="1"/>
            </w:pPr>
            <w:r>
              <w:rPr>
                <w:b/>
                <w:color w:val="FFFFFF"/>
                <w:sz w:val="20"/>
              </w:rPr>
              <w:t>الموعد النهائي (Deadline)</w:t>
            </w:r>
          </w:p>
        </w:tc>
        <w:tc>
          <w:tcPr>
            <w:tcW w:type="dxa" w:w="4608"/>
            <w:shd w:fill="1D7874"/>
            <w:tcMar>
              <w:top w:w="120" w:type="dxa"/>
              <w:bottom w:w="120" w:type="dxa"/>
              <w:left w:w="140" w:type="dxa"/>
              <w:right w:w="140" w:type="dxa"/>
            </w:tcMar>
          </w:tcPr>
          <w:p>
            <w:pPr>
              <w:jc w:val="right"/>
              <w:bidi w:val="1"/>
            </w:pPr>
            <w:r>
              <w:rPr>
                <w:b/>
                <w:color w:val="FFFFFF"/>
                <w:sz w:val="20"/>
              </w:rPr>
              <w:t>المخرجات المتوقعة (Deliverables)</w:t>
            </w:r>
          </w:p>
        </w:tc>
      </w:tr>
      <w:tr>
        <w:tc>
          <w:tcPr>
            <w:tcW w:type="dxa" w:w="2592"/>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19"/>
              </w:rPr>
              <w:t>Milestone 1 (Phase 1)</w:t>
            </w:r>
          </w:p>
        </w:tc>
        <w:tc>
          <w:tcPr>
            <w:tcW w:type="dxa" w:w="2160"/>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B45309"/>
                <w:sz w:val="19"/>
              </w:rPr>
              <w:t>16 Oct 2026</w:t>
            </w:r>
          </w:p>
        </w:tc>
        <w:tc>
          <w:tcPr>
            <w:tcW w:type="dxa" w:w="460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توثيق التخطيط، البحث النظري، وجمع المتطلبات (Documentation Phase 1).</w:t>
            </w:r>
          </w:p>
        </w:tc>
      </w:tr>
      <w:tr>
        <w:tc>
          <w:tcPr>
            <w:tcW w:type="dxa" w:w="2592"/>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19"/>
              </w:rPr>
              <w:t>Milestone 2 (Phase 2)</w:t>
            </w:r>
          </w:p>
        </w:tc>
        <w:tc>
          <w:tcPr>
            <w:tcW w:type="dxa" w:w="2160"/>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B45309"/>
                <w:sz w:val="19"/>
              </w:rPr>
              <w:t>06 Nov 2026</w:t>
            </w:r>
          </w:p>
        </w:tc>
        <w:tc>
          <w:tcPr>
            <w:tcW w:type="dxa" w:w="4608"/>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تحليل وتصميم النظام (System Architecture, Sequence &amp; State Diagrams).</w:t>
            </w:r>
          </w:p>
        </w:tc>
      </w:tr>
      <w:tr>
        <w:tc>
          <w:tcPr>
            <w:tcW w:type="dxa" w:w="2592"/>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19"/>
              </w:rPr>
              <w:t>Milestone 3 (Phase 3)</w:t>
            </w:r>
          </w:p>
        </w:tc>
        <w:tc>
          <w:tcPr>
            <w:tcW w:type="dxa" w:w="2160"/>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B45309"/>
                <w:sz w:val="19"/>
              </w:rPr>
              <w:t>30 Nov 2026</w:t>
            </w:r>
          </w:p>
        </w:tc>
        <w:tc>
          <w:tcPr>
            <w:tcW w:type="dxa" w:w="460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تنفيذ الأكواد وبناء خط الأنابيب واختبار النماذج على بيئة AWS.</w:t>
            </w:r>
          </w:p>
        </w:tc>
      </w:tr>
      <w:tr>
        <w:tc>
          <w:tcPr>
            <w:tcW w:type="dxa" w:w="2592"/>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19"/>
              </w:rPr>
              <w:t>Milestone 4 (Phase 4)</w:t>
            </w:r>
          </w:p>
        </w:tc>
        <w:tc>
          <w:tcPr>
            <w:tcW w:type="dxa" w:w="2160"/>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B45309"/>
                <w:sz w:val="19"/>
              </w:rPr>
              <w:t>04 Dec 2026</w:t>
            </w:r>
          </w:p>
        </w:tc>
        <w:tc>
          <w:tcPr>
            <w:tcW w:type="dxa" w:w="4608"/>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الاختبار الشامل، التقرير النهائي، تصميم الإنفوجرافيك، والعرض التقديمي (Final Demo).</w:t>
            </w:r>
          </w:p>
        </w:tc>
      </w:tr>
    </w:tbl>
    <w:p>
      <w:pPr>
        <w:spacing w:before="160" w:after="120"/>
        <w:bidi w:val="1"/>
      </w:pPr>
    </w:p>
    <w:tbl>
      <w:tblPr>
        <w:tblW w:type="auto" w:w="0"/>
        <w:jc w:val="center"/>
        <w:tblLook w:firstColumn="1" w:firstRow="1" w:lastColumn="0" w:lastRow="0" w:noHBand="0" w:noVBand="1" w:val="04A0"/>
      </w:tblPr>
      <w:tblGrid>
        <w:gridCol w:w="9360"/>
      </w:tblGrid>
      <w:tr>
        <w:tc>
          <w:tcPr>
            <w:tcW w:type="dxa" w:w="9360"/>
            <w:shd w:fill="F2F7F7"/>
            <w:tcMar>
              <w:top w:w="140" w:type="dxa"/>
              <w:bottom w:w="140" w:type="dxa"/>
              <w:left w:w="180" w:type="dxa"/>
              <w:right w:w="180" w:type="dxa"/>
            </w:tcMar>
            <w:tcBorders>
              <w:top w:val="none" w:sz="4" w:space="0" w:color="auto"/>
              <w:bottom w:val="none" w:sz="4" w:space="0" w:color="auto"/>
              <w:left w:val="none" w:sz="4" w:space="0" w:color="auto"/>
              <w:right w:val="single" w:sz="24" w:space="0" w:color="004D5A"/>
            </w:tcBorders>
          </w:tcPr>
          <w:p>
            <w:pPr>
              <w:spacing w:before="0" w:after="0"/>
              <w:bidi w:val="1"/>
            </w:pPr>
            <w:r>
              <w:rPr>
                <w:b/>
                <w:color w:val="004D5A"/>
                <w:sz w:val="22"/>
              </w:rPr>
              <w:t>Timeline Roadmap Summary:</w:t>
              <w:br/>
            </w:r>
            <w:r>
              <w:rPr>
                <w:color w:val="22252A"/>
                <w:sz w:val="21"/>
              </w:rPr>
              <w:t>[Oct 01 - Oct 16] ===&gt; Planning, Lit Review &amp; Requirements (Deliverable 1)</w:t>
              <w:br/>
              <w:t>[Oct 17 - Nov 06] ========&gt; System Analysis &amp; Architectural Design (Deliverable 2)</w:t>
              <w:br/>
              <w:t>[Nov 07 - Nov 30] ============&gt; Code Implementation, Bedrock Integration &amp; UI (Deliverable 3)</w:t>
              <w:br/>
              <w:t>[Dec 01 - Dec 04] ===&gt; Final Testing, QA, Demo Video &amp; Presentation (Deliverable 4)</w:t>
            </w:r>
          </w:p>
        </w:tc>
      </w:tr>
    </w:tbl>
    <w:p>
      <w:pPr>
        <w:spacing w:before="0" w:after="80"/>
      </w:pPr>
    </w:p>
    <w:p>
      <w:pPr>
        <w:keepNext/>
        <w:bidi w:val="1"/>
        <w:spacing w:before="280" w:after="120"/>
      </w:pPr>
      <w:r>
        <w:rPr>
          <w:b/>
          <w:color w:val="1D7874"/>
          <w:sz w:val="25"/>
        </w:rPr>
        <w:t>1.3 Task Assignment &amp; Roles (توزيع المهام والمسؤوليات التفصيلية)</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04D5A"/>
            <w:tcMar>
              <w:top w:w="120" w:type="dxa"/>
              <w:bottom w:w="120" w:type="dxa"/>
              <w:left w:w="140" w:type="dxa"/>
              <w:right w:w="140" w:type="dxa"/>
            </w:tcMar>
          </w:tcPr>
          <w:p>
            <w:pPr>
              <w:jc w:val="right"/>
              <w:bidi w:val="1"/>
            </w:pPr>
            <w:r>
              <w:rPr>
                <w:b/>
                <w:color w:val="FFFFFF"/>
                <w:sz w:val="20"/>
              </w:rPr>
              <w:t>العضو</w:t>
            </w:r>
          </w:p>
        </w:tc>
        <w:tc>
          <w:tcPr>
            <w:tcW w:type="dxa" w:w="2880"/>
            <w:shd w:fill="004D5A"/>
            <w:tcMar>
              <w:top w:w="120" w:type="dxa"/>
              <w:bottom w:w="120" w:type="dxa"/>
              <w:left w:w="140" w:type="dxa"/>
              <w:right w:w="140" w:type="dxa"/>
            </w:tcMar>
          </w:tcPr>
          <w:p>
            <w:pPr>
              <w:jc w:val="right"/>
              <w:bidi w:val="1"/>
            </w:pPr>
            <w:r>
              <w:rPr>
                <w:b/>
                <w:color w:val="FFFFFF"/>
                <w:sz w:val="20"/>
              </w:rPr>
              <w:t>الدور المسند</w:t>
            </w:r>
          </w:p>
        </w:tc>
        <w:tc>
          <w:tcPr>
            <w:tcW w:type="dxa" w:w="4320"/>
            <w:shd w:fill="004D5A"/>
            <w:tcMar>
              <w:top w:w="120" w:type="dxa"/>
              <w:bottom w:w="120" w:type="dxa"/>
              <w:left w:w="140" w:type="dxa"/>
              <w:right w:w="140" w:type="dxa"/>
            </w:tcMar>
          </w:tcPr>
          <w:p>
            <w:pPr>
              <w:jc w:val="right"/>
              <w:bidi w:val="1"/>
            </w:pPr>
            <w:r>
              <w:rPr>
                <w:b/>
                <w:color w:val="FFFFFF"/>
                <w:sz w:val="20"/>
              </w:rPr>
              <w:t>نطاق المسؤوليات والمهام التقنية</w:t>
            </w:r>
          </w:p>
        </w:tc>
      </w:tr>
      <w:tr>
        <w:tc>
          <w:tcPr>
            <w:tcW w:type="dxa" w:w="2160"/>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19"/>
              </w:rPr>
              <w:t>حجازي عادل</w:t>
            </w:r>
          </w:p>
        </w:tc>
        <w:tc>
          <w:tcPr>
            <w:tcW w:type="dxa" w:w="2880"/>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1D7874"/>
                <w:sz w:val="19"/>
              </w:rPr>
              <w:t>Team Lead &amp;</w:t>
              <w:br/>
              <w:t>ML Cloud Architect</w:t>
            </w:r>
          </w:p>
        </w:tc>
        <w:tc>
          <w:tcPr>
            <w:tcW w:type="dxa" w:w="4320"/>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 إدارة المشروع ومتابعة التسليمات ورفع المستندات على GitHub والـ LMS.</w:t>
              <w:br/>
              <w:t>• تصميم المعمارية السحابية (AWS Architecture) وضبط صلاحيات IAM بمبدأ Least Privilege.</w:t>
              <w:br/>
              <w:t>• تهيئة مستودعات التخزين S3 ومتابعة ضوابط التكلفة والميزانية (AWS Budgets).</w:t>
            </w:r>
          </w:p>
        </w:tc>
      </w:tr>
      <w:tr>
        <w:tc>
          <w:tcPr>
            <w:tcW w:type="dxa" w:w="2160"/>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19"/>
              </w:rPr>
              <w:t>أحمد حمدي</w:t>
            </w:r>
          </w:p>
        </w:tc>
        <w:tc>
          <w:tcPr>
            <w:tcW w:type="dxa" w:w="2880"/>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1D7874"/>
                <w:sz w:val="19"/>
              </w:rPr>
              <w:t>Lead ML /</w:t>
              <w:br/>
              <w:t>Prompt Engineer</w:t>
            </w:r>
          </w:p>
        </w:tc>
        <w:tc>
          <w:tcPr>
            <w:tcW w:type="dxa" w:w="4320"/>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 اختيار وضبط نماذج التوليد على Amazon Bedrock (Text LLM &amp; Image Diffusion).</w:t>
              <w:br/>
              <w:t>• هندسة الأوامر (System Prompts, Negative Prompts, Brand Tone).</w:t>
              <w:br/>
              <w:t>• تصميم استراتيجية تقييم جودة النصوص المولدة ومنع الهلوسة.</w:t>
            </w:r>
          </w:p>
        </w:tc>
      </w:tr>
      <w:tr>
        <w:tc>
          <w:tcPr>
            <w:tcW w:type="dxa" w:w="2160"/>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19"/>
              </w:rPr>
              <w:t>أحمد عبدالقادر</w:t>
            </w:r>
          </w:p>
        </w:tc>
        <w:tc>
          <w:tcPr>
            <w:tcW w:type="dxa" w:w="2880"/>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1D7874"/>
                <w:sz w:val="19"/>
              </w:rPr>
              <w:t>Serverless Backend &amp;</w:t>
              <w:br/>
              <w:t>Data Validation Engineer</w:t>
            </w:r>
          </w:p>
        </w:tc>
        <w:tc>
          <w:tcPr>
            <w:tcW w:type="dxa" w:w="4320"/>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 كتابة وتطوير دوال التحقق عبر AWS Lambda (فحص الأسعار والمواصفات والأبعاد).</w:t>
              <w:br/>
              <w:t>• تصميم وبناء قاعدة بيانات Amazon DynamoDB لحفظ الحالات وسجل التدقيق (Audit Logs).</w:t>
              <w:br/>
              <w:t>• أتمتة وتنسيق خطوات العمل وتدفق البيانات باستخدام AWS Step Functions.</w:t>
            </w:r>
          </w:p>
        </w:tc>
      </w:tr>
      <w:tr>
        <w:tc>
          <w:tcPr>
            <w:tcW w:type="dxa" w:w="2160"/>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19"/>
              </w:rPr>
              <w:t>أحمد جهاد</w:t>
            </w:r>
          </w:p>
        </w:tc>
        <w:tc>
          <w:tcPr>
            <w:tcW w:type="dxa" w:w="2880"/>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1D7874"/>
                <w:sz w:val="19"/>
              </w:rPr>
              <w:t>Frontend UI/UX &amp;</w:t>
              <w:br/>
              <w:t>Integration Engineer</w:t>
            </w:r>
          </w:p>
        </w:tc>
        <w:tc>
          <w:tcPr>
            <w:tcW w:type="dxa" w:w="4320"/>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 بناء واجهة المستخدم التفاعلية (Web UI via AWS Amplify / Streamlit).</w:t>
              <w:br/>
              <w:t>• عرض الخيارات الإعلانية المتزامنة (مقارنة النصوص والصور جنباً إلى جنب).</w:t>
              <w:br/>
              <w:t>• برمجة شاشات الاعتماد البشري (Human Approval) وتوثيق استدعاءات الـ APIs.</w:t>
            </w:r>
          </w:p>
        </w:tc>
      </w:tr>
    </w:tbl>
    <w:p>
      <w:pPr>
        <w:keepNext/>
        <w:bidi w:val="1"/>
        <w:spacing w:before="280" w:after="120"/>
      </w:pPr>
      <w:r>
        <w:rPr>
          <w:b/>
          <w:color w:val="1D7874"/>
          <w:sz w:val="25"/>
        </w:rPr>
        <w:t>1.4 Risk Assessment &amp; Mitigation Plan (تقييم المخاطر وخطط المعالجة)</w:t>
      </w:r>
    </w:p>
    <w:tbl>
      <w:tblPr>
        <w:tblW w:type="auto" w:w="0"/>
        <w:jc w:val="center"/>
        <w:tblLook w:firstColumn="1" w:firstRow="1" w:lastColumn="0" w:lastRow="0" w:noHBand="0" w:noVBand="1" w:val="04A0"/>
      </w:tblPr>
      <w:tblGrid>
        <w:gridCol w:w="3120"/>
        <w:gridCol w:w="3120"/>
        <w:gridCol w:w="3120"/>
      </w:tblGrid>
      <w:tr>
        <w:tc>
          <w:tcPr>
            <w:tcW w:type="dxa" w:w="3168"/>
            <w:shd w:fill="1D7874"/>
            <w:tcMar>
              <w:top w:w="120" w:type="dxa"/>
              <w:bottom w:w="120" w:type="dxa"/>
              <w:left w:w="140" w:type="dxa"/>
              <w:right w:w="140" w:type="dxa"/>
            </w:tcMar>
          </w:tcPr>
          <w:p>
            <w:pPr>
              <w:jc w:val="right"/>
              <w:bidi w:val="1"/>
            </w:pPr>
            <w:r>
              <w:rPr>
                <w:b/>
                <w:color w:val="FFFFFF"/>
                <w:sz w:val="20"/>
              </w:rPr>
              <w:t>الخطر المحتمل (Risk)</w:t>
            </w:r>
          </w:p>
        </w:tc>
        <w:tc>
          <w:tcPr>
            <w:tcW w:type="dxa" w:w="1584"/>
            <w:shd w:fill="1D7874"/>
            <w:tcMar>
              <w:top w:w="120" w:type="dxa"/>
              <w:bottom w:w="120" w:type="dxa"/>
              <w:left w:w="140" w:type="dxa"/>
              <w:right w:w="140" w:type="dxa"/>
            </w:tcMar>
          </w:tcPr>
          <w:p>
            <w:pPr>
              <w:jc w:val="right"/>
              <w:bidi w:val="1"/>
            </w:pPr>
            <w:r>
              <w:rPr>
                <w:b/>
                <w:color w:val="FFFFFF"/>
                <w:sz w:val="20"/>
              </w:rPr>
              <w:t>مستوى التأثير</w:t>
            </w:r>
          </w:p>
        </w:tc>
        <w:tc>
          <w:tcPr>
            <w:tcW w:type="dxa" w:w="4608"/>
            <w:shd w:fill="1D7874"/>
            <w:tcMar>
              <w:top w:w="120" w:type="dxa"/>
              <w:bottom w:w="120" w:type="dxa"/>
              <w:left w:w="140" w:type="dxa"/>
              <w:right w:w="140" w:type="dxa"/>
            </w:tcMar>
          </w:tcPr>
          <w:p>
            <w:pPr>
              <w:jc w:val="right"/>
              <w:bidi w:val="1"/>
            </w:pPr>
            <w:r>
              <w:rPr>
                <w:b/>
                <w:color w:val="FFFFFF"/>
                <w:sz w:val="20"/>
              </w:rPr>
              <w:t>خطة الإدارة والتفادي (Mitigation Plan)</w:t>
            </w:r>
          </w:p>
        </w:tc>
      </w:tr>
      <w:tr>
        <w:tc>
          <w:tcPr>
            <w:tcW w:type="dxa" w:w="316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sz w:val="19"/>
              </w:rPr>
              <w:t>تجاوز رصيد الحساب أو استهلاك تكاليف زائدة في AWS</w:t>
            </w:r>
          </w:p>
        </w:tc>
        <w:tc>
          <w:tcPr>
            <w:tcW w:type="dxa" w:w="1584"/>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B91C1C"/>
                <w:sz w:val="19"/>
              </w:rPr>
              <w:t>عالي</w:t>
            </w:r>
          </w:p>
        </w:tc>
        <w:tc>
          <w:tcPr>
            <w:tcW w:type="dxa" w:w="460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بناء معمارية Serverless كاملة (الدفع عند الطلب فقط)، وتفعيل AWS Budgets وتنبيهات الاستهلاك اليومية التلقائية.</w:t>
            </w:r>
          </w:p>
        </w:tc>
      </w:tr>
      <w:tr>
        <w:tc>
          <w:tcPr>
            <w:tcW w:type="dxa" w:w="3168"/>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sz w:val="19"/>
              </w:rPr>
              <w:t>هلوسة النماذج وتوليد أسعار أو خصائص مغلوطة</w:t>
            </w:r>
          </w:p>
        </w:tc>
        <w:tc>
          <w:tcPr>
            <w:tcW w:type="dxa" w:w="1584"/>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B91C1C"/>
                <w:sz w:val="19"/>
              </w:rPr>
              <w:t>عالي</w:t>
            </w:r>
          </w:p>
        </w:tc>
        <w:tc>
          <w:tcPr>
            <w:tcW w:type="dxa" w:w="4608"/>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عزل التوليد الإبداعي عن التدقيق؛ وتمرير المخرجات على دوال Lambda حتمية تعتمد على المطابقة الحرفية للبيانات المعتمدة.</w:t>
            </w:r>
          </w:p>
        </w:tc>
      </w:tr>
      <w:tr>
        <w:tc>
          <w:tcPr>
            <w:tcW w:type="dxa" w:w="316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sz w:val="19"/>
              </w:rPr>
              <w:t>توليد صور غير متوافقة مع الأبعاد المطلوبة</w:t>
            </w:r>
          </w:p>
        </w:tc>
        <w:tc>
          <w:tcPr>
            <w:tcW w:type="dxa" w:w="1584"/>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B45309"/>
                <w:sz w:val="19"/>
              </w:rPr>
              <w:t>متوسط</w:t>
            </w:r>
          </w:p>
        </w:tc>
        <w:tc>
          <w:tcPr>
            <w:tcW w:type="dxa" w:w="460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تقييد استدعاءات نماذج الصور بمعايير أبعاد ثابتة، وفحص أبعاد المخرجات برمجياً وميكانيكياً قبل العرض.</w:t>
            </w:r>
          </w:p>
        </w:tc>
      </w:tr>
      <w:tr>
        <w:tc>
          <w:tcPr>
            <w:tcW w:type="dxa" w:w="3168"/>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sz w:val="19"/>
              </w:rPr>
              <w:t>تأخر التكامل بين أجزاء النظام البرمجية</w:t>
            </w:r>
          </w:p>
        </w:tc>
        <w:tc>
          <w:tcPr>
            <w:tcW w:type="dxa" w:w="1584"/>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B45309"/>
                <w:sz w:val="19"/>
              </w:rPr>
              <w:t>متوسط</w:t>
            </w:r>
          </w:p>
        </w:tc>
        <w:tc>
          <w:tcPr>
            <w:tcW w:type="dxa" w:w="4608"/>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العمل وفق منهجية GitFlow وربط الواجهة الأمامية بالخلفية عبر عقود بيانات واضحة المعالم (Strict JSON Schemas).</w:t>
            </w:r>
          </w:p>
        </w:tc>
      </w:tr>
    </w:tbl>
    <w:p>
      <w:pPr>
        <w:keepNext/>
        <w:bidi w:val="1"/>
        <w:spacing w:before="280" w:after="120"/>
      </w:pPr>
      <w:r>
        <w:rPr>
          <w:b/>
          <w:color w:val="1D7874"/>
          <w:sz w:val="25"/>
        </w:rPr>
        <w:t>1.5 Key Performance Indicators - KPIs (مؤشرات قياس الأداء)</w:t>
      </w:r>
    </w:p>
    <w:p>
      <w:pPr>
        <w:pStyle w:val="ListBullet"/>
        <w:bidi w:val="1"/>
        <w:spacing w:before="40" w:after="40"/>
      </w:pPr>
      <w:r>
        <w:rPr>
          <w:b/>
          <w:color w:val="004D5A"/>
        </w:rPr>
        <w:t xml:space="preserve">Factual &amp; Price Accuracy (100%): </w:t>
      </w:r>
      <w:r>
        <w:rPr>
          <w:sz w:val="21"/>
        </w:rPr>
        <w:t>نسبة مطابقة الأسعار والخصائص المذكورة في النص الإعلاني مع قيم الكتالوج المعتمد تصل إلى 100% بدون أي تباين.</w:t>
      </w:r>
    </w:p>
    <w:p>
      <w:pPr>
        <w:pStyle w:val="ListBullet"/>
        <w:bidi w:val="1"/>
        <w:spacing w:before="40" w:after="40"/>
      </w:pPr>
      <w:r>
        <w:rPr>
          <w:b/>
          <w:color w:val="004D5A"/>
        </w:rPr>
        <w:t xml:space="preserve">Policy Violation Interception (100%): </w:t>
      </w:r>
      <w:r>
        <w:rPr>
          <w:sz w:val="21"/>
        </w:rPr>
        <w:t>حظر واكتشاف الكلمات والادعاءات غير المسموح بها والمدرجة في القائمة السلبية بنسبة 100% قبل وصول المسودة للمستخدم.</w:t>
      </w:r>
    </w:p>
    <w:p>
      <w:pPr>
        <w:pStyle w:val="ListBullet"/>
        <w:bidi w:val="1"/>
        <w:spacing w:before="40" w:after="40"/>
      </w:pPr>
      <w:r>
        <w:rPr>
          <w:b/>
          <w:color w:val="004D5A"/>
        </w:rPr>
        <w:t xml:space="preserve">End-to-End Latency (&lt; 20s): </w:t>
      </w:r>
      <w:r>
        <w:rPr>
          <w:sz w:val="21"/>
        </w:rPr>
        <w:t>إتمام دورة معالجة وتوليد وفحص الخيارات الإعلانية بالكامل في أقل من 20 ثانية لتوفير تجربة مستخدم فورية.</w:t>
      </w:r>
    </w:p>
    <w:p>
      <w:pPr>
        <w:pStyle w:val="ListBullet"/>
        <w:bidi w:val="1"/>
        <w:spacing w:before="40" w:after="40"/>
      </w:pPr>
      <w:r>
        <w:rPr>
          <w:b/>
          <w:color w:val="004D5A"/>
        </w:rPr>
        <w:t xml:space="preserve">Review Efficiency (&lt; 3 clicks): </w:t>
      </w:r>
      <w:r>
        <w:rPr>
          <w:sz w:val="21"/>
        </w:rPr>
        <w:t>تمكين مسؤول التسويق من مراجعة الحملة واتخاذ القرار (قبول / تعديل / رفض) في شاشة موحدة وبأقل من 3 نقرات.</w:t>
      </w:r>
    </w:p>
    <w:p>
      <w:pPr>
        <w:pStyle w:val="ListBullet"/>
        <w:bidi w:val="1"/>
        <w:spacing w:before="40" w:after="40"/>
      </w:pPr>
      <w:r>
        <w:rPr>
          <w:b/>
          <w:color w:val="004D5A"/>
        </w:rPr>
        <w:t xml:space="preserve">Zero Unexpected Cost: </w:t>
      </w:r>
      <w:r>
        <w:rPr>
          <w:sz w:val="21"/>
        </w:rPr>
        <w:t>الحفاظ على كفاءة التشغيل داخل النطاق المجاني ورصيد المبادرة دون فرض أي رسوم إضافية عبر التصميم الخادم غير الثابت (Serverless).</w:t>
      </w:r>
    </w:p>
    <w:p>
      <w:pPr>
        <w:keepNext/>
        <w:bidi w:val="1"/>
        <w:spacing w:before="360" w:after="160"/>
        <w:pBdr>
          <w:bottom w:val="single" w:sz="12" w:space="4" w:color="004D5A"/>
        </w:pBdr>
      </w:pPr>
      <w:r>
        <w:rPr>
          <w:b/>
          <w:color w:val="004D5A"/>
          <w:sz w:val="30"/>
        </w:rPr>
        <w:t>2. Literature Review (المراجعة الأدبية والخلفية النظرية)</w:t>
      </w:r>
    </w:p>
    <w:p>
      <w:pPr>
        <w:keepNext/>
        <w:bidi w:val="1"/>
        <w:spacing w:before="280" w:after="120"/>
      </w:pPr>
      <w:r>
        <w:rPr>
          <w:b/>
          <w:color w:val="1D7874"/>
          <w:sz w:val="25"/>
        </w:rPr>
        <w:t>2.1 Theoretical Background (الخلفية العلمية وسياق الصناعة)</w:t>
      </w:r>
    </w:p>
    <w:p>
      <w:pPr>
        <w:bidi w:val="1"/>
        <w:spacing w:after="120"/>
      </w:pPr>
      <w:r>
        <w:t>أحدث الذكاء الاصطناعي التوليدي، وتحديداً النماذج اللغوية الكبيرة (LLMs) ونماذج الانتشار البصري (Diffusion Models)، ثورة حقيقية في تسريع عمليات إنتاج المحتوى الرقمي والإعلاني. ومع ذلك، فإن اعتماد الشركات على هذه النماذج بصورتها الخام يواجه عائقاً حاسماً يُعرف بـ "مخاطر الهوية والمصداقية" (Brand Integrity Risks)؛ حيث تميل النماذج إلى توليد حقائق غير دقيقة (Hallucinations) واختلاق مواصفات وهمية أو أسعار غير صحيحة، مما يعرّض العلامة التجارية لمساءلات قانونية وأضرار تسويقية بالغة.</w:t>
      </w:r>
    </w:p>
    <w:p>
      <w:pPr>
        <w:keepNext/>
        <w:bidi w:val="1"/>
        <w:spacing w:before="280" w:after="120"/>
      </w:pPr>
      <w:r>
        <w:rPr>
          <w:b/>
          <w:color w:val="1D7874"/>
          <w:sz w:val="25"/>
        </w:rPr>
        <w:t>2.2 Comparison with Existing Approaches (المقارنة مع الحلول القائمة)</w:t>
      </w:r>
    </w:p>
    <w:p>
      <w:pPr>
        <w:pStyle w:val="ListBullet"/>
        <w:bidi w:val="1"/>
        <w:spacing w:before="60" w:after="60"/>
      </w:pPr>
      <w:r>
        <w:rPr>
          <w:b/>
          <w:color w:val="1D7874"/>
        </w:rPr>
        <w:t xml:space="preserve">أدوات التوليد العامة (مثل ChatGPT أو Midjourney): </w:t>
      </w:r>
      <w:r>
        <w:rPr>
          <w:sz w:val="21"/>
        </w:rPr>
        <w:t>تمتاز بقدرتها التعبيرية والإبداعية العالية، لكنها منفصلة تماماً عن قواعد بيانات المؤسسة وتفتقر إلى خطوط تدقيق مستقلة تلزم النماذج بكتالوجات محددة وتمنع تداول الأسعار الخاطئة.</w:t>
      </w:r>
    </w:p>
    <w:p>
      <w:pPr>
        <w:pStyle w:val="ListBullet"/>
        <w:bidi w:val="1"/>
        <w:spacing w:before="60" w:after="60"/>
      </w:pPr>
      <w:r>
        <w:rPr>
          <w:b/>
          <w:color w:val="1D7874"/>
        </w:rPr>
        <w:t xml:space="preserve">أنظمة التسويق الخاصة بالمؤسسات الضخمة (Enterprise Solutions): </w:t>
      </w:r>
      <w:r>
        <w:rPr>
          <w:sz w:val="21"/>
        </w:rPr>
        <w:t>توفر دقة وتحكماً، لكنها تعتمد على بنية تحتية برمجية ثقيلة وخوادم دائمة التشغيل، مما يرفع تكلفة التشغيل والصيانة بشكل لا يتناسب مع المشاريع الرشيقة ورواد الأعمال.</w:t>
      </w:r>
    </w:p>
    <w:p>
      <w:pPr>
        <w:pStyle w:val="ListBullet"/>
        <w:bidi w:val="1"/>
        <w:spacing w:before="60" w:after="60"/>
      </w:pPr>
      <w:r>
        <w:rPr>
          <w:b/>
          <w:color w:val="1D7874"/>
        </w:rPr>
        <w:t xml:space="preserve">الحل المعتمد في استوديو الحملات المقترح: </w:t>
      </w:r>
      <w:r>
        <w:rPr>
          <w:sz w:val="21"/>
        </w:rPr>
        <w:t>يقدم المشروع بنية معمارية هجينة تفصل تماماً بين التوليد الإبداعي (Creative Generation) عبر Amazon Bedrock، والتدقيق الحتمي الصارم (Deterministic Rules Validation) عبر دوال Lambda وقواعد البيانات، بحيث لا يُعتمد أو يُعرض أي محتوى نهائي دون المرور بطبقة تحقق مستقلة تليها موافقة بشرية موثقة.</w:t>
      </w:r>
    </w:p>
    <w:p>
      <w:pPr>
        <w:keepNext/>
        <w:bidi w:val="1"/>
        <w:spacing w:before="280" w:after="120"/>
      </w:pPr>
      <w:r>
        <w:rPr>
          <w:b/>
          <w:color w:val="1D7874"/>
          <w:sz w:val="25"/>
        </w:rPr>
        <w:t>2.3 Evaluation Criteria &amp; Continuous Improvement (معايير التقييم والتحسين المستمر)</w:t>
      </w:r>
    </w:p>
    <w:p>
      <w:pPr>
        <w:bidi w:val="1"/>
        <w:spacing w:after="120"/>
      </w:pPr>
      <w:r>
        <w:t>يتماشى النظام بدقة مع مصفوفة تقييم مشروعات تخرج DEPI من حيث: فهم المشكلة وصياغتها، جودة هندسة البيانات والذكاء الاصطناعي، قوة التكامل السحابي وأفضل ممارسات AWS، ضوابط الأمان وحماية الموارد، والتوثيق المنهجي الشامل.</w:t>
        <w:br/>
        <w:br/>
        <w:t>أما على صعيد التحسين المستمر، فتشمل التحديثات المستقبلية المخططة: إتاحة دعم ثنائي اللغة (العربية والإنجليزية) في توليد النسخ الإعلانية الترويجية، وتضمين لوحة تحليلات وإحصائيات ترصد معدلات قبول ورفض المخرجات لتحسين أداء الأوامر التوليدية (Prompt Optimization) بشكل دوري وتلقائي.</w:t>
      </w:r>
    </w:p>
    <w:p>
      <w:pPr>
        <w:keepNext/>
        <w:bidi w:val="1"/>
        <w:spacing w:before="360" w:after="160"/>
        <w:pBdr>
          <w:bottom w:val="single" w:sz="12" w:space="4" w:color="004D5A"/>
        </w:pBdr>
      </w:pPr>
      <w:r>
        <w:rPr>
          <w:b/>
          <w:color w:val="004D5A"/>
          <w:sz w:val="30"/>
        </w:rPr>
        <w:t>3. Requirements Gathering (جمع وتحليل المتطلبات)</w:t>
      </w:r>
    </w:p>
    <w:p>
      <w:pPr>
        <w:keepNext/>
        <w:bidi w:val="1"/>
        <w:spacing w:before="280" w:after="120"/>
      </w:pPr>
      <w:r>
        <w:rPr>
          <w:b/>
          <w:color w:val="1D7874"/>
          <w:sz w:val="25"/>
        </w:rPr>
        <w:t>3.1 Stakeholder Analysis (تحليل المعنيين وأصحاب المصلحة)</w:t>
      </w:r>
    </w:p>
    <w:tbl>
      <w:tblPr>
        <w:tblW w:type="auto" w:w="0"/>
        <w:jc w:val="center"/>
        <w:tblLook w:firstColumn="1" w:firstRow="1" w:lastColumn="0" w:lastRow="0" w:noHBand="0" w:noVBand="1" w:val="04A0"/>
      </w:tblPr>
      <w:tblGrid>
        <w:gridCol w:w="3120"/>
        <w:gridCol w:w="3120"/>
        <w:gridCol w:w="3120"/>
      </w:tblGrid>
      <w:tr>
        <w:tc>
          <w:tcPr>
            <w:tcW w:type="dxa" w:w="2592"/>
            <w:shd w:fill="004D5A"/>
            <w:tcMar>
              <w:top w:w="120" w:type="dxa"/>
              <w:bottom w:w="120" w:type="dxa"/>
              <w:left w:w="140" w:type="dxa"/>
              <w:right w:w="140" w:type="dxa"/>
            </w:tcMar>
          </w:tcPr>
          <w:p>
            <w:pPr>
              <w:jc w:val="right"/>
              <w:bidi w:val="1"/>
            </w:pPr>
            <w:r>
              <w:rPr>
                <w:b/>
                <w:color w:val="FFFFFF"/>
                <w:sz w:val="20"/>
              </w:rPr>
              <w:t>المعني (Stakeholder)</w:t>
            </w:r>
          </w:p>
        </w:tc>
        <w:tc>
          <w:tcPr>
            <w:tcW w:type="dxa" w:w="3168"/>
            <w:shd w:fill="004D5A"/>
            <w:tcMar>
              <w:top w:w="120" w:type="dxa"/>
              <w:bottom w:w="120" w:type="dxa"/>
              <w:left w:w="140" w:type="dxa"/>
              <w:right w:w="140" w:type="dxa"/>
            </w:tcMar>
          </w:tcPr>
          <w:p>
            <w:pPr>
              <w:jc w:val="right"/>
              <w:bidi w:val="1"/>
            </w:pPr>
            <w:r>
              <w:rPr>
                <w:b/>
                <w:color w:val="FFFFFF"/>
                <w:sz w:val="20"/>
              </w:rPr>
              <w:t>الوصف والدور في النظام</w:t>
            </w:r>
          </w:p>
        </w:tc>
        <w:tc>
          <w:tcPr>
            <w:tcW w:type="dxa" w:w="3600"/>
            <w:shd w:fill="004D5A"/>
            <w:tcMar>
              <w:top w:w="120" w:type="dxa"/>
              <w:bottom w:w="120" w:type="dxa"/>
              <w:left w:w="140" w:type="dxa"/>
              <w:right w:w="140" w:type="dxa"/>
            </w:tcMar>
          </w:tcPr>
          <w:p>
            <w:pPr>
              <w:jc w:val="right"/>
              <w:bidi w:val="1"/>
            </w:pPr>
            <w:r>
              <w:rPr>
                <w:b/>
                <w:color w:val="FFFFFF"/>
                <w:sz w:val="20"/>
              </w:rPr>
              <w:t>الاحتياجات والمتطلبات الأساسية</w:t>
            </w:r>
          </w:p>
        </w:tc>
      </w:tr>
      <w:tr>
        <w:tc>
          <w:tcPr>
            <w:tcW w:type="dxa" w:w="2592"/>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19"/>
              </w:rPr>
              <w:t>Marketing Campaign Manager</w:t>
            </w:r>
          </w:p>
        </w:tc>
        <w:tc>
          <w:tcPr>
            <w:tcW w:type="dxa" w:w="316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المشرف على الهوية التجارية وإطلاق الحملات الترويجية.</w:t>
            </w:r>
          </w:p>
        </w:tc>
        <w:tc>
          <w:tcPr>
            <w:tcW w:type="dxa" w:w="3600"/>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ضمان الحفاظ على نبرة الصوت المعتمدة (Brand Tone of Voice) وعدم تقديم وعود تسويقية كاذبة.</w:t>
            </w:r>
          </w:p>
        </w:tc>
      </w:tr>
      <w:tr>
        <w:tc>
          <w:tcPr>
            <w:tcW w:type="dxa" w:w="2592"/>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19"/>
              </w:rPr>
              <w:t>Content Copywriter &amp; Designer</w:t>
            </w:r>
          </w:p>
        </w:tc>
        <w:tc>
          <w:tcPr>
            <w:tcW w:type="dxa" w:w="3168"/>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المستخدم اليومي ومعد المواد الإعلانية والتصاميم.</w:t>
            </w:r>
          </w:p>
        </w:tc>
        <w:tc>
          <w:tcPr>
            <w:tcW w:type="dxa" w:w="3600"/>
            <w:shd w:fill="FFFFFF"/>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توفير بدائل متعددة للنصوص والصور في ثوانٍ معدودة للاختيار منها وتعديلها بسهولة وسرعة.</w:t>
            </w:r>
          </w:p>
        </w:tc>
      </w:tr>
      <w:tr>
        <w:tc>
          <w:tcPr>
            <w:tcW w:type="dxa" w:w="2592"/>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b/>
                <w:color w:val="004D5A"/>
                <w:sz w:val="19"/>
              </w:rPr>
              <w:t>Brand Compliance Officer</w:t>
            </w:r>
          </w:p>
        </w:tc>
        <w:tc>
          <w:tcPr>
            <w:tcW w:type="dxa" w:w="3168"/>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مدقق الشروط والأحكام وسلامة الأسعار والمواصفات.</w:t>
            </w:r>
          </w:p>
        </w:tc>
        <w:tc>
          <w:tcPr>
            <w:tcW w:type="dxa" w:w="3600"/>
            <w:shd w:fill="F9FBFC"/>
            <w:tcMar>
              <w:top w:w="100" w:type="dxa"/>
              <w:bottom w:w="100" w:type="dxa"/>
              <w:left w:w="140" w:type="dxa"/>
              <w:right w:w="140" w:type="dxa"/>
            </w:tcMar>
            <w:tcBorders>
              <w:top w:val="single" w:sz="4" w:space="0" w:color="D0DCDC"/>
              <w:bottom w:val="single" w:sz="4" w:space="0" w:color="D0DCDC"/>
              <w:left w:val="none" w:sz="4" w:space="0" w:color="auto"/>
              <w:right w:val="none" w:sz="4" w:space="0" w:color="auto"/>
            </w:tcBorders>
          </w:tcPr>
          <w:p>
            <w:pPr>
              <w:spacing w:before="40" w:after="40"/>
              <w:jc w:val="right"/>
              <w:bidi w:val="1"/>
            </w:pPr>
            <w:r>
              <w:rPr>
                <w:sz w:val="19"/>
              </w:rPr>
              <w:t>التأكد الصارم من أن جميع الأرقام والأسعار والمزايا مطابقة للمواصفات الرسمية المسجلة في النظام.</w:t>
            </w:r>
          </w:p>
        </w:tc>
      </w:tr>
    </w:tbl>
    <w:p>
      <w:pPr>
        <w:keepNext/>
        <w:bidi w:val="1"/>
        <w:spacing w:before="280" w:after="120"/>
      </w:pPr>
      <w:r>
        <w:rPr>
          <w:b/>
          <w:color w:val="1D7874"/>
          <w:sz w:val="25"/>
        </w:rPr>
        <w:t>3.2 User Stories &amp; Use Cases (قصص المستخدمين وسيناريوهات الاستخدام)</w:t>
      </w:r>
    </w:p>
    <w:tbl>
      <w:tblPr>
        <w:tblW w:type="auto" w:w="0"/>
        <w:jc w:val="center"/>
        <w:tblLook w:firstColumn="1" w:firstRow="1" w:lastColumn="0" w:lastRow="0" w:noHBand="0" w:noVBand="1" w:val="04A0"/>
      </w:tblPr>
      <w:tblGrid>
        <w:gridCol w:w="9360"/>
      </w:tblGrid>
      <w:tr>
        <w:tc>
          <w:tcPr>
            <w:tcW w:type="dxa" w:w="9360"/>
            <w:shd w:fill="F2F7F7"/>
            <w:tcMar>
              <w:top w:w="140" w:type="dxa"/>
              <w:bottom w:w="140" w:type="dxa"/>
              <w:left w:w="180" w:type="dxa"/>
              <w:right w:w="180" w:type="dxa"/>
            </w:tcMar>
            <w:tcBorders>
              <w:top w:val="none" w:sz="4" w:space="0" w:color="auto"/>
              <w:bottom w:val="none" w:sz="4" w:space="0" w:color="auto"/>
              <w:left w:val="none" w:sz="4" w:space="0" w:color="auto"/>
              <w:right w:val="single" w:sz="24" w:space="0" w:color="004D5A"/>
            </w:tcBorders>
          </w:tcPr>
          <w:p>
            <w:pPr>
              <w:spacing w:before="0" w:after="0"/>
              <w:bidi w:val="1"/>
            </w:pPr>
            <w:r>
              <w:rPr>
                <w:b/>
                <w:color w:val="004D5A"/>
                <w:sz w:val="22"/>
              </w:rPr>
              <w:t>قصة المستخدم 1 (إدخال ملخص الحملة):</w:t>
              <w:br/>
            </w:r>
            <w:r>
              <w:rPr>
                <w:color w:val="22252A"/>
                <w:sz w:val="21"/>
              </w:rPr>
              <w:t>بصفتي مسؤول تسويق، أريد إدخال اسم المنتج وهدف الحملة والجمهور المستهدف عبر واجهة مبسطة، لكي يقوم النظام بتوليد خيارات متنوعة من النصوص الإعلانية والتصميمات المتوافقة تلقائياً.</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2F7F7"/>
            <w:tcMar>
              <w:top w:w="140" w:type="dxa"/>
              <w:bottom w:w="140" w:type="dxa"/>
              <w:left w:w="180" w:type="dxa"/>
              <w:right w:w="180" w:type="dxa"/>
            </w:tcMar>
            <w:tcBorders>
              <w:top w:val="none" w:sz="4" w:space="0" w:color="auto"/>
              <w:bottom w:val="none" w:sz="4" w:space="0" w:color="auto"/>
              <w:left w:val="none" w:sz="4" w:space="0" w:color="auto"/>
              <w:right w:val="single" w:sz="24" w:space="0" w:color="004D5A"/>
            </w:tcBorders>
          </w:tcPr>
          <w:p>
            <w:pPr>
              <w:spacing w:before="0" w:after="0"/>
              <w:bidi w:val="1"/>
            </w:pPr>
            <w:r>
              <w:rPr>
                <w:b/>
                <w:color w:val="004D5A"/>
                <w:sz w:val="22"/>
              </w:rPr>
              <w:t>قصة المستخدم 2 (الفحص الصارم ومكافحة التزييف):</w:t>
              <w:br/>
            </w:r>
            <w:r>
              <w:rPr>
                <w:color w:val="22252A"/>
                <w:sz w:val="21"/>
              </w:rPr>
              <w:t>بصفتي مدقق جودة، أريد أن يقوم النظام برفض وتعديل أي نص يحتوي على سعر مغلوط أو كلمات محظورة آلياً، لكي أتجنب الأخطاء دون الحاجة للمراجعة اليدوية المتكررة لكل سطر.</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2F7F7"/>
            <w:tcMar>
              <w:top w:w="140" w:type="dxa"/>
              <w:bottom w:w="140" w:type="dxa"/>
              <w:left w:w="180" w:type="dxa"/>
              <w:right w:w="180" w:type="dxa"/>
            </w:tcMar>
            <w:tcBorders>
              <w:top w:val="none" w:sz="4" w:space="0" w:color="auto"/>
              <w:bottom w:val="none" w:sz="4" w:space="0" w:color="auto"/>
              <w:left w:val="none" w:sz="4" w:space="0" w:color="auto"/>
              <w:right w:val="single" w:sz="24" w:space="0" w:color="004D5A"/>
            </w:tcBorders>
          </w:tcPr>
          <w:p>
            <w:pPr>
              <w:spacing w:before="0" w:after="0"/>
              <w:bidi w:val="1"/>
            </w:pPr>
            <w:r>
              <w:rPr>
                <w:b/>
                <w:color w:val="004D5A"/>
                <w:sz w:val="22"/>
              </w:rPr>
              <w:t>قصة المستخدم 3 (المراجعة البشرية والاعتماد النهائي):</w:t>
              <w:br/>
            </w:r>
            <w:r>
              <w:rPr>
                <w:color w:val="22252A"/>
                <w:sz w:val="21"/>
              </w:rPr>
              <w:t>بصفتي صانع محتوى، أريد استعراض خيارين مختلفين لكل نص وصورة مع تقرير الفحص وملاحظات المطابقة، لكي أعتمد النسخة الأكثر ملائمة للحملة بضغطة زر واحدة وبكل موثوقية.</w:t>
            </w:r>
          </w:p>
        </w:tc>
      </w:tr>
    </w:tbl>
    <w:p>
      <w:pPr>
        <w:spacing w:before="0" w:after="80"/>
      </w:pPr>
    </w:p>
    <w:p>
      <w:pPr>
        <w:keepNext/>
        <w:bidi w:val="1"/>
        <w:spacing w:before="280" w:after="120"/>
      </w:pPr>
      <w:r>
        <w:rPr>
          <w:b/>
          <w:color w:val="1D7874"/>
          <w:sz w:val="25"/>
        </w:rPr>
        <w:t>3.3 Functional Requirements - FR (المتطلبات الوظيفية للنظام)</w:t>
      </w:r>
    </w:p>
    <w:p>
      <w:pPr>
        <w:pStyle w:val="ListBullet"/>
        <w:bidi w:val="1"/>
        <w:spacing w:before="40" w:after="40"/>
      </w:pPr>
      <w:r>
        <w:rPr>
          <w:b/>
          <w:color w:val="004D5A"/>
        </w:rPr>
        <w:t xml:space="preserve">FR-01 (Brief Ingestion): </w:t>
      </w:r>
      <w:r>
        <w:rPr>
          <w:sz w:val="21"/>
        </w:rPr>
        <w:t>استقبال مدخلات الحملة وربطها بالمنتج المختار من كتالوج المنتجات المعتمد بدقة.</w:t>
      </w:r>
    </w:p>
    <w:p>
      <w:pPr>
        <w:pStyle w:val="ListBullet"/>
        <w:bidi w:val="1"/>
        <w:spacing w:before="40" w:after="40"/>
      </w:pPr>
      <w:r>
        <w:rPr>
          <w:b/>
          <w:color w:val="004D5A"/>
        </w:rPr>
        <w:t xml:space="preserve">FR-02 (Multimodal Generation): </w:t>
      </w:r>
      <w:r>
        <w:rPr>
          <w:sz w:val="21"/>
        </w:rPr>
        <w:t>توليد خيارين على الأقل من النصوص الإعلانية وصورتين ترويجيتين متوافقتين لكل طلب عبر نماذج Amazon Bedrock.</w:t>
      </w:r>
    </w:p>
    <w:p>
      <w:pPr>
        <w:pStyle w:val="ListBullet"/>
        <w:bidi w:val="1"/>
        <w:spacing w:before="40" w:after="40"/>
      </w:pPr>
      <w:r>
        <w:rPr>
          <w:b/>
          <w:color w:val="004D5A"/>
        </w:rPr>
        <w:t xml:space="preserve">FR-03 (Automated Price &amp; Specs Check): </w:t>
      </w:r>
      <w:r>
        <w:rPr>
          <w:sz w:val="21"/>
        </w:rPr>
        <w:t>مطابقة الأسعار والخصائص المذكورة في النص آلياً مع قيم الكتالوج المخزن والمحدد مسبقاً.</w:t>
      </w:r>
    </w:p>
    <w:p>
      <w:pPr>
        <w:pStyle w:val="ListBullet"/>
        <w:bidi w:val="1"/>
        <w:spacing w:before="40" w:after="40"/>
      </w:pPr>
      <w:r>
        <w:rPr>
          <w:b/>
          <w:color w:val="004D5A"/>
        </w:rPr>
        <w:t xml:space="preserve">FR-04 (Negative Lexicon Filtering): </w:t>
      </w:r>
      <w:r>
        <w:rPr>
          <w:sz w:val="21"/>
        </w:rPr>
        <w:t>التحقق البرمجي الصارم من خلو النص المولد من قائمة الكلمات والمصطلحات الممنوعة تسويقياً.</w:t>
      </w:r>
    </w:p>
    <w:p>
      <w:pPr>
        <w:pStyle w:val="ListBullet"/>
        <w:bidi w:val="1"/>
        <w:spacing w:before="40" w:after="40"/>
      </w:pPr>
      <w:r>
        <w:rPr>
          <w:b/>
          <w:color w:val="004D5A"/>
        </w:rPr>
        <w:t xml:space="preserve">FR-05 (Image Dimension QA): </w:t>
      </w:r>
      <w:r>
        <w:rPr>
          <w:sz w:val="21"/>
        </w:rPr>
        <w:t>التأكد البرمجي من توافق أبعاد ونسب العرض إلى الارتفاع للصور الناتجة مع المعايير الفنية المطلوبة.</w:t>
      </w:r>
    </w:p>
    <w:p>
      <w:pPr>
        <w:pStyle w:val="ListBullet"/>
        <w:bidi w:val="1"/>
        <w:spacing w:before="40" w:after="40"/>
      </w:pPr>
      <w:r>
        <w:rPr>
          <w:b/>
          <w:color w:val="004D5A"/>
        </w:rPr>
        <w:t xml:space="preserve">FR-06 (Human Review Interface): </w:t>
      </w:r>
      <w:r>
        <w:rPr>
          <w:sz w:val="21"/>
        </w:rPr>
        <w:t>توفير شاشة تفاعلية تتيح للمستخدم اعتماد الإعلان، أو رفضه، أو طلب إعادة توليده مع إرفاق الملاحظات.</w:t>
      </w:r>
    </w:p>
    <w:p>
      <w:pPr>
        <w:pStyle w:val="ListBullet"/>
        <w:bidi w:val="1"/>
        <w:spacing w:before="40" w:after="40"/>
      </w:pPr>
      <w:r>
        <w:rPr>
          <w:b/>
          <w:color w:val="004D5A"/>
        </w:rPr>
        <w:t xml:space="preserve">FR-07 (Audit &amp; Version Logging): </w:t>
      </w:r>
      <w:r>
        <w:rPr>
          <w:sz w:val="21"/>
        </w:rPr>
        <w:t>تسجيل جميع محاولات التوليد، وأسباب الرفض، والنسخ المعتمدة داخل قاعدة بيانات DynamoDB لأغراض التدقيق.</w:t>
      </w:r>
    </w:p>
    <w:p>
      <w:pPr>
        <w:keepNext/>
        <w:bidi w:val="1"/>
        <w:spacing w:before="280" w:after="120"/>
      </w:pPr>
      <w:r>
        <w:rPr>
          <w:b/>
          <w:color w:val="1D7874"/>
          <w:sz w:val="25"/>
        </w:rPr>
        <w:t>3.4 Non-Functional Requirements - NFR (المتطلبات غير الوظيفية للنظام)</w:t>
      </w:r>
    </w:p>
    <w:p>
      <w:pPr>
        <w:pStyle w:val="ListBullet"/>
        <w:bidi w:val="1"/>
        <w:spacing w:before="40" w:after="40"/>
      </w:pPr>
      <w:r>
        <w:rPr>
          <w:b/>
          <w:color w:val="1D7874"/>
        </w:rPr>
        <w:t xml:space="preserve">NFR-01 (Low Latency): </w:t>
      </w:r>
      <w:r>
        <w:rPr>
          <w:sz w:val="21"/>
        </w:rPr>
        <w:t>ألا يتجاوز الزمن الإجمالي لمعالجة وتوليد الخيارات وفحصها 20 ثانية للحفاظ على انسيابية العمل.</w:t>
      </w:r>
    </w:p>
    <w:p>
      <w:pPr>
        <w:pStyle w:val="ListBullet"/>
        <w:bidi w:val="1"/>
        <w:spacing w:before="40" w:after="40"/>
      </w:pPr>
      <w:r>
        <w:rPr>
          <w:b/>
          <w:color w:val="1D7874"/>
        </w:rPr>
        <w:t xml:space="preserve">NFR-02 (Cost Optimization &amp; Serverless): </w:t>
      </w:r>
      <w:r>
        <w:rPr>
          <w:sz w:val="21"/>
        </w:rPr>
        <w:t>اعتماد معمارية خادمة كاملة (AWS Lambda, DynamoDB On-Demand, Bedrock Pay-Per-Token) لضمان انعدام التكلفة أثناء عدم الاستخدام وتفادي تجاوز الميزانية.</w:t>
      </w:r>
    </w:p>
    <w:p>
      <w:pPr>
        <w:pStyle w:val="ListBullet"/>
        <w:bidi w:val="1"/>
        <w:spacing w:before="40" w:after="40"/>
      </w:pPr>
      <w:r>
        <w:rPr>
          <w:b/>
          <w:color w:val="1D7874"/>
        </w:rPr>
        <w:t xml:space="preserve">NFR-03 (Security &amp; Least Privilege): </w:t>
      </w:r>
      <w:r>
        <w:rPr>
          <w:sz w:val="21"/>
        </w:rPr>
        <w:t>تطبيق سياسات أمان IAM محكمة تمنع الوصول غير المصرح به لقواعد البيانات ومفاتيح الخدمات والامتثال لأفضل ممارسات الأمان السحابي.</w:t>
      </w:r>
    </w:p>
    <w:p>
      <w:pPr>
        <w:pStyle w:val="ListBullet"/>
        <w:bidi w:val="1"/>
        <w:spacing w:before="40" w:after="40"/>
      </w:pPr>
      <w:r>
        <w:rPr>
          <w:b/>
          <w:color w:val="1D7874"/>
        </w:rPr>
        <w:t xml:space="preserve">NFR-04 (Usability &amp; Design): </w:t>
      </w:r>
      <w:r>
        <w:rPr>
          <w:sz w:val="21"/>
        </w:rPr>
        <w:t>تصميم واجهة ويب عصرية وبسيطة ومريحة للمستخدمين غير التقنيين (Marketers &amp; Content Creators).</w:t>
      </w:r>
    </w:p>
    <w:p>
      <w:pPr>
        <w:pStyle w:val="ListBullet"/>
        <w:bidi w:val="1"/>
        <w:spacing w:before="40" w:after="40"/>
      </w:pPr>
      <w:r>
        <w:rPr>
          <w:b/>
          <w:color w:val="1D7874"/>
        </w:rPr>
        <w:t xml:space="preserve">NFR-05 (Fault Tolerance &amp; Resilience): </w:t>
      </w:r>
      <w:r>
        <w:rPr>
          <w:sz w:val="21"/>
        </w:rPr>
        <w:t>إدارة تدفق العمليات بواسطة AWS Step Functions مع تفعيل آليات إعادة المحاولة التلقائية (Retry Logic) عند حدوث أي انقطاع مؤقت للخدمات.</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