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6"/>
        </w:rPr>
        <w:t>Literature Review</w:t>
      </w:r>
    </w:p>
    <w:p>
      <w:pPr>
        <w:jc w:val="center"/>
      </w:pPr>
      <w:r>
        <w:rPr>
          <w:color w:val="2F5597"/>
          <w:sz w:val="22"/>
        </w:rPr>
        <w:t>Stage 2 • ML Diploma Graduation Project • Deliverable Template v1.0</w:t>
      </w:r>
    </w:p>
    <w:p>
      <w:pPr>
        <w:jc w:val="center"/>
      </w:pPr>
      <w:r>
        <w:t>Team Skills Dynamix  |  Team No. 178  |  Group ALX5_AIS2_S1  |  Version v1  |  16 October 2026</w:t>
      </w:r>
    </w:p>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17365D"/>
            <w:vAlign w:val="center"/>
            <w:tcMar>
              <w:top w:w="80" w:type="dxa"/>
              <w:start w:w="90" w:type="dxa"/>
              <w:bottom w:w="80" w:type="dxa"/>
              <w:end w:w="90" w:type="dxa"/>
            </w:tcMar>
          </w:tcPr>
          <w:p>
            <w:pPr>
              <w:spacing w:after="0"/>
            </w:pPr>
            <w:r>
              <w:rPr>
                <w:b/>
                <w:color w:val="FFFFFF"/>
                <w:sz w:val="18"/>
              </w:rPr>
              <w:t>Project metadata</w:t>
            </w:r>
          </w:p>
        </w:tc>
        <w:tc>
          <w:tcPr>
            <w:tcW w:type="dxa" w:w="7488"/>
            <w:shd w:fill="17365D"/>
            <w:vAlign w:val="center"/>
            <w:tcMar>
              <w:top w:w="80" w:type="dxa"/>
              <w:start w:w="90" w:type="dxa"/>
              <w:bottom w:w="80" w:type="dxa"/>
              <w:end w:w="90" w:type="dxa"/>
            </w:tcMar>
          </w:tcPr>
          <w:p>
            <w:pPr>
              <w:spacing w:after="0"/>
            </w:pPr>
            <w:r>
              <w:rPr>
                <w:b/>
                <w:color w:val="FFFFFF"/>
                <w:sz w:val="18"/>
              </w:rPr>
              <w:t>Details</w:t>
            </w:r>
          </w:p>
        </w:tc>
      </w:tr>
      <w:tr>
        <w:tc>
          <w:tcPr>
            <w:tcW w:type="dxa" w:w="2880"/>
            <w:vAlign w:val="top"/>
            <w:tcMar>
              <w:top w:w="80" w:type="dxa"/>
              <w:start w:w="90" w:type="dxa"/>
              <w:bottom w:w="80" w:type="dxa"/>
              <w:end w:w="90" w:type="dxa"/>
            </w:tcMar>
          </w:tcPr>
          <w:p>
            <w:pPr>
              <w:spacing w:after="20"/>
            </w:pPr>
            <w:r>
              <w:rPr>
                <w:sz w:val="18"/>
              </w:rPr>
              <w:t>Team name</w:t>
            </w:r>
          </w:p>
        </w:tc>
        <w:tc>
          <w:tcPr>
            <w:tcW w:type="dxa" w:w="7488"/>
            <w:vAlign w:val="top"/>
            <w:tcMar>
              <w:top w:w="80" w:type="dxa"/>
              <w:start w:w="90" w:type="dxa"/>
              <w:bottom w:w="80" w:type="dxa"/>
              <w:end w:w="90" w:type="dxa"/>
            </w:tcMar>
          </w:tcPr>
          <w:p>
            <w:pPr>
              <w:spacing w:after="20"/>
            </w:pPr>
            <w:r>
              <w:rPr>
                <w:sz w:val="18"/>
              </w:rPr>
              <w:t>Skills Dynamix</w:t>
            </w:r>
          </w:p>
        </w:tc>
      </w:tr>
      <w:tr>
        <w:tc>
          <w:tcPr>
            <w:tcW w:type="dxa" w:w="2880"/>
            <w:vAlign w:val="top"/>
            <w:tcMar>
              <w:top w:w="80" w:type="dxa"/>
              <w:start w:w="90" w:type="dxa"/>
              <w:bottom w:w="80" w:type="dxa"/>
              <w:end w:w="90" w:type="dxa"/>
            </w:tcMar>
            <w:shd w:fill="F3F6FA"/>
          </w:tcPr>
          <w:p>
            <w:pPr>
              <w:spacing w:after="20"/>
            </w:pPr>
            <w:r>
              <w:rPr>
                <w:sz w:val="18"/>
              </w:rPr>
              <w:t>Project title</w:t>
            </w:r>
          </w:p>
        </w:tc>
        <w:tc>
          <w:tcPr>
            <w:tcW w:type="dxa" w:w="7488"/>
            <w:vAlign w:val="top"/>
            <w:tcMar>
              <w:top w:w="80" w:type="dxa"/>
              <w:start w:w="90" w:type="dxa"/>
              <w:bottom w:w="80" w:type="dxa"/>
              <w:end w:w="90" w:type="dxa"/>
            </w:tcMar>
            <w:shd w:fill="F3F6FA"/>
          </w:tcPr>
          <w:p>
            <w:pPr>
              <w:spacing w:after="20"/>
            </w:pPr>
            <w:r>
              <w:rPr>
                <w:sz w:val="18"/>
              </w:rPr>
              <w:t>AI Construction Safety Monitor</w:t>
            </w:r>
          </w:p>
        </w:tc>
      </w:tr>
      <w:tr>
        <w:tc>
          <w:tcPr>
            <w:tcW w:type="dxa" w:w="2880"/>
            <w:vAlign w:val="top"/>
            <w:tcMar>
              <w:top w:w="80" w:type="dxa"/>
              <w:start w:w="90" w:type="dxa"/>
              <w:bottom w:w="80" w:type="dxa"/>
              <w:end w:w="90" w:type="dxa"/>
            </w:tcMar>
          </w:tcPr>
          <w:p>
            <w:pPr>
              <w:spacing w:after="20"/>
            </w:pPr>
            <w:r>
              <w:rPr>
                <w:sz w:val="18"/>
              </w:rPr>
              <w:t>Submission date</w:t>
            </w:r>
          </w:p>
        </w:tc>
        <w:tc>
          <w:tcPr>
            <w:tcW w:type="dxa" w:w="7488"/>
            <w:vAlign w:val="top"/>
            <w:tcMar>
              <w:top w:w="80" w:type="dxa"/>
              <w:start w:w="90" w:type="dxa"/>
              <w:bottom w:w="80" w:type="dxa"/>
              <w:end w:w="90" w:type="dxa"/>
            </w:tcMar>
          </w:tcPr>
          <w:p>
            <w:pPr>
              <w:spacing w:after="20"/>
            </w:pPr>
            <w:r>
              <w:t>16 October 2026</w:t>
            </w:r>
          </w:p>
        </w:tc>
      </w:tr>
      <w:tr>
        <w:tc>
          <w:tcPr>
            <w:tcW w:type="dxa" w:w="2880"/>
            <w:vAlign w:val="top"/>
            <w:tcMar>
              <w:top w:w="80" w:type="dxa"/>
              <w:start w:w="90" w:type="dxa"/>
              <w:bottom w:w="80" w:type="dxa"/>
              <w:end w:w="90" w:type="dxa"/>
            </w:tcMar>
            <w:shd w:fill="F3F6FA"/>
          </w:tcPr>
          <w:p>
            <w:pPr>
              <w:spacing w:after="20"/>
            </w:pPr>
            <w:r>
              <w:rPr>
                <w:sz w:val="18"/>
              </w:rPr>
              <w:t>Version</w:t>
            </w:r>
          </w:p>
        </w:tc>
        <w:tc>
          <w:tcPr>
            <w:tcW w:type="dxa" w:w="7488"/>
            <w:vAlign w:val="top"/>
            <w:tcMar>
              <w:top w:w="80" w:type="dxa"/>
              <w:start w:w="90" w:type="dxa"/>
              <w:bottom w:w="80" w:type="dxa"/>
              <w:end w:w="90" w:type="dxa"/>
            </w:tcMar>
            <w:shd w:fill="F3F6FA"/>
          </w:tcPr>
          <w:p>
            <w:pPr>
              <w:spacing w:after="20"/>
            </w:pPr>
            <w:r>
              <w:rPr>
                <w:sz w:val="18"/>
              </w:rPr>
              <w:t>v1</w:t>
            </w:r>
          </w:p>
        </w:tc>
      </w:tr>
    </w:tbl>
    <w:p>
      <w:pPr>
        <w:spacing w:after="0"/>
      </w:pPr>
    </w:p>
    <w:p>
      <w:r>
        <w:t>Research note: sources were searched through web search and checked against publisher, PubMed/PMC, official dataset, or official technical-documentation pages where available. The review includes 7 sources: 4 academic papers/reviews and 3 official technical/dataset sources. Abstract-level metrics are reported only where directly available; review papers are not treated as detector benchmarks.</w:t>
      </w:r>
    </w:p>
    <w:p>
      <w:pPr>
        <w:pStyle w:val="Heading1"/>
      </w:pPr>
      <w:r>
        <w:t>1. Research Questions</w:t>
      </w:r>
    </w:p>
    <w:p>
      <w:pPr>
        <w:pStyle w:val="ListNumber"/>
        <w:spacing w:after="40"/>
      </w:pPr>
      <w:r>
        <w:t>Which object-detection approaches and datasets have been evaluated for construction-site PPE and worker/equipment detection, and what metrics do the studies report?</w:t>
      </w:r>
    </w:p>
    <w:p>
      <w:pPr>
        <w:pStyle w:val="ListNumber"/>
        <w:spacing w:after="40"/>
      </w:pPr>
      <w:r>
        <w:t>What limitations recur in real construction imagery, including low light, small or occluded objects, blur, camera distance and domain shift?</w:t>
      </w:r>
    </w:p>
    <w:p>
      <w:pPr>
        <w:pStyle w:val="ListNumber"/>
        <w:spacing w:after="40"/>
      </w:pPr>
      <w:r>
        <w:t>Which safety events can reasonably be handled through frame-level object detection, and which require additional association, calibration, temporal modelling or specialized labels?</w:t>
      </w:r>
    </w:p>
    <w:p>
      <w:pPr>
        <w:pStyle w:val="ListNumber"/>
        <w:spacing w:after="40"/>
      </w:pPr>
      <w:r>
        <w:t>How should a student prototype balance detection accuracy, inference speed, transparent risk rules and reviewable incident records?</w:t>
      </w:r>
    </w:p>
    <w:p>
      <w:pPr>
        <w:pStyle w:val="Heading1"/>
      </w:pPr>
      <w:r>
        <w:t>2. Search Method</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17365D"/>
            <w:vAlign w:val="center"/>
            <w:tcMar>
              <w:top w:w="80" w:type="dxa"/>
              <w:start w:w="90" w:type="dxa"/>
              <w:bottom w:w="80" w:type="dxa"/>
              <w:end w:w="90" w:type="dxa"/>
            </w:tcMar>
          </w:tcPr>
          <w:p>
            <w:pPr>
              <w:spacing w:after="0"/>
            </w:pPr>
            <w:r>
              <w:rPr>
                <w:b/>
                <w:color w:val="FFFFFF"/>
                <w:sz w:val="16"/>
              </w:rPr>
              <w:t>Field</w:t>
            </w:r>
          </w:p>
        </w:tc>
        <w:tc>
          <w:tcPr>
            <w:tcW w:type="dxa" w:w="8064"/>
            <w:shd w:fill="17365D"/>
            <w:vAlign w:val="center"/>
            <w:tcMar>
              <w:top w:w="80" w:type="dxa"/>
              <w:start w:w="90" w:type="dxa"/>
              <w:bottom w:w="80" w:type="dxa"/>
              <w:end w:w="90" w:type="dxa"/>
            </w:tcMar>
          </w:tcPr>
          <w:p>
            <w:pPr>
              <w:spacing w:after="0"/>
            </w:pPr>
            <w:r>
              <w:rPr>
                <w:b/>
                <w:color w:val="FFFFFF"/>
                <w:sz w:val="16"/>
              </w:rPr>
              <w:t>Method actually used</w:t>
            </w:r>
          </w:p>
        </w:tc>
      </w:tr>
      <w:tr>
        <w:tc>
          <w:tcPr>
            <w:tcW w:type="dxa" w:w="2304"/>
            <w:vAlign w:val="top"/>
            <w:tcMar>
              <w:top w:w="80" w:type="dxa"/>
              <w:start w:w="90" w:type="dxa"/>
              <w:bottom w:w="80" w:type="dxa"/>
              <w:end w:w="90" w:type="dxa"/>
            </w:tcMar>
          </w:tcPr>
          <w:p>
            <w:pPr>
              <w:spacing w:after="20"/>
            </w:pPr>
            <w:r>
              <w:rPr>
                <w:sz w:val="16"/>
              </w:rPr>
              <w:t>Sources searched</w:t>
            </w:r>
          </w:p>
        </w:tc>
        <w:tc>
          <w:tcPr>
            <w:tcW w:type="dxa" w:w="8064"/>
            <w:vAlign w:val="top"/>
            <w:tcMar>
              <w:top w:w="80" w:type="dxa"/>
              <w:start w:w="90" w:type="dxa"/>
              <w:bottom w:w="80" w:type="dxa"/>
              <w:end w:w="90" w:type="dxa"/>
            </w:tcMar>
          </w:tcPr>
          <w:p>
            <w:pPr>
              <w:spacing w:after="20"/>
            </w:pPr>
            <w:r>
              <w:rPr>
                <w:sz w:val="16"/>
              </w:rPr>
              <w:t>Web search targeting publisher pages (MDPI, PeerJ/PMC, Elsevier/ScienceDirect, Oxford Academic, Emerald), PubMed, official dataset repositories, and Ultralytics documentation.</w:t>
            </w:r>
          </w:p>
        </w:tc>
      </w:tr>
      <w:tr>
        <w:tc>
          <w:tcPr>
            <w:tcW w:type="dxa" w:w="2304"/>
            <w:vAlign w:val="top"/>
            <w:tcMar>
              <w:top w:w="80" w:type="dxa"/>
              <w:start w:w="90" w:type="dxa"/>
              <w:bottom w:w="80" w:type="dxa"/>
              <w:end w:w="90" w:type="dxa"/>
            </w:tcMar>
            <w:shd w:fill="F3F6FA"/>
          </w:tcPr>
          <w:p>
            <w:pPr>
              <w:spacing w:after="20"/>
            </w:pPr>
            <w:r>
              <w:rPr>
                <w:sz w:val="16"/>
              </w:rPr>
              <w:t>Keywords used</w:t>
            </w:r>
          </w:p>
        </w:tc>
        <w:tc>
          <w:tcPr>
            <w:tcW w:type="dxa" w:w="8064"/>
            <w:vAlign w:val="top"/>
            <w:tcMar>
              <w:top w:w="80" w:type="dxa"/>
              <w:start w:w="90" w:type="dxa"/>
              <w:bottom w:w="80" w:type="dxa"/>
              <w:end w:w="90" w:type="dxa"/>
            </w:tcMar>
            <w:shd w:fill="F3F6FA"/>
          </w:tcPr>
          <w:p>
            <w:pPr>
              <w:spacing w:after="20"/>
            </w:pPr>
            <w:r>
              <w:rPr>
                <w:sz w:val="16"/>
              </w:rPr>
              <w:t>“construction site safety computer vision review”; “PPE detection YOLO construction site dataset”; “CHV dataset PPE mAP”; “YOLOX PPE detector CHVG”; “construction worker fall detection computer vision”; “SHWD safety helmet wearing dataset”; “Ultralytics precision recall mAP.”</w:t>
            </w:r>
          </w:p>
        </w:tc>
      </w:tr>
      <w:tr>
        <w:tc>
          <w:tcPr>
            <w:tcW w:type="dxa" w:w="2304"/>
            <w:vAlign w:val="top"/>
            <w:tcMar>
              <w:top w:w="80" w:type="dxa"/>
              <w:start w:w="90" w:type="dxa"/>
              <w:bottom w:w="80" w:type="dxa"/>
              <w:end w:w="90" w:type="dxa"/>
            </w:tcMar>
          </w:tcPr>
          <w:p>
            <w:pPr>
              <w:spacing w:after="20"/>
            </w:pPr>
            <w:r>
              <w:rPr>
                <w:sz w:val="16"/>
              </w:rPr>
              <w:t>Date range</w:t>
            </w:r>
          </w:p>
        </w:tc>
        <w:tc>
          <w:tcPr>
            <w:tcW w:type="dxa" w:w="8064"/>
            <w:vAlign w:val="top"/>
            <w:tcMar>
              <w:top w:w="80" w:type="dxa"/>
              <w:start w:w="90" w:type="dxa"/>
              <w:bottom w:w="80" w:type="dxa"/>
              <w:end w:w="90" w:type="dxa"/>
            </w:tcMar>
          </w:tcPr>
          <w:p>
            <w:pPr>
              <w:spacing w:after="20"/>
            </w:pPr>
            <w:r>
              <w:t>Primarily 2020–2026 for research papers, plus foundational dataset/documentation pages. Search performed 16 October 2026.</w:t>
            </w:r>
          </w:p>
        </w:tc>
      </w:tr>
      <w:tr>
        <w:tc>
          <w:tcPr>
            <w:tcW w:type="dxa" w:w="2304"/>
            <w:vAlign w:val="top"/>
            <w:tcMar>
              <w:top w:w="80" w:type="dxa"/>
              <w:start w:w="90" w:type="dxa"/>
              <w:bottom w:w="80" w:type="dxa"/>
              <w:end w:w="90" w:type="dxa"/>
            </w:tcMar>
            <w:shd w:fill="F3F6FA"/>
          </w:tcPr>
          <w:p>
            <w:pPr>
              <w:spacing w:after="20"/>
            </w:pPr>
            <w:r>
              <w:rPr>
                <w:sz w:val="16"/>
              </w:rPr>
              <w:t>Inclusion criteria</w:t>
            </w:r>
          </w:p>
        </w:tc>
        <w:tc>
          <w:tcPr>
            <w:tcW w:type="dxa" w:w="8064"/>
            <w:vAlign w:val="top"/>
            <w:tcMar>
              <w:top w:w="80" w:type="dxa"/>
              <w:start w:w="90" w:type="dxa"/>
              <w:bottom w:w="80" w:type="dxa"/>
              <w:end w:w="90" w:type="dxa"/>
            </w:tcMar>
            <w:shd w:fill="F3F6FA"/>
          </w:tcPr>
          <w:p>
            <w:pPr>
              <w:spacing w:after="20"/>
            </w:pPr>
            <w:r>
              <w:rPr>
                <w:sz w:val="16"/>
              </w:rPr>
              <w:t>Direct relevance to construction safety/PPE or worker/equipment monitoring; identifiable original publisher or repository; method/data/limitation information; sources with stable DOI or official URL preferred.</w:t>
            </w:r>
          </w:p>
        </w:tc>
      </w:tr>
      <w:tr>
        <w:tc>
          <w:tcPr>
            <w:tcW w:type="dxa" w:w="2304"/>
            <w:vAlign w:val="top"/>
            <w:tcMar>
              <w:top w:w="80" w:type="dxa"/>
              <w:start w:w="90" w:type="dxa"/>
              <w:bottom w:w="80" w:type="dxa"/>
              <w:end w:w="90" w:type="dxa"/>
            </w:tcMar>
          </w:tcPr>
          <w:p>
            <w:pPr>
              <w:spacing w:after="20"/>
            </w:pPr>
            <w:r>
              <w:rPr>
                <w:sz w:val="16"/>
              </w:rPr>
              <w:t>Sources found / selected</w:t>
            </w:r>
          </w:p>
        </w:tc>
        <w:tc>
          <w:tcPr>
            <w:tcW w:type="dxa" w:w="8064"/>
            <w:vAlign w:val="top"/>
            <w:tcMar>
              <w:top w:w="80" w:type="dxa"/>
              <w:start w:w="90" w:type="dxa"/>
              <w:bottom w:w="80" w:type="dxa"/>
              <w:end w:w="90" w:type="dxa"/>
            </w:tcMar>
          </w:tcPr>
          <w:p>
            <w:pPr>
              <w:spacing w:after="20"/>
            </w:pPr>
            <w:r>
              <w:rPr>
                <w:sz w:val="16"/>
              </w:rPr>
              <w:t>10 selected sources: 7 academic papers/reviews and 3 official dataset/software documentation sources. This is a focused project review, not a fully systematic review.</w:t>
            </w:r>
          </w:p>
        </w:tc>
      </w:tr>
    </w:tbl>
    <w:p>
      <w:pPr>
        <w:spacing w:after="0"/>
      </w:pPr>
    </w:p>
    <w:p>
      <w:pPr>
        <w:pStyle w:val="Heading1"/>
        <w:pageBreakBefore w:val="0"/>
      </w:pPr>
      <w:r>
        <w:t>3. Related Work Summary</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rPr>
          <w:tblHeader w:val="true"/>
        </w:trPr>
        <w:tc>
          <w:tcPr>
            <w:tcW w:type="dxa" w:w="432"/>
            <w:shd w:fill="17365D"/>
            <w:vAlign w:val="center"/>
            <w:tcMar>
              <w:top w:w="80" w:type="dxa"/>
              <w:start w:w="90" w:type="dxa"/>
              <w:bottom w:w="80" w:type="dxa"/>
              <w:end w:w="90" w:type="dxa"/>
            </w:tcMar>
          </w:tcPr>
          <w:p>
            <w:pPr>
              <w:spacing w:after="0"/>
            </w:pPr>
            <w:r>
              <w:rPr>
                <w:b/>
                <w:color w:val="FFFFFF"/>
                <w:sz w:val="14"/>
              </w:rPr>
              <w:t>#</w:t>
            </w:r>
          </w:p>
        </w:tc>
        <w:tc>
          <w:tcPr>
            <w:tcW w:type="dxa" w:w="2016"/>
            <w:shd w:fill="17365D"/>
            <w:vAlign w:val="center"/>
            <w:tcMar>
              <w:top w:w="80" w:type="dxa"/>
              <w:start w:w="90" w:type="dxa"/>
              <w:bottom w:w="80" w:type="dxa"/>
              <w:end w:w="90" w:type="dxa"/>
            </w:tcMar>
          </w:tcPr>
          <w:p>
            <w:pPr>
              <w:spacing w:after="0"/>
            </w:pPr>
            <w:r>
              <w:rPr>
                <w:b/>
                <w:color w:val="FFFFFF"/>
                <w:sz w:val="14"/>
              </w:rPr>
              <w:t>Reference (authors, year, title)</w:t>
            </w:r>
          </w:p>
        </w:tc>
        <w:tc>
          <w:tcPr>
            <w:tcW w:type="dxa" w:w="1512"/>
            <w:shd w:fill="17365D"/>
            <w:vAlign w:val="center"/>
            <w:tcMar>
              <w:top w:w="80" w:type="dxa"/>
              <w:start w:w="90" w:type="dxa"/>
              <w:bottom w:w="80" w:type="dxa"/>
              <w:end w:w="90" w:type="dxa"/>
            </w:tcMar>
          </w:tcPr>
          <w:p>
            <w:pPr>
              <w:spacing w:after="0"/>
            </w:pPr>
            <w:r>
              <w:rPr>
                <w:b/>
                <w:color w:val="FFFFFF"/>
                <w:sz w:val="14"/>
              </w:rPr>
              <w:t>Dataset</w:t>
            </w:r>
          </w:p>
        </w:tc>
        <w:tc>
          <w:tcPr>
            <w:tcW w:type="dxa" w:w="1512"/>
            <w:shd w:fill="17365D"/>
            <w:vAlign w:val="center"/>
            <w:tcMar>
              <w:top w:w="80" w:type="dxa"/>
              <w:start w:w="90" w:type="dxa"/>
              <w:bottom w:w="80" w:type="dxa"/>
              <w:end w:w="90" w:type="dxa"/>
            </w:tcMar>
          </w:tcPr>
          <w:p>
            <w:pPr>
              <w:spacing w:after="0"/>
            </w:pPr>
            <w:r>
              <w:rPr>
                <w:b/>
                <w:color w:val="FFFFFF"/>
                <w:sz w:val="14"/>
              </w:rPr>
              <w:t>Method</w:t>
            </w:r>
          </w:p>
        </w:tc>
        <w:tc>
          <w:tcPr>
            <w:tcW w:type="dxa" w:w="1728"/>
            <w:shd w:fill="17365D"/>
            <w:vAlign w:val="center"/>
            <w:tcMar>
              <w:top w:w="80" w:type="dxa"/>
              <w:start w:w="90" w:type="dxa"/>
              <w:bottom w:w="80" w:type="dxa"/>
              <w:end w:w="90" w:type="dxa"/>
            </w:tcMar>
          </w:tcPr>
          <w:p>
            <w:pPr>
              <w:spacing w:after="0"/>
            </w:pPr>
            <w:r>
              <w:rPr>
                <w:b/>
                <w:color w:val="FFFFFF"/>
                <w:sz w:val="14"/>
              </w:rPr>
              <w:t>Results (metric and value / scope)</w:t>
            </w:r>
          </w:p>
        </w:tc>
        <w:tc>
          <w:tcPr>
            <w:tcW w:type="dxa" w:w="1800"/>
            <w:shd w:fill="17365D"/>
            <w:vAlign w:val="center"/>
            <w:tcMar>
              <w:top w:w="80" w:type="dxa"/>
              <w:start w:w="90" w:type="dxa"/>
              <w:bottom w:w="80" w:type="dxa"/>
              <w:end w:w="90" w:type="dxa"/>
            </w:tcMar>
          </w:tcPr>
          <w:p>
            <w:pPr>
              <w:spacing w:after="0"/>
            </w:pPr>
            <w:r>
              <w:rPr>
                <w:b/>
                <w:color w:val="FFFFFF"/>
                <w:sz w:val="14"/>
              </w:rPr>
              <w:t>Limitations</w:t>
            </w:r>
          </w:p>
        </w:tc>
        <w:tc>
          <w:tcPr>
            <w:tcW w:type="dxa" w:w="1800"/>
            <w:shd w:fill="17365D"/>
            <w:vAlign w:val="center"/>
            <w:tcMar>
              <w:top w:w="80" w:type="dxa"/>
              <w:start w:w="90" w:type="dxa"/>
              <w:bottom w:w="80" w:type="dxa"/>
              <w:end w:w="90" w:type="dxa"/>
            </w:tcMar>
          </w:tcPr>
          <w:p>
            <w:pPr>
              <w:spacing w:after="0"/>
            </w:pPr>
            <w:r>
              <w:rPr>
                <w:b/>
                <w:color w:val="FFFFFF"/>
                <w:sz w:val="14"/>
              </w:rPr>
              <w:t>Relevance to us</w:t>
            </w:r>
          </w:p>
        </w:tc>
      </w:tr>
      <w:tr>
        <w:tc>
          <w:tcPr>
            <w:tcW w:type="dxa" w:w="432"/>
            <w:vAlign w:val="top"/>
            <w:tcMar>
              <w:top w:w="80" w:type="dxa"/>
              <w:start w:w="90" w:type="dxa"/>
              <w:bottom w:w="80" w:type="dxa"/>
              <w:end w:w="90" w:type="dxa"/>
            </w:tcMar>
          </w:tcPr>
          <w:p>
            <w:pPr>
              <w:spacing w:after="20"/>
            </w:pPr>
            <w:r>
              <w:rPr>
                <w:sz w:val="14"/>
              </w:rPr>
              <w:t>1</w:t>
            </w:r>
          </w:p>
        </w:tc>
        <w:tc>
          <w:tcPr>
            <w:tcW w:type="dxa" w:w="2016"/>
            <w:vAlign w:val="top"/>
            <w:tcMar>
              <w:top w:w="80" w:type="dxa"/>
              <w:start w:w="90" w:type="dxa"/>
              <w:bottom w:w="80" w:type="dxa"/>
              <w:end w:w="90" w:type="dxa"/>
            </w:tcMar>
          </w:tcPr>
          <w:p>
            <w:pPr>
              <w:spacing w:after="20"/>
            </w:pPr>
            <w:r>
              <w:rPr>
                <w:sz w:val="14"/>
              </w:rPr>
              <w:t>Wang et al. (2021), Fast Personal Protective Equipment Detection for Real Construction Sites Using Deep Learning Approaches</w:t>
            </w:r>
          </w:p>
        </w:tc>
        <w:tc>
          <w:tcPr>
            <w:tcW w:type="dxa" w:w="1512"/>
            <w:vAlign w:val="top"/>
            <w:tcMar>
              <w:top w:w="80" w:type="dxa"/>
              <w:start w:w="90" w:type="dxa"/>
              <w:bottom w:w="80" w:type="dxa"/>
              <w:end w:w="90" w:type="dxa"/>
            </w:tcMar>
          </w:tcPr>
          <w:p>
            <w:pPr>
              <w:spacing w:after="20"/>
            </w:pPr>
            <w:r>
              <w:rPr>
                <w:sz w:val="14"/>
              </w:rPr>
              <w:t>CHV; 1,330 images</w:t>
            </w:r>
          </w:p>
        </w:tc>
        <w:tc>
          <w:tcPr>
            <w:tcW w:type="dxa" w:w="1512"/>
            <w:vAlign w:val="top"/>
            <w:tcMar>
              <w:top w:w="80" w:type="dxa"/>
              <w:start w:w="90" w:type="dxa"/>
              <w:bottom w:w="80" w:type="dxa"/>
              <w:end w:w="90" w:type="dxa"/>
            </w:tcMar>
          </w:tcPr>
          <w:p>
            <w:pPr>
              <w:spacing w:after="20"/>
            </w:pPr>
            <w:r>
              <w:rPr>
                <w:sz w:val="14"/>
              </w:rPr>
              <w:t>Compared 8 YOLO-based detectors across 6 classes</w:t>
            </w:r>
          </w:p>
        </w:tc>
        <w:tc>
          <w:tcPr>
            <w:tcW w:type="dxa" w:w="1728"/>
            <w:vAlign w:val="top"/>
            <w:tcMar>
              <w:top w:w="80" w:type="dxa"/>
              <w:start w:w="90" w:type="dxa"/>
              <w:bottom w:w="80" w:type="dxa"/>
              <w:end w:w="90" w:type="dxa"/>
            </w:tcMar>
          </w:tcPr>
          <w:p>
            <w:pPr>
              <w:spacing w:after="20"/>
            </w:pPr>
            <w:r>
              <w:rPr>
                <w:sz w:val="14"/>
              </w:rPr>
              <w:t>Best reported mAP = 86.55% (YOLOv5x); fastest reported speed = 52 FPS (YOLOv5s, GPU)</w:t>
            </w:r>
          </w:p>
        </w:tc>
        <w:tc>
          <w:tcPr>
            <w:tcW w:type="dxa" w:w="1800"/>
            <w:vAlign w:val="top"/>
            <w:tcMar>
              <w:top w:w="80" w:type="dxa"/>
              <w:start w:w="90" w:type="dxa"/>
              <w:bottom w:w="80" w:type="dxa"/>
              <w:end w:w="90" w:type="dxa"/>
            </w:tcMar>
          </w:tcPr>
          <w:p>
            <w:pPr>
              <w:spacing w:after="20"/>
            </w:pPr>
            <w:r>
              <w:rPr>
                <w:sz w:val="14"/>
              </w:rPr>
              <w:t>Helmet detection accuracy fell by 7% on blurred faces; small dedicated dataset and hardware-dependent speed.</w:t>
            </w:r>
          </w:p>
        </w:tc>
        <w:tc>
          <w:tcPr>
            <w:tcW w:type="dxa" w:w="1800"/>
            <w:vAlign w:val="top"/>
            <w:tcMar>
              <w:top w:w="80" w:type="dxa"/>
              <w:start w:w="90" w:type="dxa"/>
              <w:bottom w:w="80" w:type="dxa"/>
              <w:end w:w="90" w:type="dxa"/>
            </w:tcMar>
          </w:tcPr>
          <w:p>
            <w:pPr>
              <w:spacing w:after="20"/>
            </w:pPr>
            <w:r>
              <w:rPr>
                <w:sz w:val="14"/>
              </w:rPr>
              <w:t>Directly informs lightweight-versus-accuracy trade-off and need to test blur.</w:t>
            </w:r>
          </w:p>
        </w:tc>
      </w:tr>
      <w:tr>
        <w:tc>
          <w:tcPr>
            <w:tcW w:type="dxa" w:w="432"/>
            <w:vAlign w:val="top"/>
            <w:tcMar>
              <w:top w:w="80" w:type="dxa"/>
              <w:start w:w="90" w:type="dxa"/>
              <w:bottom w:w="80" w:type="dxa"/>
              <w:end w:w="90" w:type="dxa"/>
            </w:tcMar>
            <w:shd w:fill="F3F6FA"/>
          </w:tcPr>
          <w:p>
            <w:pPr>
              <w:spacing w:after="20"/>
            </w:pPr>
            <w:r>
              <w:rPr>
                <w:sz w:val="14"/>
              </w:rPr>
              <w:t>2</w:t>
            </w:r>
          </w:p>
        </w:tc>
        <w:tc>
          <w:tcPr>
            <w:tcW w:type="dxa" w:w="2016"/>
            <w:vAlign w:val="top"/>
            <w:tcMar>
              <w:top w:w="80" w:type="dxa"/>
              <w:start w:w="90" w:type="dxa"/>
              <w:bottom w:w="80" w:type="dxa"/>
              <w:end w:w="90" w:type="dxa"/>
            </w:tcMar>
            <w:shd w:fill="F3F6FA"/>
          </w:tcPr>
          <w:p>
            <w:pPr>
              <w:spacing w:after="20"/>
            </w:pPr>
            <w:r>
              <w:rPr>
                <w:sz w:val="14"/>
              </w:rPr>
              <w:t>Ferdous &amp; Ahsan (2022), PPE detector: a YOLO-based architecture to detect PPE for construction sites</w:t>
            </w:r>
          </w:p>
        </w:tc>
        <w:tc>
          <w:tcPr>
            <w:tcW w:type="dxa" w:w="1512"/>
            <w:vAlign w:val="top"/>
            <w:tcMar>
              <w:top w:w="80" w:type="dxa"/>
              <w:start w:w="90" w:type="dxa"/>
              <w:bottom w:w="80" w:type="dxa"/>
              <w:end w:w="90" w:type="dxa"/>
            </w:tcMar>
            <w:shd w:fill="F3F6FA"/>
          </w:tcPr>
          <w:p>
            <w:pPr>
              <w:spacing w:after="20"/>
            </w:pPr>
            <w:r>
              <w:rPr>
                <w:sz w:val="14"/>
              </w:rPr>
              <w:t>CHVG; 1,699 images; 8 classes</w:t>
            </w:r>
          </w:p>
        </w:tc>
        <w:tc>
          <w:tcPr>
            <w:tcW w:type="dxa" w:w="1512"/>
            <w:vAlign w:val="top"/>
            <w:tcMar>
              <w:top w:w="80" w:type="dxa"/>
              <w:start w:w="90" w:type="dxa"/>
              <w:bottom w:w="80" w:type="dxa"/>
              <w:end w:w="90" w:type="dxa"/>
            </w:tcMar>
            <w:shd w:fill="F3F6FA"/>
          </w:tcPr>
          <w:p>
            <w:pPr>
              <w:spacing w:after="20"/>
            </w:pPr>
            <w:r>
              <w:rPr>
                <w:sz w:val="14"/>
              </w:rPr>
              <w:t>YOLOX family; anchor-free detector</w:t>
            </w:r>
          </w:p>
        </w:tc>
        <w:tc>
          <w:tcPr>
            <w:tcW w:type="dxa" w:w="1728"/>
            <w:vAlign w:val="top"/>
            <w:tcMar>
              <w:top w:w="80" w:type="dxa"/>
              <w:start w:w="90" w:type="dxa"/>
              <w:bottom w:w="80" w:type="dxa"/>
              <w:end w:w="90" w:type="dxa"/>
            </w:tcMar>
            <w:shd w:fill="F3F6FA"/>
          </w:tcPr>
          <w:p>
            <w:pPr>
              <w:spacing w:after="20"/>
            </w:pPr>
            <w:r>
              <w:rPr>
                <w:sz w:val="14"/>
              </w:rPr>
              <w:t>Best reported mAP = 89.84% (YOLOX-m)</w:t>
            </w:r>
          </w:p>
        </w:tc>
        <w:tc>
          <w:tcPr>
            <w:tcW w:type="dxa" w:w="1800"/>
            <w:vAlign w:val="top"/>
            <w:tcMar>
              <w:top w:w="80" w:type="dxa"/>
              <w:start w:w="90" w:type="dxa"/>
              <w:bottom w:w="80" w:type="dxa"/>
              <w:end w:w="90" w:type="dxa"/>
            </w:tcMar>
            <w:shd w:fill="F3F6FA"/>
          </w:tcPr>
          <w:p>
            <w:pPr>
              <w:spacing w:after="20"/>
            </w:pPr>
            <w:r>
              <w:rPr>
                <w:sz w:val="14"/>
              </w:rPr>
              <w:t>Dataset is relatively small; results are dataset-specific and do not prove generalization to all camera views.</w:t>
            </w:r>
          </w:p>
        </w:tc>
        <w:tc>
          <w:tcPr>
            <w:tcW w:type="dxa" w:w="1800"/>
            <w:vAlign w:val="top"/>
            <w:tcMar>
              <w:top w:w="80" w:type="dxa"/>
              <w:start w:w="90" w:type="dxa"/>
              <w:bottom w:w="80" w:type="dxa"/>
              <w:end w:w="90" w:type="dxa"/>
            </w:tcMar>
            <w:shd w:fill="F3F6FA"/>
          </w:tcPr>
          <w:p>
            <w:pPr>
              <w:spacing w:after="20"/>
            </w:pPr>
            <w:r>
              <w:rPr>
                <w:sz w:val="14"/>
              </w:rPr>
              <w:t>Useful comparison and evidence that helmet/vest/head classes require explicit annotation.</w:t>
            </w:r>
          </w:p>
        </w:tc>
      </w:tr>
      <w:tr>
        <w:tc>
          <w:tcPr>
            <w:tcW w:type="dxa" w:w="432"/>
            <w:vAlign w:val="top"/>
            <w:tcMar>
              <w:top w:w="80" w:type="dxa"/>
              <w:start w:w="90" w:type="dxa"/>
              <w:bottom w:w="80" w:type="dxa"/>
              <w:end w:w="90" w:type="dxa"/>
            </w:tcMar>
          </w:tcPr>
          <w:p>
            <w:pPr>
              <w:spacing w:after="20"/>
            </w:pPr>
            <w:r>
              <w:rPr>
                <w:sz w:val="14"/>
              </w:rPr>
              <w:t>3</w:t>
            </w:r>
          </w:p>
        </w:tc>
        <w:tc>
          <w:tcPr>
            <w:tcW w:type="dxa" w:w="2016"/>
            <w:vAlign w:val="top"/>
            <w:tcMar>
              <w:top w:w="80" w:type="dxa"/>
              <w:start w:w="90" w:type="dxa"/>
              <w:bottom w:w="80" w:type="dxa"/>
              <w:end w:w="90" w:type="dxa"/>
            </w:tcMar>
          </w:tcPr>
          <w:p>
            <w:pPr>
              <w:spacing w:after="20"/>
            </w:pPr>
            <w:r>
              <w:rPr>
                <w:sz w:val="14"/>
              </w:rPr>
              <w:t>Wang et al. (2023), An improved YOLOX approach for low-light and small object detection: PPE on tunnel construction sites</w:t>
            </w:r>
          </w:p>
        </w:tc>
        <w:tc>
          <w:tcPr>
            <w:tcW w:type="dxa" w:w="1512"/>
            <w:vAlign w:val="top"/>
            <w:tcMar>
              <w:top w:w="80" w:type="dxa"/>
              <w:start w:w="90" w:type="dxa"/>
              <w:bottom w:w="80" w:type="dxa"/>
              <w:end w:w="90" w:type="dxa"/>
            </w:tcMar>
          </w:tcPr>
          <w:p>
            <w:pPr>
              <w:spacing w:after="20"/>
            </w:pPr>
            <w:r>
              <w:rPr>
                <w:sz w:val="14"/>
              </w:rPr>
              <w:t>New tunnel-site PPE dataset (paper-specific)</w:t>
            </w:r>
          </w:p>
        </w:tc>
        <w:tc>
          <w:tcPr>
            <w:tcW w:type="dxa" w:w="1512"/>
            <w:vAlign w:val="top"/>
            <w:tcMar>
              <w:top w:w="80" w:type="dxa"/>
              <w:start w:w="90" w:type="dxa"/>
              <w:bottom w:w="80" w:type="dxa"/>
              <w:end w:w="90" w:type="dxa"/>
            </w:tcMar>
          </w:tcPr>
          <w:p>
            <w:pPr>
              <w:spacing w:after="20"/>
            </w:pPr>
            <w:r>
              <w:rPr>
                <w:sz w:val="14"/>
              </w:rPr>
              <w:t>Improved YOLOX; ConvNeXt modules, extra detection head, CLAHE preprocessing</w:t>
            </w:r>
          </w:p>
        </w:tc>
        <w:tc>
          <w:tcPr>
            <w:tcW w:type="dxa" w:w="1728"/>
            <w:vAlign w:val="top"/>
            <w:tcMar>
              <w:top w:w="80" w:type="dxa"/>
              <w:start w:w="90" w:type="dxa"/>
              <w:bottom w:w="80" w:type="dxa"/>
              <w:end w:w="90" w:type="dxa"/>
            </w:tcMar>
          </w:tcPr>
          <w:p>
            <w:pPr>
              <w:spacing w:after="20"/>
            </w:pPr>
            <w:r>
              <w:rPr>
                <w:sz w:val="14"/>
              </w:rPr>
              <w:t>mAP = 86.94%; reported +4.23 percentage points over original model</w:t>
            </w:r>
          </w:p>
        </w:tc>
        <w:tc>
          <w:tcPr>
            <w:tcW w:type="dxa" w:w="1800"/>
            <w:vAlign w:val="top"/>
            <w:tcMar>
              <w:top w:w="80" w:type="dxa"/>
              <w:start w:w="90" w:type="dxa"/>
              <w:bottom w:w="80" w:type="dxa"/>
              <w:end w:w="90" w:type="dxa"/>
            </w:tcMar>
          </w:tcPr>
          <w:p>
            <w:pPr>
              <w:spacing w:after="20"/>
            </w:pPr>
            <w:r>
              <w:rPr>
                <w:sz w:val="14"/>
              </w:rPr>
              <w:t>Specialized tunnel/low-light setting; added complexity and dataset conditions may not transfer to general sites.</w:t>
            </w:r>
          </w:p>
        </w:tc>
        <w:tc>
          <w:tcPr>
            <w:tcW w:type="dxa" w:w="1800"/>
            <w:vAlign w:val="top"/>
            <w:tcMar>
              <w:top w:w="80" w:type="dxa"/>
              <w:start w:w="90" w:type="dxa"/>
              <w:bottom w:w="80" w:type="dxa"/>
              <w:end w:w="90" w:type="dxa"/>
            </w:tcMar>
          </w:tcPr>
          <w:p>
            <w:pPr>
              <w:spacing w:after="20"/>
            </w:pPr>
            <w:r>
              <w:rPr>
                <w:sz w:val="14"/>
              </w:rPr>
              <w:t>Supports testing illumination and small-object failure cases before adding complexity.</w:t>
            </w:r>
          </w:p>
        </w:tc>
      </w:tr>
      <w:tr>
        <w:tc>
          <w:tcPr>
            <w:tcW w:type="dxa" w:w="432"/>
            <w:vAlign w:val="top"/>
            <w:tcMar>
              <w:top w:w="80" w:type="dxa"/>
              <w:start w:w="90" w:type="dxa"/>
              <w:bottom w:w="80" w:type="dxa"/>
              <w:end w:w="90" w:type="dxa"/>
            </w:tcMar>
            <w:shd w:fill="F3F6FA"/>
          </w:tcPr>
          <w:p>
            <w:pPr>
              <w:spacing w:after="20"/>
            </w:pPr>
            <w:r>
              <w:rPr>
                <w:sz w:val="14"/>
              </w:rPr>
              <w:t>6</w:t>
            </w:r>
          </w:p>
        </w:tc>
        <w:tc>
          <w:tcPr>
            <w:tcW w:type="dxa" w:w="2016"/>
            <w:vAlign w:val="top"/>
            <w:tcMar>
              <w:top w:w="80" w:type="dxa"/>
              <w:start w:w="90" w:type="dxa"/>
              <w:bottom w:w="80" w:type="dxa"/>
              <w:end w:w="90" w:type="dxa"/>
            </w:tcMar>
            <w:shd w:fill="F3F6FA"/>
          </w:tcPr>
          <w:p>
            <w:pPr>
              <w:spacing w:after="20"/>
            </w:pPr>
            <w:r>
              <w:rPr>
                <w:sz w:val="14"/>
              </w:rPr>
              <w:t>Applications of Computer Vision in Monitoring the Unsafe Behavior of Construction Workers: Current Status and Challenges (Buildings, 2021)</w:t>
            </w:r>
          </w:p>
        </w:tc>
        <w:tc>
          <w:tcPr>
            <w:tcW w:type="dxa" w:w="1512"/>
            <w:vAlign w:val="top"/>
            <w:tcMar>
              <w:top w:w="80" w:type="dxa"/>
              <w:start w:w="90" w:type="dxa"/>
              <w:bottom w:w="80" w:type="dxa"/>
              <w:end w:w="90" w:type="dxa"/>
            </w:tcMar>
            <w:shd w:fill="F3F6FA"/>
          </w:tcPr>
          <w:p>
            <w:pPr>
              <w:spacing w:after="20"/>
            </w:pPr>
            <w:r>
              <w:rPr>
                <w:sz w:val="14"/>
              </w:rPr>
              <w:t>Prior unsafe-behaviour CV studies</w:t>
            </w:r>
          </w:p>
        </w:tc>
        <w:tc>
          <w:tcPr>
            <w:tcW w:type="dxa" w:w="1512"/>
            <w:vAlign w:val="top"/>
            <w:tcMar>
              <w:top w:w="80" w:type="dxa"/>
              <w:start w:w="90" w:type="dxa"/>
              <w:bottom w:w="80" w:type="dxa"/>
              <w:end w:w="90" w:type="dxa"/>
            </w:tcMar>
            <w:shd w:fill="F3F6FA"/>
          </w:tcPr>
          <w:p>
            <w:pPr>
              <w:spacing w:after="20"/>
            </w:pPr>
            <w:r>
              <w:rPr>
                <w:sz w:val="14"/>
              </w:rPr>
              <w:t>Review of visual monitoring approaches</w:t>
            </w:r>
          </w:p>
        </w:tc>
        <w:tc>
          <w:tcPr>
            <w:tcW w:type="dxa" w:w="1728"/>
            <w:vAlign w:val="top"/>
            <w:tcMar>
              <w:top w:w="80" w:type="dxa"/>
              <w:start w:w="90" w:type="dxa"/>
              <w:bottom w:w="80" w:type="dxa"/>
              <w:end w:w="90" w:type="dxa"/>
            </w:tcMar>
            <w:shd w:fill="F3F6FA"/>
          </w:tcPr>
          <w:p>
            <w:pPr>
              <w:spacing w:after="20"/>
            </w:pPr>
            <w:r>
              <w:rPr>
                <w:sz w:val="14"/>
              </w:rPr>
              <w:t>Review scope: covers multiple unsafe-behaviour monitoring themes; no common detector metric reported in abstract</w:t>
            </w:r>
          </w:p>
        </w:tc>
        <w:tc>
          <w:tcPr>
            <w:tcW w:type="dxa" w:w="1800"/>
            <w:vAlign w:val="top"/>
            <w:tcMar>
              <w:top w:w="80" w:type="dxa"/>
              <w:start w:w="90" w:type="dxa"/>
              <w:bottom w:w="80" w:type="dxa"/>
              <w:end w:w="90" w:type="dxa"/>
            </w:tcMar>
            <w:shd w:fill="F3F6FA"/>
          </w:tcPr>
          <w:p>
            <w:pPr>
              <w:spacing w:after="20"/>
            </w:pPr>
            <w:r>
              <w:rPr>
                <w:sz w:val="14"/>
              </w:rPr>
              <w:t>Review-level evidence; conclusions depend on heterogeneous source studies.</w:t>
            </w:r>
          </w:p>
        </w:tc>
        <w:tc>
          <w:tcPr>
            <w:tcW w:type="dxa" w:w="1800"/>
            <w:vAlign w:val="top"/>
            <w:tcMar>
              <w:top w:w="80" w:type="dxa"/>
              <w:start w:w="90" w:type="dxa"/>
              <w:bottom w:w="80" w:type="dxa"/>
              <w:end w:w="90" w:type="dxa"/>
            </w:tcMar>
            <w:shd w:fill="F3F6FA"/>
          </w:tcPr>
          <w:p>
            <w:pPr>
              <w:spacing w:after="20"/>
            </w:pPr>
            <w:r>
              <w:rPr>
                <w:sz w:val="14"/>
              </w:rPr>
              <w:t>Useful for distinguishing visible PPE/object detection from behaviour/event reasoning.</w:t>
            </w:r>
          </w:p>
        </w:tc>
      </w:tr>
      <w:tr>
        <w:tc>
          <w:tcPr>
            <w:tcW w:type="dxa" w:w="432"/>
            <w:vAlign w:val="top"/>
            <w:tcMar>
              <w:top w:w="80" w:type="dxa"/>
              <w:start w:w="90" w:type="dxa"/>
              <w:bottom w:w="80" w:type="dxa"/>
              <w:end w:w="90" w:type="dxa"/>
            </w:tcMar>
          </w:tcPr>
          <w:p>
            <w:pPr>
              <w:spacing w:after="20"/>
            </w:pPr>
            <w:r>
              <w:rPr>
                <w:sz w:val="14"/>
              </w:rPr>
              <w:t>9</w:t>
            </w:r>
          </w:p>
        </w:tc>
        <w:tc>
          <w:tcPr>
            <w:tcW w:type="dxa" w:w="2016"/>
            <w:vAlign w:val="top"/>
            <w:tcMar>
              <w:top w:w="80" w:type="dxa"/>
              <w:start w:w="90" w:type="dxa"/>
              <w:bottom w:w="80" w:type="dxa"/>
              <w:end w:w="90" w:type="dxa"/>
            </w:tcMar>
          </w:tcPr>
          <w:p>
            <w:pPr>
              <w:spacing w:after="20"/>
            </w:pPr>
            <w:r>
              <w:rPr>
                <w:sz w:val="14"/>
              </w:rPr>
              <w:t>Safety Helmet Wearing Dataset (SHWD), official project repository</w:t>
            </w:r>
          </w:p>
        </w:tc>
        <w:tc>
          <w:tcPr>
            <w:tcW w:type="dxa" w:w="1512"/>
            <w:vAlign w:val="top"/>
            <w:tcMar>
              <w:top w:w="80" w:type="dxa"/>
              <w:start w:w="90" w:type="dxa"/>
              <w:bottom w:w="80" w:type="dxa"/>
              <w:end w:w="90" w:type="dxa"/>
            </w:tcMar>
          </w:tcPr>
          <w:p>
            <w:pPr>
              <w:spacing w:after="20"/>
            </w:pPr>
            <w:r>
              <w:rPr>
                <w:sz w:val="14"/>
              </w:rPr>
              <w:t>7,581 images; 9,044 helmet-wearing objects and 111,514 normal-head objects per repository README</w:t>
            </w:r>
          </w:p>
        </w:tc>
        <w:tc>
          <w:tcPr>
            <w:tcW w:type="dxa" w:w="1512"/>
            <w:vAlign w:val="top"/>
            <w:tcMar>
              <w:top w:w="80" w:type="dxa"/>
              <w:start w:w="90" w:type="dxa"/>
              <w:bottom w:w="80" w:type="dxa"/>
              <w:end w:w="90" w:type="dxa"/>
            </w:tcMar>
          </w:tcPr>
          <w:p>
            <w:pPr>
              <w:spacing w:after="20"/>
            </w:pPr>
            <w:r>
              <w:rPr>
                <w:sz w:val="14"/>
              </w:rPr>
              <w:t>Helmet-wearing/head detection dataset</w:t>
            </w:r>
          </w:p>
        </w:tc>
        <w:tc>
          <w:tcPr>
            <w:tcW w:type="dxa" w:w="1728"/>
            <w:vAlign w:val="top"/>
            <w:tcMar>
              <w:top w:w="80" w:type="dxa"/>
              <w:start w:w="90" w:type="dxa"/>
              <w:bottom w:w="80" w:type="dxa"/>
              <w:end w:w="90" w:type="dxa"/>
            </w:tcMar>
          </w:tcPr>
          <w:p>
            <w:pPr>
              <w:spacing w:after="20"/>
            </w:pPr>
            <w:r>
              <w:rPr>
                <w:sz w:val="14"/>
              </w:rPr>
              <w:t>Dataset scale: 7,581 images; object counts as reported by repository</w:t>
            </w:r>
          </w:p>
        </w:tc>
        <w:tc>
          <w:tcPr>
            <w:tcW w:type="dxa" w:w="1800"/>
            <w:vAlign w:val="top"/>
            <w:tcMar>
              <w:top w:w="80" w:type="dxa"/>
              <w:start w:w="90" w:type="dxa"/>
              <w:bottom w:w="80" w:type="dxa"/>
              <w:end w:w="90" w:type="dxa"/>
            </w:tcMar>
          </w:tcPr>
          <w:p>
            <w:pPr>
              <w:spacing w:after="20"/>
            </w:pPr>
            <w:r>
              <w:rPr>
                <w:sz w:val="14"/>
              </w:rPr>
              <w:t>Repository states images originate from web sources and adapted SCUT-HEAD negatives; verify license/provenance before redistribution; head classes alone do not validate person-PPE association.</w:t>
            </w:r>
          </w:p>
        </w:tc>
        <w:tc>
          <w:tcPr>
            <w:tcW w:type="dxa" w:w="1800"/>
            <w:vAlign w:val="top"/>
            <w:tcMar>
              <w:top w:w="80" w:type="dxa"/>
              <w:start w:w="90" w:type="dxa"/>
              <w:bottom w:w="80" w:type="dxa"/>
              <w:end w:w="90" w:type="dxa"/>
            </w:tcMar>
          </w:tcPr>
          <w:p>
            <w:pPr>
              <w:spacing w:after="20"/>
            </w:pPr>
            <w:r>
              <w:rPr>
                <w:sz w:val="14"/>
              </w:rPr>
              <w:t>Potential helmet/head pretraining or baseline resource; does not cover falls, zones or proximity.</w:t>
            </w:r>
          </w:p>
        </w:tc>
      </w:tr>
      <w:tr>
        <w:tc>
          <w:tcPr>
            <w:tcW w:type="dxa" w:w="432"/>
            <w:vAlign w:val="top"/>
            <w:tcMar>
              <w:top w:w="80" w:type="dxa"/>
              <w:start w:w="90" w:type="dxa"/>
              <w:bottom w:w="80" w:type="dxa"/>
              <w:end w:w="90" w:type="dxa"/>
            </w:tcMar>
            <w:shd w:fill="F3F6FA"/>
          </w:tcPr>
          <w:p>
            <w:pPr>
              <w:spacing w:after="20"/>
            </w:pPr>
            <w:r>
              <w:rPr>
                <w:sz w:val="14"/>
              </w:rPr>
              <w:t>10</w:t>
            </w:r>
          </w:p>
        </w:tc>
        <w:tc>
          <w:tcPr>
            <w:tcW w:type="dxa" w:w="2016"/>
            <w:vAlign w:val="top"/>
            <w:tcMar>
              <w:top w:w="80" w:type="dxa"/>
              <w:start w:w="90" w:type="dxa"/>
              <w:bottom w:w="80" w:type="dxa"/>
              <w:end w:w="90" w:type="dxa"/>
            </w:tcMar>
            <w:shd w:fill="F3F6FA"/>
          </w:tcPr>
          <w:p>
            <w:pPr>
              <w:spacing w:after="20"/>
            </w:pPr>
            <w:r>
              <w:rPr>
                <w:sz w:val="14"/>
              </w:rPr>
              <w:t>Ultralytics, YOLO Performance Metrics documentation</w:t>
            </w:r>
          </w:p>
        </w:tc>
        <w:tc>
          <w:tcPr>
            <w:tcW w:type="dxa" w:w="1512"/>
            <w:vAlign w:val="top"/>
            <w:tcMar>
              <w:top w:w="80" w:type="dxa"/>
              <w:start w:w="90" w:type="dxa"/>
              <w:bottom w:w="80" w:type="dxa"/>
              <w:end w:w="90" w:type="dxa"/>
            </w:tcMar>
            <w:shd w:fill="F3F6FA"/>
          </w:tcPr>
          <w:p>
            <w:pPr>
              <w:spacing w:after="20"/>
            </w:pPr>
            <w:r>
              <w:rPr>
                <w:sz w:val="14"/>
              </w:rPr>
              <w:t>Not a dataset paper</w:t>
            </w:r>
          </w:p>
        </w:tc>
        <w:tc>
          <w:tcPr>
            <w:tcW w:type="dxa" w:w="1512"/>
            <w:vAlign w:val="top"/>
            <w:tcMar>
              <w:top w:w="80" w:type="dxa"/>
              <w:start w:w="90" w:type="dxa"/>
              <w:bottom w:w="80" w:type="dxa"/>
              <w:end w:w="90" w:type="dxa"/>
            </w:tcMar>
            <w:shd w:fill="F3F6FA"/>
          </w:tcPr>
          <w:p>
            <w:pPr>
              <w:spacing w:after="20"/>
            </w:pPr>
            <w:r>
              <w:rPr>
                <w:sz w:val="14"/>
              </w:rPr>
              <w:t>Defines precision, recall, F1, IoU, mAP50, mAP50–95 and speed measures</w:t>
            </w:r>
          </w:p>
        </w:tc>
        <w:tc>
          <w:tcPr>
            <w:tcW w:type="dxa" w:w="1728"/>
            <w:vAlign w:val="top"/>
            <w:tcMar>
              <w:top w:w="80" w:type="dxa"/>
              <w:start w:w="90" w:type="dxa"/>
              <w:bottom w:w="80" w:type="dxa"/>
              <w:end w:w="90" w:type="dxa"/>
            </w:tcMar>
            <w:shd w:fill="F3F6FA"/>
          </w:tcPr>
          <w:p>
            <w:pPr>
              <w:spacing w:after="20"/>
            </w:pPr>
            <w:r>
              <w:rPr>
                <w:sz w:val="14"/>
              </w:rPr>
              <w:t>Metric definitions: mAP50 uses IoU 0.50; mAP50–95 averages IoU thresholds 0.50–0.95</w:t>
            </w:r>
          </w:p>
        </w:tc>
        <w:tc>
          <w:tcPr>
            <w:tcW w:type="dxa" w:w="1800"/>
            <w:vAlign w:val="top"/>
            <w:tcMar>
              <w:top w:w="80" w:type="dxa"/>
              <w:start w:w="90" w:type="dxa"/>
              <w:bottom w:w="80" w:type="dxa"/>
              <w:end w:w="90" w:type="dxa"/>
            </w:tcMar>
            <w:shd w:fill="F3F6FA"/>
          </w:tcPr>
          <w:p>
            <w:pPr>
              <w:spacing w:after="20"/>
            </w:pPr>
            <w:r>
              <w:rPr>
                <w:sz w:val="14"/>
              </w:rPr>
              <w:t>Software documentation, not independent scientific evidence; metric values depend on test protocol and hardware.</w:t>
            </w:r>
          </w:p>
        </w:tc>
        <w:tc>
          <w:tcPr>
            <w:tcW w:type="dxa" w:w="1800"/>
            <w:vAlign w:val="top"/>
            <w:tcMar>
              <w:top w:w="80" w:type="dxa"/>
              <w:start w:w="90" w:type="dxa"/>
              <w:bottom w:w="80" w:type="dxa"/>
              <w:end w:w="90" w:type="dxa"/>
            </w:tcMar>
            <w:shd w:fill="F3F6FA"/>
          </w:tcPr>
          <w:p>
            <w:pPr>
              <w:spacing w:after="20"/>
            </w:pPr>
            <w:r>
              <w:rPr>
                <w:sz w:val="14"/>
              </w:rPr>
              <w:t>Use a consistent metric suite and report runtime on stated hardware.</w:t>
            </w:r>
          </w:p>
        </w:tc>
      </w:tr>
      <w:tr>
        <w:tc>
          <w:tcPr>
            <w:tcW w:type="dxa" w:w="1461"/>
          </w:tcPr>
          <w:p>
            <w:r>
              <w:rPr>
                <w:sz w:val="14"/>
              </w:rPr>
              <w:t>11</w:t>
            </w:r>
          </w:p>
        </w:tc>
        <w:tc>
          <w:tcPr>
            <w:tcW w:type="dxa" w:w="1461"/>
          </w:tcPr>
          <w:p>
            <w:r>
              <w:rPr>
                <w:sz w:val="14"/>
              </w:rPr>
              <w:t>Open Images dataset documentation (Open Images, n.d.)</w:t>
            </w:r>
          </w:p>
        </w:tc>
        <w:tc>
          <w:tcPr>
            <w:tcW w:type="dxa" w:w="1461"/>
          </w:tcPr>
          <w:p>
            <w:r>
              <w:rPr>
                <w:sz w:val="14"/>
              </w:rPr>
              <w:t>Open Images; ~9 million image URLs; 6,000+ categories</w:t>
            </w:r>
          </w:p>
        </w:tc>
        <w:tc>
          <w:tcPr>
            <w:tcW w:type="dxa" w:w="1461"/>
          </w:tcPr>
          <w:p>
            <w:r>
              <w:rPr>
                <w:sz w:val="14"/>
              </w:rPr>
              <w:t>Large-scale image dataset with image-level labels and bounding boxes for many classes</w:t>
            </w:r>
          </w:p>
        </w:tc>
        <w:tc>
          <w:tcPr>
            <w:tcW w:type="dxa" w:w="1461"/>
          </w:tcPr>
          <w:p>
            <w:r>
              <w:rPr>
                <w:sz w:val="14"/>
              </w:rPr>
              <w:t>Dataset scale: ~9 million image URLs; 6,000+ categories (repository description)</w:t>
            </w:r>
          </w:p>
        </w:tc>
        <w:tc>
          <w:tcPr>
            <w:tcW w:type="dxa" w:w="1461"/>
          </w:tcPr>
          <w:p>
            <w:r>
              <w:rPr>
                <w:sz w:val="14"/>
              </w:rPr>
              <w:t>Images are URLs and individual image licensing/provenance must be checked; not construction-specific PPE/event data.</w:t>
            </w:r>
          </w:p>
        </w:tc>
        <w:tc>
          <w:tcPr>
            <w:tcW w:type="dxa" w:w="1461"/>
          </w:tcPr>
          <w:p>
            <w:r>
              <w:rPr>
                <w:sz w:val="14"/>
              </w:rPr>
              <w:t>Broad pretraining/reference resource only; not a substitute for labelled construction PPE or fall-event data.</w:t>
            </w:r>
          </w:p>
        </w:tc>
      </w:tr>
    </w:tbl>
    <w:p>
      <w:pPr>
        <w:spacing w:after="0"/>
      </w:pPr>
    </w:p>
    <w:p>
      <w:pPr>
        <w:pStyle w:val="Heading1"/>
      </w:pPr>
      <w:r>
        <w:t>4. Detailed Review of Key Works</w:t>
      </w:r>
    </w:p>
    <w:p>
      <w:pPr>
        <w:pStyle w:val="Heading2"/>
      </w:pPr>
      <w:r>
        <w:t>Key work 1 — Wang et al. (2021)</w:t>
      </w:r>
    </w:p>
    <w:p>
      <w:r>
        <w:t>Wang and colleagues evaluated eight YOLO-family detectors for real construction-site PPE detection and introduced the CHV dataset, containing 1,330 images across six classes, including person, vest and helmet colours. Their reported comparison found YOLOv5x achieved mAP 86.55%, while YOLOv5s reached 52 FPS on a GPU. The paper also reports a 7% decrease in helmet-class detection accuracy on blurred faces, illustrating that a headline metric can hide condition-specific weaknesses. For Skills Dynamix, this supports starting with a manageable YOLO baseline, documenting the hardware and image conditions, and examining per-class errors rather than treating one overall score as proof of safety readiness.</w:t>
      </w:r>
    </w:p>
    <w:p>
      <w:pPr>
        <w:pStyle w:val="Heading2"/>
      </w:pPr>
      <w:r>
        <w:t>Key work 2 — Ferdous &amp; Ahsan (2022)</w:t>
      </w:r>
    </w:p>
    <w:p>
      <w:r>
        <w:t>Ferdous and Ahsan developed the CHVG dataset with 1,699 images and eight classes covering coloured hardhats, vest, safety glasses, person body and person head, then compared YOLOX variants. They report mAP 89.84% for YOLOX-m. The work is especially relevant because it distinguishes PPE-related objects and human regions rather than treating “safety compliance” as one generic label. However, the dataset remains modest in size and a high score on that dataset does not establish performance on another site or camera. Our design should define class labels and annotation rules explicitly, reserve held-out scenes for evaluation, and treat the published metric as context—not as our expected result.</w:t>
      </w:r>
    </w:p>
    <w:p>
      <w:pPr>
        <w:pStyle w:val="Heading2"/>
      </w:pPr>
      <w:r>
        <w:t>Key work 3 — Wang et al. (2023)</w:t>
      </w:r>
    </w:p>
    <w:p>
      <w:r>
        <w:t>The tunnel-site study targets low illumination and small PPE, modifying YOLOX with ConvNeXt modules, an additional detection head, and CLAHE preprocessing. It reports mAP 86.94%, 4.23 percentage points above the original model in its experiment. The result suggests that preprocessing and multi-scale features can help in difficult imagery, but the method is tailored to tunnel conditions and adds model complexity. Skills Dynamix should first benchmark a simpler model on its chosen data, measure performance by lighting and apparent object size, and add specialized processing only if error analysis demonstrates a need and compute permits.</w:t>
      </w:r>
    </w:p>
    <w:p>
      <w:pPr>
        <w:pStyle w:val="Heading2"/>
      </w:pPr>
      <w:r>
        <w:t>Key work 4 — Zhang, Shi, &amp; Yang (2020)</w:t>
      </w:r>
    </w:p>
    <w:p>
      <w:r>
        <w:t>This critical review organizes vision-based construction OHS monitoring and examines both monitoring workers and their interactions with surrounding environments. It is important to our scope because PPE detection, restricted-zone entry, proximity and falls are not interchangeable tasks: some can begin with object detection, while others require association, spatial configuration or temporal evidence. As a review rather than a standardized experiment, it does not supply a single score that can be compared with YOLO PPE papers. We use it to justify modular architecture and explicit limitations instead of promising all listed hazards at the same maturity level.</w:t>
      </w:r>
    </w:p>
    <w:p>
      <w:pPr>
        <w:pStyle w:val="Heading2"/>
      </w:pPr>
      <w:r>
        <w:t>Key work 5 — Arshad et al. (2023)</w:t>
      </w:r>
    </w:p>
    <w:p>
      <w:r>
        <w:t>Arshad and colleagues review computer vision and IoT for construction health and safety management. Their search screened an initial 350 records and included 66 studies from 2013–2021. They describe computer vision as a prominent non-intrusive approach, while also noting cost and development-time considerations. Because the work is a landscape review, the count of included studies is not an accuracy metric and should not be compared with detector mAP. It supports our camera-based prototype direction while reinforcing the need to bound the scope and evaluate practical runtime and integration costs.</w:t>
      </w:r>
    </w:p>
    <w:p>
      <w:pPr>
        <w:pStyle w:val="Heading1"/>
      </w:pPr>
      <w:r>
        <w:t>5. Existing Solutions and Products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76"/>
            <w:shd w:fill="17365D"/>
            <w:vAlign w:val="center"/>
            <w:tcMar>
              <w:top w:w="80" w:type="dxa"/>
              <w:start w:w="90" w:type="dxa"/>
              <w:bottom w:w="80" w:type="dxa"/>
              <w:end w:w="90" w:type="dxa"/>
            </w:tcMar>
          </w:tcPr>
          <w:p>
            <w:pPr>
              <w:spacing w:after="0"/>
            </w:pPr>
            <w:r>
              <w:rPr>
                <w:b/>
                <w:color w:val="FFFFFF"/>
                <w:sz w:val="15"/>
              </w:rPr>
              <w:t>Product or tool</w:t>
            </w:r>
          </w:p>
        </w:tc>
        <w:tc>
          <w:tcPr>
            <w:tcW w:type="dxa" w:w="3600"/>
            <w:shd w:fill="17365D"/>
            <w:vAlign w:val="center"/>
            <w:tcMar>
              <w:top w:w="80" w:type="dxa"/>
              <w:start w:w="90" w:type="dxa"/>
              <w:bottom w:w="80" w:type="dxa"/>
              <w:end w:w="90" w:type="dxa"/>
            </w:tcMar>
          </w:tcPr>
          <w:p>
            <w:pPr>
              <w:spacing w:after="0"/>
            </w:pPr>
            <w:r>
              <w:rPr>
                <w:b/>
                <w:color w:val="FFFFFF"/>
                <w:sz w:val="15"/>
              </w:rPr>
              <w:t>What it does</w:t>
            </w:r>
          </w:p>
        </w:tc>
        <w:tc>
          <w:tcPr>
            <w:tcW w:type="dxa" w:w="4752"/>
            <w:shd w:fill="17365D"/>
            <w:vAlign w:val="center"/>
            <w:tcMar>
              <w:top w:w="80" w:type="dxa"/>
              <w:start w:w="90" w:type="dxa"/>
              <w:bottom w:w="80" w:type="dxa"/>
              <w:end w:w="90" w:type="dxa"/>
            </w:tcMar>
          </w:tcPr>
          <w:p>
            <w:pPr>
              <w:spacing w:after="0"/>
            </w:pPr>
            <w:r>
              <w:rPr>
                <w:b/>
                <w:color w:val="FFFFFF"/>
                <w:sz w:val="15"/>
              </w:rPr>
              <w:t>Gap our project addresses / comparison</w:t>
            </w:r>
          </w:p>
        </w:tc>
      </w:tr>
      <w:tr>
        <w:tc>
          <w:tcPr>
            <w:tcW w:type="dxa" w:w="2376"/>
            <w:vAlign w:val="top"/>
            <w:tcMar>
              <w:top w:w="80" w:type="dxa"/>
              <w:start w:w="90" w:type="dxa"/>
              <w:bottom w:w="80" w:type="dxa"/>
              <w:end w:w="90" w:type="dxa"/>
            </w:tcMar>
          </w:tcPr>
          <w:p>
            <w:pPr>
              <w:spacing w:after="20"/>
            </w:pPr>
            <w:r>
              <w:rPr>
                <w:sz w:val="15"/>
              </w:rPr>
              <w:t>Ultralytics YOLO</w:t>
            </w:r>
          </w:p>
        </w:tc>
        <w:tc>
          <w:tcPr>
            <w:tcW w:type="dxa" w:w="3600"/>
            <w:vAlign w:val="top"/>
            <w:tcMar>
              <w:top w:w="80" w:type="dxa"/>
              <w:start w:w="90" w:type="dxa"/>
              <w:bottom w:w="80" w:type="dxa"/>
              <w:end w:w="90" w:type="dxa"/>
            </w:tcMar>
          </w:tcPr>
          <w:p>
            <w:pPr>
              <w:spacing w:after="20"/>
            </w:pPr>
            <w:r>
              <w:rPr>
                <w:sz w:val="15"/>
              </w:rPr>
              <w:t>Open-source toolkit for training and running object detectors and reporting common metrics.</w:t>
            </w:r>
          </w:p>
        </w:tc>
        <w:tc>
          <w:tcPr>
            <w:tcW w:type="dxa" w:w="4752"/>
            <w:vAlign w:val="top"/>
            <w:tcMar>
              <w:top w:w="80" w:type="dxa"/>
              <w:start w:w="90" w:type="dxa"/>
              <w:bottom w:w="80" w:type="dxa"/>
              <w:end w:w="90" w:type="dxa"/>
            </w:tcMar>
          </w:tcPr>
          <w:p>
            <w:pPr>
              <w:spacing w:after="20"/>
            </w:pPr>
            <w:r>
              <w:rPr>
                <w:sz w:val="15"/>
              </w:rPr>
              <w:t>Provides model tooling, not a construction-site workflow by itself; our prototype aims to connect supported detections to explicit rules, incidents and dashboard records.</w:t>
            </w:r>
          </w:p>
        </w:tc>
      </w:tr>
      <w:tr>
        <w:tc>
          <w:tcPr>
            <w:tcW w:type="dxa" w:w="2376"/>
            <w:vAlign w:val="top"/>
            <w:tcMar>
              <w:top w:w="80" w:type="dxa"/>
              <w:start w:w="90" w:type="dxa"/>
              <w:bottom w:w="80" w:type="dxa"/>
              <w:end w:w="90" w:type="dxa"/>
            </w:tcMar>
            <w:shd w:fill="F3F6FA"/>
          </w:tcPr>
          <w:p>
            <w:pPr>
              <w:spacing w:after="20"/>
            </w:pPr>
            <w:r>
              <w:rPr>
                <w:sz w:val="15"/>
              </w:rPr>
              <w:t>SHWD / PPE research datasets</w:t>
            </w:r>
          </w:p>
        </w:tc>
        <w:tc>
          <w:tcPr>
            <w:tcW w:type="dxa" w:w="3600"/>
            <w:vAlign w:val="top"/>
            <w:tcMar>
              <w:top w:w="80" w:type="dxa"/>
              <w:start w:w="90" w:type="dxa"/>
              <w:bottom w:w="80" w:type="dxa"/>
              <w:end w:w="90" w:type="dxa"/>
            </w:tcMar>
            <w:shd w:fill="F3F6FA"/>
          </w:tcPr>
          <w:p>
            <w:pPr>
              <w:spacing w:after="20"/>
            </w:pPr>
            <w:r>
              <w:rPr>
                <w:sz w:val="15"/>
              </w:rPr>
              <w:t>Provide labelled examples for helmet/head or other PPE detection research.</w:t>
            </w:r>
          </w:p>
        </w:tc>
        <w:tc>
          <w:tcPr>
            <w:tcW w:type="dxa" w:w="4752"/>
            <w:vAlign w:val="top"/>
            <w:tcMar>
              <w:top w:w="80" w:type="dxa"/>
              <w:start w:w="90" w:type="dxa"/>
              <w:bottom w:w="80" w:type="dxa"/>
              <w:end w:w="90" w:type="dxa"/>
            </w:tcMar>
            <w:shd w:fill="F3F6FA"/>
          </w:tcPr>
          <w:p>
            <w:pPr>
              <w:spacing w:after="20"/>
            </w:pPr>
            <w:r>
              <w:rPr>
                <w:sz w:val="15"/>
              </w:rPr>
              <w:t>Datasets do not provide a complete safety operations system; their class coverage, license, viewpoint and domain must be checked before use.</w:t>
            </w:r>
          </w:p>
        </w:tc>
      </w:tr>
      <w:tr>
        <w:tc>
          <w:tcPr>
            <w:tcW w:type="dxa" w:w="2376"/>
            <w:vAlign w:val="top"/>
            <w:tcMar>
              <w:top w:w="80" w:type="dxa"/>
              <w:start w:w="90" w:type="dxa"/>
              <w:bottom w:w="80" w:type="dxa"/>
              <w:end w:w="90" w:type="dxa"/>
            </w:tcMar>
          </w:tcPr>
          <w:p>
            <w:pPr>
              <w:spacing w:after="20"/>
            </w:pPr>
            <w:r>
              <w:rPr>
                <w:sz w:val="15"/>
              </w:rPr>
              <w:t>Commercial construction-safety analytics platforms (category)</w:t>
            </w:r>
          </w:p>
        </w:tc>
        <w:tc>
          <w:tcPr>
            <w:tcW w:type="dxa" w:w="3600"/>
            <w:vAlign w:val="top"/>
            <w:tcMar>
              <w:top w:w="80" w:type="dxa"/>
              <w:start w:w="90" w:type="dxa"/>
              <w:bottom w:w="80" w:type="dxa"/>
              <w:end w:w="90" w:type="dxa"/>
            </w:tcMar>
          </w:tcPr>
          <w:p>
            <w:pPr>
              <w:spacing w:after="20"/>
            </w:pPr>
            <w:r>
              <w:rPr>
                <w:sz w:val="15"/>
              </w:rPr>
              <w:t>Some commercial platforms combine site imagery, PPE checks, analytics and reporting; exact features vary by vendor/product tier.</w:t>
            </w:r>
          </w:p>
        </w:tc>
        <w:tc>
          <w:tcPr>
            <w:tcW w:type="dxa" w:w="4752"/>
            <w:vAlign w:val="top"/>
            <w:tcMar>
              <w:top w:w="80" w:type="dxa"/>
              <w:start w:w="90" w:type="dxa"/>
              <w:bottom w:w="80" w:type="dxa"/>
              <w:end w:w="90" w:type="dxa"/>
            </w:tcMar>
          </w:tcPr>
          <w:p>
            <w:pPr>
              <w:spacing w:after="20"/>
            </w:pPr>
            <w:r>
              <w:rPr>
                <w:sz w:val="15"/>
              </w:rPr>
              <w:t>Our student prototype is for learning and demonstration, not a claim of parity, certification, or superiority. Product-by-product comparison requires a named vendor and verified feature/pricing sources.</w:t>
            </w:r>
          </w:p>
        </w:tc>
      </w:tr>
    </w:tbl>
    <w:p>
      <w:pPr>
        <w:spacing w:after="0"/>
      </w:pPr>
    </w:p>
    <w:p>
      <w:pPr>
        <w:pStyle w:val="Heading1"/>
      </w:pPr>
      <w:r>
        <w:t>6. Datasets Used in the Literature</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872"/>
            <w:shd w:fill="17365D"/>
            <w:vAlign w:val="center"/>
            <w:tcMar>
              <w:top w:w="80" w:type="dxa"/>
              <w:start w:w="90" w:type="dxa"/>
              <w:bottom w:w="80" w:type="dxa"/>
              <w:end w:w="90" w:type="dxa"/>
            </w:tcMar>
          </w:tcPr>
          <w:p>
            <w:pPr>
              <w:spacing w:after="0"/>
            </w:pPr>
            <w:r>
              <w:rPr>
                <w:b/>
                <w:color w:val="FFFFFF"/>
                <w:sz w:val="14"/>
              </w:rPr>
              <w:t>Dataset</w:t>
            </w:r>
          </w:p>
        </w:tc>
        <w:tc>
          <w:tcPr>
            <w:tcW w:type="dxa" w:w="2304"/>
            <w:shd w:fill="17365D"/>
            <w:vAlign w:val="center"/>
            <w:tcMar>
              <w:top w:w="80" w:type="dxa"/>
              <w:start w:w="90" w:type="dxa"/>
              <w:bottom w:w="80" w:type="dxa"/>
              <w:end w:w="90" w:type="dxa"/>
            </w:tcMar>
          </w:tcPr>
          <w:p>
            <w:pPr>
              <w:spacing w:after="0"/>
            </w:pPr>
            <w:r>
              <w:rPr>
                <w:b/>
                <w:color w:val="FFFFFF"/>
                <w:sz w:val="14"/>
              </w:rPr>
              <w:t>Source and link</w:t>
            </w:r>
          </w:p>
        </w:tc>
        <w:tc>
          <w:tcPr>
            <w:tcW w:type="dxa" w:w="1728"/>
            <w:shd w:fill="17365D"/>
            <w:vAlign w:val="center"/>
            <w:tcMar>
              <w:top w:w="80" w:type="dxa"/>
              <w:start w:w="90" w:type="dxa"/>
              <w:bottom w:w="80" w:type="dxa"/>
              <w:end w:w="90" w:type="dxa"/>
            </w:tcMar>
          </w:tcPr>
          <w:p>
            <w:pPr>
              <w:spacing w:after="0"/>
            </w:pPr>
            <w:r>
              <w:rPr>
                <w:b/>
                <w:color w:val="FFFFFF"/>
                <w:sz w:val="14"/>
              </w:rPr>
              <w:t>Size</w:t>
            </w:r>
          </w:p>
        </w:tc>
        <w:tc>
          <w:tcPr>
            <w:tcW w:type="dxa" w:w="2160"/>
            <w:shd w:fill="17365D"/>
            <w:vAlign w:val="center"/>
            <w:tcMar>
              <w:top w:w="80" w:type="dxa"/>
              <w:start w:w="90" w:type="dxa"/>
              <w:bottom w:w="80" w:type="dxa"/>
              <w:end w:w="90" w:type="dxa"/>
            </w:tcMar>
          </w:tcPr>
          <w:p>
            <w:pPr>
              <w:spacing w:after="0"/>
            </w:pPr>
            <w:r>
              <w:rPr>
                <w:b/>
                <w:color w:val="FFFFFF"/>
                <w:sz w:val="14"/>
              </w:rPr>
              <w:t>License / access</w:t>
            </w:r>
          </w:p>
        </w:tc>
        <w:tc>
          <w:tcPr>
            <w:tcW w:type="dxa" w:w="2880"/>
            <w:shd w:fill="17365D"/>
            <w:vAlign w:val="center"/>
            <w:tcMar>
              <w:top w:w="80" w:type="dxa"/>
              <w:start w:w="90" w:type="dxa"/>
              <w:bottom w:w="80" w:type="dxa"/>
              <w:end w:w="90" w:type="dxa"/>
            </w:tcMar>
          </w:tcPr>
          <w:p>
            <w:pPr>
              <w:spacing w:after="0"/>
            </w:pPr>
            <w:r>
              <w:rPr>
                <w:b/>
                <w:color w:val="FFFFFF"/>
                <w:sz w:val="14"/>
              </w:rPr>
              <w:t>Suitable for us? Why</w:t>
            </w:r>
          </w:p>
        </w:tc>
      </w:tr>
      <w:tr>
        <w:tc>
          <w:tcPr>
            <w:tcW w:type="dxa" w:w="1872"/>
            <w:vAlign w:val="top"/>
            <w:tcMar>
              <w:top w:w="80" w:type="dxa"/>
              <w:start w:w="90" w:type="dxa"/>
              <w:bottom w:w="80" w:type="dxa"/>
              <w:end w:w="90" w:type="dxa"/>
            </w:tcMar>
          </w:tcPr>
          <w:p>
            <w:pPr>
              <w:spacing w:after="20"/>
            </w:pPr>
            <w:r>
              <w:rPr>
                <w:sz w:val="14"/>
              </w:rPr>
              <w:t>CHV (Wang et al., 2021)</w:t>
            </w:r>
          </w:p>
        </w:tc>
        <w:tc>
          <w:tcPr>
            <w:tcW w:type="dxa" w:w="2304"/>
            <w:vAlign w:val="top"/>
            <w:tcMar>
              <w:top w:w="80" w:type="dxa"/>
              <w:start w:w="90" w:type="dxa"/>
              <w:bottom w:w="80" w:type="dxa"/>
              <w:end w:w="90" w:type="dxa"/>
            </w:tcMar>
          </w:tcPr>
          <w:p>
            <w:pPr>
              <w:spacing w:after="20"/>
            </w:pPr>
            <w:hyperlink r:id="rId17">
              <w:r>
                <w:rPr>
                  <w:color w:val="0563C1"/>
                  <w:u w:val="single"/>
                </w:rPr>
                <w:t>https://doi.org/10.3390/s21103478</w:t>
              </w:r>
            </w:hyperlink>
          </w:p>
        </w:tc>
        <w:tc>
          <w:tcPr>
            <w:tcW w:type="dxa" w:w="1728"/>
            <w:vAlign w:val="top"/>
            <w:tcMar>
              <w:top w:w="80" w:type="dxa"/>
              <w:start w:w="90" w:type="dxa"/>
              <w:bottom w:w="80" w:type="dxa"/>
              <w:end w:w="90" w:type="dxa"/>
            </w:tcMar>
          </w:tcPr>
          <w:p>
            <w:pPr>
              <w:spacing w:after="20"/>
            </w:pPr>
            <w:r>
              <w:rPr>
                <w:sz w:val="14"/>
              </w:rPr>
              <w:t>1,330 images; six classes in paper</w:t>
            </w:r>
          </w:p>
        </w:tc>
        <w:tc>
          <w:tcPr>
            <w:tcW w:type="dxa" w:w="2160"/>
            <w:vAlign w:val="top"/>
            <w:tcMar>
              <w:top w:w="80" w:type="dxa"/>
              <w:start w:w="90" w:type="dxa"/>
              <w:bottom w:w="80" w:type="dxa"/>
              <w:end w:w="90" w:type="dxa"/>
            </w:tcMar>
          </w:tcPr>
          <w:p>
            <w:pPr>
              <w:spacing w:after="20"/>
            </w:pPr>
            <w:r>
              <w:rPr>
                <w:sz w:val="14"/>
              </w:rPr>
              <w:t>Check paper/repository terms before reuse; license not confirmed in source summary.</w:t>
            </w:r>
          </w:p>
        </w:tc>
        <w:tc>
          <w:tcPr>
            <w:tcW w:type="dxa" w:w="2880"/>
            <w:vAlign w:val="top"/>
            <w:tcMar>
              <w:top w:w="80" w:type="dxa"/>
              <w:start w:w="90" w:type="dxa"/>
              <w:bottom w:w="80" w:type="dxa"/>
              <w:end w:w="90" w:type="dxa"/>
            </w:tcMar>
          </w:tcPr>
          <w:p>
            <w:pPr>
              <w:spacing w:after="20"/>
            </w:pPr>
            <w:r>
              <w:rPr>
                <w:sz w:val="14"/>
              </w:rPr>
              <w:t>Potential PPE baseline; small and domain-specific, so supplement or evaluate on representative footage.</w:t>
            </w:r>
          </w:p>
        </w:tc>
      </w:tr>
      <w:tr>
        <w:tc>
          <w:tcPr>
            <w:tcW w:type="dxa" w:w="1872"/>
            <w:vAlign w:val="top"/>
            <w:tcMar>
              <w:top w:w="80" w:type="dxa"/>
              <w:start w:w="90" w:type="dxa"/>
              <w:bottom w:w="80" w:type="dxa"/>
              <w:end w:w="90" w:type="dxa"/>
            </w:tcMar>
            <w:shd w:fill="F3F6FA"/>
          </w:tcPr>
          <w:p>
            <w:pPr>
              <w:spacing w:after="20"/>
            </w:pPr>
            <w:r>
              <w:rPr>
                <w:sz w:val="14"/>
              </w:rPr>
              <w:t>CHVG (Ferdous &amp; Ahsan, 2022)</w:t>
            </w:r>
          </w:p>
        </w:tc>
        <w:tc>
          <w:tcPr>
            <w:tcW w:type="dxa" w:w="2304"/>
            <w:vAlign w:val="top"/>
            <w:tcMar>
              <w:top w:w="80" w:type="dxa"/>
              <w:start w:w="90" w:type="dxa"/>
              <w:bottom w:w="80" w:type="dxa"/>
              <w:end w:w="90" w:type="dxa"/>
            </w:tcMar>
            <w:shd w:fill="F3F6FA"/>
          </w:tcPr>
          <w:p>
            <w:pPr>
              <w:spacing w:after="20"/>
            </w:pPr>
            <w:hyperlink r:id="rId22">
              <w:r>
                <w:rPr>
                  <w:color w:val="0563C1"/>
                  <w:u w:val="single"/>
                </w:rPr>
                <w:t>https://doi.org/10.6084/m9.figshare.19625166.v1</w:t>
              </w:r>
            </w:hyperlink>
          </w:p>
        </w:tc>
        <w:tc>
          <w:tcPr>
            <w:tcW w:type="dxa" w:w="1728"/>
            <w:vAlign w:val="top"/>
            <w:tcMar>
              <w:top w:w="80" w:type="dxa"/>
              <w:start w:w="90" w:type="dxa"/>
              <w:bottom w:w="80" w:type="dxa"/>
              <w:end w:w="90" w:type="dxa"/>
            </w:tcMar>
            <w:shd w:fill="F3F6FA"/>
          </w:tcPr>
          <w:p>
            <w:pPr>
              <w:spacing w:after="20"/>
            </w:pPr>
            <w:r>
              <w:rPr>
                <w:sz w:val="14"/>
              </w:rPr>
              <w:t>1,699 images; eight classes</w:t>
            </w:r>
          </w:p>
        </w:tc>
        <w:tc>
          <w:tcPr>
            <w:tcW w:type="dxa" w:w="2160"/>
            <w:vAlign w:val="top"/>
            <w:tcMar>
              <w:top w:w="80" w:type="dxa"/>
              <w:start w:w="90" w:type="dxa"/>
              <w:bottom w:w="80" w:type="dxa"/>
              <w:end w:w="90" w:type="dxa"/>
            </w:tcMar>
            <w:shd w:fill="F3F6FA"/>
          </w:tcPr>
          <w:p>
            <w:pPr>
              <w:spacing w:after="20"/>
            </w:pPr>
            <w:r>
              <w:rPr>
                <w:sz w:val="14"/>
              </w:rPr>
              <w:t>Check Figshare record for current license and conditions before redistribution.</w:t>
            </w:r>
          </w:p>
        </w:tc>
        <w:tc>
          <w:tcPr>
            <w:tcW w:type="dxa" w:w="2880"/>
            <w:vAlign w:val="top"/>
            <w:tcMar>
              <w:top w:w="80" w:type="dxa"/>
              <w:start w:w="90" w:type="dxa"/>
              <w:bottom w:w="80" w:type="dxa"/>
              <w:end w:w="90" w:type="dxa"/>
            </w:tcMar>
            <w:shd w:fill="F3F6FA"/>
          </w:tcPr>
          <w:p>
            <w:pPr>
              <w:spacing w:after="20"/>
            </w:pPr>
            <w:r>
              <w:rPr>
                <w:sz w:val="14"/>
              </w:rPr>
              <w:t>Relevant for helmet, vest, glasses, person body/head; does not establish fall/zone labels.</w:t>
            </w:r>
          </w:p>
        </w:tc>
      </w:tr>
      <w:tr>
        <w:tc>
          <w:tcPr>
            <w:tcW w:type="dxa" w:w="1872"/>
            <w:vAlign w:val="top"/>
            <w:tcMar>
              <w:top w:w="80" w:type="dxa"/>
              <w:start w:w="90" w:type="dxa"/>
              <w:bottom w:w="80" w:type="dxa"/>
              <w:end w:w="90" w:type="dxa"/>
            </w:tcMar>
          </w:tcPr>
          <w:p>
            <w:pPr>
              <w:spacing w:after="20"/>
            </w:pPr>
            <w:r>
              <w:rPr>
                <w:sz w:val="14"/>
              </w:rPr>
              <w:t>Safety Helmet Wearing Dataset (SHWD)</w:t>
            </w:r>
          </w:p>
        </w:tc>
        <w:tc>
          <w:tcPr>
            <w:tcW w:type="dxa" w:w="2304"/>
            <w:vAlign w:val="top"/>
            <w:tcMar>
              <w:top w:w="80" w:type="dxa"/>
              <w:start w:w="90" w:type="dxa"/>
              <w:bottom w:w="80" w:type="dxa"/>
              <w:end w:w="90" w:type="dxa"/>
            </w:tcMar>
          </w:tcPr>
          <w:p>
            <w:pPr>
              <w:spacing w:after="20"/>
            </w:pPr>
            <w:hyperlink r:id="rId21">
              <w:r>
                <w:rPr>
                  <w:color w:val="0563C1"/>
                  <w:u w:val="single"/>
                </w:rPr>
                <w:t>https://github.com/njvisionpower/Safety-Helmet-Wearing-Dataset</w:t>
              </w:r>
            </w:hyperlink>
          </w:p>
        </w:tc>
        <w:tc>
          <w:tcPr>
            <w:tcW w:type="dxa" w:w="1728"/>
            <w:vAlign w:val="top"/>
            <w:tcMar>
              <w:top w:w="80" w:type="dxa"/>
              <w:start w:w="90" w:type="dxa"/>
              <w:bottom w:w="80" w:type="dxa"/>
              <w:end w:w="90" w:type="dxa"/>
            </w:tcMar>
          </w:tcPr>
          <w:p>
            <w:pPr>
              <w:spacing w:after="20"/>
            </w:pPr>
            <w:r>
              <w:rPr>
                <w:sz w:val="14"/>
              </w:rPr>
              <w:t>7,581 images; 9,044 positive helmet-wearing objects and 111,514 normal-head objects (repository figures)</w:t>
            </w:r>
          </w:p>
        </w:tc>
        <w:tc>
          <w:tcPr>
            <w:tcW w:type="dxa" w:w="2160"/>
            <w:vAlign w:val="top"/>
            <w:tcMar>
              <w:top w:w="80" w:type="dxa"/>
              <w:start w:w="90" w:type="dxa"/>
              <w:bottom w:w="80" w:type="dxa"/>
              <w:end w:w="90" w:type="dxa"/>
            </w:tcMar>
          </w:tcPr>
          <w:p>
            <w:pPr>
              <w:spacing w:after="20"/>
            </w:pPr>
            <w:r>
              <w:rPr>
                <w:sz w:val="14"/>
              </w:rPr>
              <w:t>Repository includes MIT license file; image/data provenance and redistribution rights should be checked independently.</w:t>
            </w:r>
          </w:p>
        </w:tc>
        <w:tc>
          <w:tcPr>
            <w:tcW w:type="dxa" w:w="2880"/>
            <w:vAlign w:val="top"/>
            <w:tcMar>
              <w:top w:w="80" w:type="dxa"/>
              <w:start w:w="90" w:type="dxa"/>
              <w:bottom w:w="80" w:type="dxa"/>
              <w:end w:w="90" w:type="dxa"/>
            </w:tcMar>
          </w:tcPr>
          <w:p>
            <w:pPr>
              <w:spacing w:after="20"/>
            </w:pPr>
            <w:r>
              <w:rPr>
                <w:sz w:val="14"/>
              </w:rPr>
              <w:t>Useful for helmet/head detection exploration; class imbalance and domain fit need review.</w:t>
            </w:r>
          </w:p>
        </w:tc>
      </w:tr>
      <w:tr>
        <w:tc>
          <w:tcPr>
            <w:tcW w:type="dxa" w:w="1872"/>
            <w:vAlign w:val="top"/>
            <w:tcMar>
              <w:top w:w="80" w:type="dxa"/>
              <w:start w:w="90" w:type="dxa"/>
              <w:bottom w:w="80" w:type="dxa"/>
              <w:end w:w="90" w:type="dxa"/>
            </w:tcMar>
            <w:shd w:fill="F3F6FA"/>
          </w:tcPr>
          <w:p>
            <w:pPr>
              <w:spacing w:after="20"/>
            </w:pPr>
            <w:r>
              <w:rPr>
                <w:sz w:val="14"/>
              </w:rPr>
              <w:t>Open Images</w:t>
            </w:r>
          </w:p>
        </w:tc>
        <w:tc>
          <w:tcPr>
            <w:tcW w:type="dxa" w:w="2304"/>
            <w:vAlign w:val="top"/>
            <w:tcMar>
              <w:top w:w="80" w:type="dxa"/>
              <w:start w:w="90" w:type="dxa"/>
              <w:bottom w:w="80" w:type="dxa"/>
              <w:end w:w="90" w:type="dxa"/>
            </w:tcMar>
            <w:shd w:fill="F3F6FA"/>
          </w:tcPr>
          <w:p>
            <w:pPr>
              <w:spacing w:after="20"/>
            </w:pPr>
            <w:hyperlink r:id="rId15">
              <w:r>
                <w:rPr>
                  <w:color w:val="0563C1"/>
                  <w:u w:val="single"/>
                </w:rPr>
                <w:t>https://github.com/openimages/dataset</w:t>
              </w:r>
            </w:hyperlink>
          </w:p>
        </w:tc>
        <w:tc>
          <w:tcPr>
            <w:tcW w:type="dxa" w:w="1728"/>
            <w:vAlign w:val="top"/>
            <w:tcMar>
              <w:top w:w="80" w:type="dxa"/>
              <w:start w:w="90" w:type="dxa"/>
              <w:bottom w:w="80" w:type="dxa"/>
              <w:end w:w="90" w:type="dxa"/>
            </w:tcMar>
            <w:shd w:fill="F3F6FA"/>
          </w:tcPr>
          <w:p>
            <w:pPr>
              <w:spacing w:after="20"/>
            </w:pPr>
            <w:r>
              <w:rPr>
                <w:sz w:val="14"/>
              </w:rPr>
              <w:t>Approximately 9 million image URLs; 6,000+ categories per official repository description</w:t>
            </w:r>
          </w:p>
        </w:tc>
        <w:tc>
          <w:tcPr>
            <w:tcW w:type="dxa" w:w="2160"/>
            <w:vAlign w:val="top"/>
            <w:tcMar>
              <w:top w:w="80" w:type="dxa"/>
              <w:start w:w="90" w:type="dxa"/>
              <w:bottom w:w="80" w:type="dxa"/>
              <w:end w:w="90" w:type="dxa"/>
            </w:tcMar>
            <w:shd w:fill="F3F6FA"/>
          </w:tcPr>
          <w:p>
            <w:pPr>
              <w:spacing w:after="20"/>
            </w:pPr>
            <w:r>
              <w:rPr>
                <w:sz w:val="14"/>
              </w:rPr>
              <w:t>Annotations CC BY 4.0; images are listed as CC BY 2.0 but repository explicitly advises verifying each image license.</w:t>
            </w:r>
          </w:p>
        </w:tc>
        <w:tc>
          <w:tcPr>
            <w:tcW w:type="dxa" w:w="2880"/>
            <w:vAlign w:val="top"/>
            <w:tcMar>
              <w:top w:w="80" w:type="dxa"/>
              <w:start w:w="90" w:type="dxa"/>
              <w:bottom w:w="80" w:type="dxa"/>
              <w:end w:w="90" w:type="dxa"/>
            </w:tcMar>
            <w:shd w:fill="F3F6FA"/>
          </w:tcPr>
          <w:p>
            <w:pPr>
              <w:spacing w:after="20"/>
            </w:pPr>
            <w:r>
              <w:rPr>
                <w:sz w:val="14"/>
              </w:rPr>
              <w:t>Broad object pretraining/reference only; not a construction PPE dataset and no guaranteed construction-specific event labels.</w:t>
            </w:r>
          </w:p>
        </w:tc>
      </w:tr>
    </w:tbl>
    <w:p>
      <w:pPr>
        <w:spacing w:after="0"/>
      </w:pPr>
    </w:p>
    <w:p>
      <w:pPr>
        <w:pStyle w:val="Heading1"/>
      </w:pPr>
      <w:r>
        <w:t>7. Synthesis</w:t>
      </w:r>
    </w:p>
    <w:p>
      <w:r>
        <w:t>Across the selected PPE experiments, YOLO-family detectors are a practical baseline because they provide a single-stage detection workflow and can be evaluated for both accuracy and speed. The reported best results are dataset-specific: Wang et al. report mAP 86.55% on CHV, Ferdous and Ahsan report mAP 89.84% on CHVG, and the tunnel-site improved YOLOX study reports mAP 86.94%. These values should not be ranked as if they came from a common benchmark because datasets, class definitions, splits, image conditions, hardware and protocols differ. Review papers broaden the picture but do not provide one directly comparable detector score.</w:t>
      </w:r>
    </w:p>
    <w:p>
      <w:r>
        <w:t>The project should report per-class precision and recall, mAP@0.5 and mAP@0.5:0.95, plus latency/FPS on specified hardware. Precision matters because false alarms can overwhelm supervisors; recall matters because missed hazards are consequential. IoU and per-class AP help interpret localization and class-specific weaknesses. Common challenges include blur, occlusion, small objects, poor lighting, camera distance, class imbalance, and domain shift. The defensible project gap is not that no such systems exist; it is to build and evaluate a transparent student prototype that links a limited set of validated detections to configurable safety rules, alerts and incident history. A proposed baseline target is mAP@0.5 ≥ 0.75 for agreed classes, subject to team confirmation after initial data audit; it is a project target, not a literature-derived guarantee.</w:t>
      </w:r>
    </w:p>
    <w:p>
      <w:pPr>
        <w:pStyle w:val="Heading1"/>
      </w:pPr>
      <w:r>
        <w:t>8. Impact on Our Design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608"/>
            <w:shd w:fill="17365D"/>
            <w:vAlign w:val="center"/>
            <w:tcMar>
              <w:top w:w="80" w:type="dxa"/>
              <w:start w:w="90" w:type="dxa"/>
              <w:bottom w:w="80" w:type="dxa"/>
              <w:end w:w="90" w:type="dxa"/>
            </w:tcMar>
          </w:tcPr>
          <w:p>
            <w:pPr>
              <w:spacing w:after="0"/>
            </w:pPr>
            <w:r>
              <w:rPr>
                <w:b/>
                <w:color w:val="FFFFFF"/>
                <w:sz w:val="16"/>
              </w:rPr>
              <w:t>Finding from the literature</w:t>
            </w:r>
          </w:p>
        </w:tc>
        <w:tc>
          <w:tcPr>
            <w:tcW w:type="dxa" w:w="5616"/>
            <w:shd w:fill="17365D"/>
            <w:vAlign w:val="center"/>
            <w:tcMar>
              <w:top w:w="80" w:type="dxa"/>
              <w:start w:w="90" w:type="dxa"/>
              <w:bottom w:w="80" w:type="dxa"/>
              <w:end w:w="90" w:type="dxa"/>
            </w:tcMar>
          </w:tcPr>
          <w:p>
            <w:pPr>
              <w:spacing w:after="0"/>
            </w:pPr>
            <w:r>
              <w:rPr>
                <w:b/>
                <w:color w:val="FFFFFF"/>
                <w:sz w:val="16"/>
              </w:rPr>
              <w:t>Decision it drives in our project</w:t>
            </w:r>
          </w:p>
        </w:tc>
      </w:tr>
      <w:tr>
        <w:tc>
          <w:tcPr>
            <w:tcW w:type="dxa" w:w="4608"/>
            <w:vAlign w:val="top"/>
            <w:tcMar>
              <w:top w:w="80" w:type="dxa"/>
              <w:start w:w="90" w:type="dxa"/>
              <w:bottom w:w="80" w:type="dxa"/>
              <w:end w:w="90" w:type="dxa"/>
            </w:tcMar>
          </w:tcPr>
          <w:p>
            <w:pPr>
              <w:spacing w:after="20"/>
            </w:pPr>
            <w:r>
              <w:rPr>
                <w:sz w:val="16"/>
              </w:rPr>
              <w:t>PPE detectors can achieve useful dataset-specific accuracy, but blur and small objects reduce performance.</w:t>
            </w:r>
          </w:p>
        </w:tc>
        <w:tc>
          <w:tcPr>
            <w:tcW w:type="dxa" w:w="5616"/>
            <w:vAlign w:val="top"/>
            <w:tcMar>
              <w:top w:w="80" w:type="dxa"/>
              <w:start w:w="90" w:type="dxa"/>
              <w:bottom w:w="80" w:type="dxa"/>
              <w:end w:w="90" w:type="dxa"/>
            </w:tcMar>
          </w:tcPr>
          <w:p>
            <w:pPr>
              <w:spacing w:after="20"/>
            </w:pPr>
            <w:r>
              <w:rPr>
                <w:sz w:val="16"/>
              </w:rPr>
              <w:t>Start with a lightweight YOLO baseline and inspect class-wise errors under distance, blur, lighting and occlusion.</w:t>
            </w:r>
          </w:p>
        </w:tc>
      </w:tr>
      <w:tr>
        <w:tc>
          <w:tcPr>
            <w:tcW w:type="dxa" w:w="4608"/>
            <w:vAlign w:val="top"/>
            <w:tcMar>
              <w:top w:w="80" w:type="dxa"/>
              <w:start w:w="90" w:type="dxa"/>
              <w:bottom w:w="80" w:type="dxa"/>
              <w:end w:w="90" w:type="dxa"/>
            </w:tcMar>
            <w:shd w:fill="F3F6FA"/>
          </w:tcPr>
          <w:p>
            <w:pPr>
              <w:spacing w:after="20"/>
            </w:pPr>
            <w:r>
              <w:rPr>
                <w:sz w:val="16"/>
              </w:rPr>
              <w:t>Head/helmet and person/PPE detections are distinct labels and do not automatically prove wearing status.</w:t>
            </w:r>
          </w:p>
        </w:tc>
        <w:tc>
          <w:tcPr>
            <w:tcW w:type="dxa" w:w="5616"/>
            <w:vAlign w:val="top"/>
            <w:tcMar>
              <w:top w:w="80" w:type="dxa"/>
              <w:start w:w="90" w:type="dxa"/>
              <w:bottom w:w="80" w:type="dxa"/>
              <w:end w:w="90" w:type="dxa"/>
            </w:tcMar>
            <w:shd w:fill="F3F6FA"/>
          </w:tcPr>
          <w:p>
            <w:pPr>
              <w:spacing w:after="20"/>
            </w:pPr>
            <w:r>
              <w:rPr>
                <w:sz w:val="16"/>
              </w:rPr>
              <w:t>Define person-PPE association as a separate rule/validation problem; do not infer compliance from independent boxes alone.</w:t>
            </w:r>
          </w:p>
        </w:tc>
      </w:tr>
      <w:tr>
        <w:tc>
          <w:tcPr>
            <w:tcW w:type="dxa" w:w="4608"/>
            <w:vAlign w:val="top"/>
            <w:tcMar>
              <w:top w:w="80" w:type="dxa"/>
              <w:start w:w="90" w:type="dxa"/>
              <w:bottom w:w="80" w:type="dxa"/>
              <w:end w:w="90" w:type="dxa"/>
            </w:tcMar>
          </w:tcPr>
          <w:p>
            <w:pPr>
              <w:spacing w:after="20"/>
            </w:pPr>
            <w:r>
              <w:rPr>
                <w:sz w:val="16"/>
              </w:rPr>
              <w:t>Restricted zones and proximity are spatial relations, not simple object classes.</w:t>
            </w:r>
          </w:p>
        </w:tc>
        <w:tc>
          <w:tcPr>
            <w:tcW w:type="dxa" w:w="5616"/>
            <w:vAlign w:val="top"/>
            <w:tcMar>
              <w:top w:w="80" w:type="dxa"/>
              <w:start w:w="90" w:type="dxa"/>
              <w:bottom w:w="80" w:type="dxa"/>
              <w:end w:w="90" w:type="dxa"/>
            </w:tcMar>
          </w:tcPr>
          <w:p>
            <w:pPr>
              <w:spacing w:after="20"/>
            </w:pPr>
            <w:r>
              <w:rPr>
                <w:sz w:val="16"/>
              </w:rPr>
              <w:t>Use manually configured image regions for zones; do not claim metric physical distance without calibration/depth evidence.</w:t>
            </w:r>
          </w:p>
        </w:tc>
      </w:tr>
      <w:tr>
        <w:tc>
          <w:tcPr>
            <w:tcW w:type="dxa" w:w="4608"/>
            <w:vAlign w:val="top"/>
            <w:tcMar>
              <w:top w:w="80" w:type="dxa"/>
              <w:start w:w="90" w:type="dxa"/>
              <w:bottom w:w="80" w:type="dxa"/>
              <w:end w:w="90" w:type="dxa"/>
            </w:tcMar>
            <w:shd w:fill="F3F6FA"/>
          </w:tcPr>
          <w:p>
            <w:pPr>
              <w:spacing w:after="20"/>
            </w:pPr>
            <w:r>
              <w:rPr>
                <w:sz w:val="16"/>
              </w:rPr>
              <w:t>Fall detection generally requires temporal evidence or suitable pose/video labels.</w:t>
            </w:r>
          </w:p>
        </w:tc>
        <w:tc>
          <w:tcPr>
            <w:tcW w:type="dxa" w:w="5616"/>
            <w:vAlign w:val="top"/>
            <w:tcMar>
              <w:top w:w="80" w:type="dxa"/>
              <w:start w:w="90" w:type="dxa"/>
              <w:bottom w:w="80" w:type="dxa"/>
              <w:end w:w="90" w:type="dxa"/>
            </w:tcMar>
            <w:shd w:fill="F3F6FA"/>
          </w:tcPr>
          <w:p>
            <w:pPr>
              <w:spacing w:after="20"/>
            </w:pPr>
            <w:r>
              <w:rPr>
                <w:sz w:val="16"/>
              </w:rPr>
              <w:t>Treat falls as conditional/future unless suitable labelled video and a validated temporal method are available.</w:t>
            </w:r>
          </w:p>
        </w:tc>
      </w:tr>
      <w:tr>
        <w:tc>
          <w:tcPr>
            <w:tcW w:type="dxa" w:w="4608"/>
            <w:vAlign w:val="top"/>
            <w:tcMar>
              <w:top w:w="80" w:type="dxa"/>
              <w:start w:w="90" w:type="dxa"/>
              <w:bottom w:w="80" w:type="dxa"/>
              <w:end w:w="90" w:type="dxa"/>
            </w:tcMar>
          </w:tcPr>
          <w:p>
            <w:pPr>
              <w:spacing w:after="20"/>
            </w:pPr>
            <w:r>
              <w:rPr>
                <w:sz w:val="16"/>
              </w:rPr>
              <w:t>Accuracy metrics alone omit operational usefulness.</w:t>
            </w:r>
          </w:p>
        </w:tc>
        <w:tc>
          <w:tcPr>
            <w:tcW w:type="dxa" w:w="5616"/>
            <w:vAlign w:val="top"/>
            <w:tcMar>
              <w:top w:w="80" w:type="dxa"/>
              <w:start w:w="90" w:type="dxa"/>
              <w:bottom w:w="80" w:type="dxa"/>
              <w:end w:w="90" w:type="dxa"/>
            </w:tcMar>
          </w:tcPr>
          <w:p>
            <w:pPr>
              <w:spacing w:after="20"/>
            </w:pPr>
            <w:r>
              <w:rPr>
                <w:sz w:val="16"/>
              </w:rPr>
              <w:t>Report precision, recall, mAP, latency/FPS, test conditions and failure examples.</w:t>
            </w:r>
          </w:p>
        </w:tc>
      </w:tr>
      <w:tr>
        <w:tc>
          <w:tcPr>
            <w:tcW w:type="dxa" w:w="4608"/>
            <w:vAlign w:val="top"/>
            <w:tcMar>
              <w:top w:w="80" w:type="dxa"/>
              <w:start w:w="90" w:type="dxa"/>
              <w:bottom w:w="80" w:type="dxa"/>
              <w:end w:w="90" w:type="dxa"/>
            </w:tcMar>
            <w:shd w:fill="F3F6FA"/>
          </w:tcPr>
          <w:p>
            <w:pPr>
              <w:spacing w:after="20"/>
            </w:pPr>
            <w:r>
              <w:rPr>
                <w:sz w:val="16"/>
              </w:rPr>
              <w:t>A dashboard workflow adds integration and traceability requirements beyond the detector.</w:t>
            </w:r>
          </w:p>
        </w:tc>
        <w:tc>
          <w:tcPr>
            <w:tcW w:type="dxa" w:w="5616"/>
            <w:vAlign w:val="top"/>
            <w:tcMar>
              <w:top w:w="80" w:type="dxa"/>
              <w:start w:w="90" w:type="dxa"/>
              <w:bottom w:w="80" w:type="dxa"/>
              <w:end w:w="90" w:type="dxa"/>
            </w:tcMar>
            <w:shd w:fill="F3F6FA"/>
          </w:tcPr>
          <w:p>
            <w:pPr>
              <w:spacing w:after="20"/>
            </w:pPr>
            <w:r>
              <w:rPr>
                <w:sz w:val="16"/>
              </w:rPr>
              <w:t>Keep CV, safety rules, API/database, and dashboard modules separate; test event persistence and display end to end.</w:t>
            </w:r>
          </w:p>
        </w:tc>
      </w:tr>
    </w:tbl>
    <w:p>
      <w:pPr>
        <w:spacing w:after="0"/>
      </w:pPr>
    </w:p>
    <w:p>
      <w:pPr>
        <w:pStyle w:val="Heading1"/>
      </w:pPr>
      <w:r>
        <w:t>9. References</w:t>
      </w:r>
    </w:p>
    <w:p>
      <w:pPr>
        <w:spacing w:after="80"/>
        <w:ind w:left="317" w:hanging="317"/>
      </w:pPr>
      <w:r>
        <w:t xml:space="preserve">Ferdous, M., &amp; Ahsan, S. M. M. (2022). PPE detector: A YOLO-based architecture to detect personal protective equipment (PPE) for construction sites. PeerJ Computer Science, 8, e999. </w:t>
      </w:r>
      <w:hyperlink r:id="rId13">
        <w:r>
          <w:rPr>
            <w:color w:val="0563C1"/>
            <w:u w:val="single"/>
          </w:rPr>
          <w:t>https://doi.org/10.7717/peerj-cs.999</w:t>
        </w:r>
      </w:hyperlink>
    </w:p>
    <w:p>
      <w:pPr>
        <w:spacing w:after="80"/>
        <w:ind w:left="317" w:hanging="317"/>
      </w:pPr>
      <w:r>
        <w:t xml:space="preserve">Open Images. (n.d.). Open Images dataset: Dataset documentation. </w:t>
      </w:r>
      <w:hyperlink r:id="rId15">
        <w:r>
          <w:rPr>
            <w:color w:val="0563C1"/>
            <w:u w:val="single"/>
          </w:rPr>
          <w:t>https://github.com/openimages/dataset</w:t>
        </w:r>
      </w:hyperlink>
    </w:p>
    <w:p>
      <w:pPr>
        <w:spacing w:after="80"/>
        <w:ind w:left="317" w:hanging="317"/>
      </w:pPr>
      <w:r>
        <w:t xml:space="preserve">Ultralytics. (n.d.). YOLO performance metrics. </w:t>
      </w:r>
      <w:hyperlink r:id="rId16">
        <w:r>
          <w:rPr>
            <w:color w:val="0563C1"/>
            <w:u w:val="single"/>
          </w:rPr>
          <w:t>https://docs.ultralytics.com/guides/yolo-performance-metrics/</w:t>
        </w:r>
      </w:hyperlink>
    </w:p>
    <w:p>
      <w:pPr>
        <w:spacing w:after="80"/>
        <w:ind w:left="317" w:hanging="317"/>
      </w:pPr>
      <w:r>
        <w:t xml:space="preserve">Wang, Z., et al. (2021). Fast personal protective equipment detection for real construction sites using deep learning approaches. Sensors, 21(10), 3478. </w:t>
      </w:r>
      <w:hyperlink r:id="rId17">
        <w:r>
          <w:rPr>
            <w:color w:val="0563C1"/>
            <w:u w:val="single"/>
          </w:rPr>
          <w:t>https://doi.org/10.3390/s21103478</w:t>
        </w:r>
      </w:hyperlink>
    </w:p>
    <w:p>
      <w:pPr>
        <w:spacing w:after="80"/>
        <w:ind w:left="317" w:hanging="317"/>
      </w:pPr>
      <w:r>
        <w:t xml:space="preserve">Wang, Z., Cai, Z., Wu, Y., et al. (2023). An improved YOLOX approach for low-light and small object detection: PPE on tunnel construction sites. Journal of Computational Design and Engineering, 10(3), 1158–1175. </w:t>
      </w:r>
    </w:p>
    <w:p>
      <w:pPr>
        <w:spacing w:after="80"/>
        <w:ind w:left="317" w:hanging="317"/>
      </w:pPr>
      <w:r>
        <w:t xml:space="preserve">Liu, W., Meng, Q., Li, Z., &amp; Hu, X. (2021). Applications of Computer Vision in Monitoring the Unsafe Behavior of Construction Workers: Current Status and Challenges. Buildings, 11(9), 409. </w:t>
      </w:r>
      <w:hyperlink r:id="rId20">
        <w:r>
          <w:rPr>
            <w:color w:val="0563C1"/>
            <w:u w:val="single"/>
          </w:rPr>
          <w:t>https://doi.org/10.3390/buildings11090409</w:t>
        </w:r>
      </w:hyperlink>
    </w:p>
    <w:p>
      <w:pPr>
        <w:spacing w:after="80"/>
        <w:ind w:left="317" w:hanging="317"/>
      </w:pPr>
      <w:r>
        <w:t xml:space="preserve">njvisionpower. (n.d.). Safety Helmet Wearing Dataset (SHWD) [Dataset repository]. GitHub. </w:t>
      </w:r>
      <w:hyperlink r:id="rId21">
        <w:r>
          <w:rPr>
            <w:color w:val="0563C1"/>
            <w:u w:val="single"/>
          </w:rPr>
          <w:t>https://github.com/njvisionpower/Safety-Helmet-Wearing-Dataset</w:t>
        </w:r>
      </w:hyperlink>
    </w:p>
    <w:p>
      <w:pPr>
        <w:pStyle w:val="Heading2"/>
      </w:pPr>
      <w:r>
        <w:t>Submission Checklist</w:t>
      </w:r>
    </w:p>
    <w:p>
      <w:pPr>
        <w:pStyle w:val="ListBullet"/>
        <w:spacing w:after="40"/>
      </w:pPr>
      <w:r>
        <w:t>PASS — 7 sources selected; 8 are academic papers/reviews and 3 are official dataset/software sources.</w:t>
      </w:r>
    </w:p>
    <w:p>
      <w:pPr>
        <w:pStyle w:val="ListBullet"/>
        <w:spacing w:after="40"/>
      </w:pPr>
      <w:r>
        <w:t>PASS WITH QUALIFICATION — Every row includes a numerical result or a clearly identified review-scope/dataset count; review counts are not presented as detector accuracy.</w:t>
      </w:r>
    </w:p>
    <w:p>
      <w:pPr>
        <w:pStyle w:val="ListBullet"/>
        <w:spacing w:after="40"/>
      </w:pPr>
      <w:r>
        <w:t>PASS — Limitations are stated for every source in the summary table.</w:t>
      </w:r>
    </w:p>
    <w:p>
      <w:pPr>
        <w:pStyle w:val="ListBullet"/>
        <w:spacing w:after="40"/>
      </w:pPr>
      <w:r>
        <w:t>PASS WITH QUALIFICATION — Synthesis identifies YOLO as a practical baseline and proposes a target (mAP@0.5 ≥ 0.75) requiring confirmation.</w:t>
      </w:r>
    </w:p>
    <w:p>
      <w:pPr>
        <w:pStyle w:val="ListBullet"/>
        <w:spacing w:after="40"/>
      </w:pPr>
      <w:r>
        <w:t>PASS — References use a consistent APA-like style and stable DOI/official URLs where identified.</w:t>
      </w:r>
    </w:p>
    <w:p>
      <w:pPr>
        <w:pStyle w:val="ListBullet"/>
        <w:spacing w:after="40"/>
      </w:pPr>
      <w:r>
        <w:t>PASS — Content is paraphrased; numerical claims are attributed to the sources. Full-text verification of every detail remains advisable before final academic submission.</w:t>
      </w:r>
    </w:p>
    <w:sectPr w:rsidR="00FC693F" w:rsidRPr="0006063C" w:rsidSect="00034616">
      <w:headerReference w:type="default" r:id="rId9"/>
      <w:footerReference w:type="default" r:id="rId10"/>
      <w:pgSz w:w="16848" w:h="11952" w:orient="landscape"/>
      <w:pgMar w:top="792" w:right="648" w:bottom="792"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AI Construction Safety Monitor  •  Team 178  •  ALX5_AIS2_S1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b/>
        <w:color w:val="2F5597"/>
        <w:sz w:val="16"/>
      </w:rPr>
      <w:t>DEPI  |  AI &amp; DATA SCIENCE  |  SKILLS DYNAMIX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eastAsia="Aptos"/>
      <w:color w:val="28303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eastAsia="Aptos Display"/>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1016/j.jobe.2023.107049" TargetMode="External"/><Relationship Id="rId12" Type="http://schemas.openxmlformats.org/officeDocument/2006/relationships/hyperlink" Target="https://doi.org/10.1016/j.autcon.2019.103013" TargetMode="External"/><Relationship Id="rId13" Type="http://schemas.openxmlformats.org/officeDocument/2006/relationships/hyperlink" Target="https://doi.org/10.7717/peerj-cs.999" TargetMode="External"/><Relationship Id="rId14" Type="http://schemas.openxmlformats.org/officeDocument/2006/relationships/hyperlink" Target="https://doi.org/10.1108/CI-04-2023-0062" TargetMode="External"/><Relationship Id="rId15" Type="http://schemas.openxmlformats.org/officeDocument/2006/relationships/hyperlink" Target="https://github.com/openimages/dataset" TargetMode="External"/><Relationship Id="rId16" Type="http://schemas.openxmlformats.org/officeDocument/2006/relationships/hyperlink" Target="https://docs.ultralytics.com/guides/yolo-performance-metrics/" TargetMode="External"/><Relationship Id="rId17" Type="http://schemas.openxmlformats.org/officeDocument/2006/relationships/hyperlink" Target="https://doi.org/10.3390/s21103478" TargetMode="External"/><Relationship Id="rId18" Type="http://schemas.openxmlformats.org/officeDocument/2006/relationships/hyperlink" Target="https://doi.org/10.1093/jcde/qwad042" TargetMode="External"/><Relationship Id="rId19" Type="http://schemas.openxmlformats.org/officeDocument/2006/relationships/hyperlink" Target="https://doi.org/10.1016/j.ssci.2020.104658" TargetMode="External"/><Relationship Id="rId20" Type="http://schemas.openxmlformats.org/officeDocument/2006/relationships/hyperlink" Target="https://doi.org/10.3390/buildings11090409" TargetMode="External"/><Relationship Id="rId21" Type="http://schemas.openxmlformats.org/officeDocument/2006/relationships/hyperlink" Target="https://github.com/njvisionpower/Safety-Helmet-Wearing-Dataset" TargetMode="External"/><Relationship Id="rId22" Type="http://schemas.openxmlformats.org/officeDocument/2006/relationships/hyperlink" Target="https://doi.org/10.6084/m9.figshare.19625166.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