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Cardo-bold.ttf" ContentType="application/x-font-ttf"/>
  <Override PartName="/word/fonts/Cardo-italic.ttf" ContentType="application/x-font-ttf"/>
  <Override PartName="/word/fonts/Cardo-regular.ttf" ContentType="application/x-font-ttf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240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02">
      <w:pPr>
        <w:spacing w:after="120" w:lineRule="auto"/>
        <w:jc w:val="center"/>
        <w:rPr/>
      </w:pPr>
      <w:r>
        <w:rPr>
          <w:b w:val="1"/>
          <w:bCs w:val="1"/>
          <w:color w:val="1b2a4a"/>
          <w:sz w:val="48"/>
          <w:szCs w:val="48"/>
          <w:rtl w:val="0"/>
        </w:rPr>
        <w:t xml:space="preserve">Darra AI (</w:t>
      </w:r>
      <w:r>
        <w:rPr>
          <w:b w:val="1"/>
          <w:bCs w:val="1"/>
          <w:color w:val="1b2a4a"/>
          <w:sz w:val="48"/>
          <w:szCs w:val="48"/>
          <w:rtl w:val="1"/>
        </w:rPr>
        <w:t xml:space="preserve">درع</w:t>
      </w:r>
      <w:r>
        <w:rPr>
          <w:b w:val="1"/>
          <w:bCs w:val="1"/>
          <w:color w:val="1b2a4a"/>
          <w:sz w:val="48"/>
          <w:szCs w:val="48"/>
          <w:rtl w:val="0"/>
        </w:rPr>
        <w:t xml:space="preserve">)</w:t>
      </w:r>
      <w:r>
        <w:rPr>
          <w:rtl w:val="0"/>
        </w:rPr>
      </w:r>
    </w:p>
    <w:p w:rsidR="00000000" w:rsidDel="00000000" w:rsidP="00000000" w:rsidRDefault="00000000" w:rsidRPr="00000000" w14:paraId="00000003">
      <w:pPr>
        <w:spacing w:after="100" w:lineRule="auto"/>
        <w:jc w:val="center"/>
        <w:rPr/>
      </w:pPr>
      <w:r>
        <w:rPr>
          <w:i w:val="1"/>
          <w:iCs w:val="1"/>
          <w:color w:val="0e7c7b"/>
          <w:sz w:val="26"/>
          <w:szCs w:val="26"/>
          <w:rtl w:val="0"/>
        </w:rPr>
        <w:t xml:space="preserve">From Crisis Prediction to Financial Resilience</w:t>
      </w:r>
      <w:r>
        <w:rPr>
          <w:rtl w:val="0"/>
        </w:rPr>
      </w:r>
    </w:p>
    <w:p w:rsidR="00000000" w:rsidDel="00000000" w:rsidP="00000000" w:rsidRDefault="00000000" w:rsidRPr="00000000" w14:paraId="00000004">
      <w:pPr>
        <w:spacing w:after="600" w:lineRule="auto"/>
        <w:jc w:val="center"/>
        <w:rPr/>
      </w:pPr>
      <w:r>
        <w:rPr>
          <w:color w:val="3b3f45"/>
          <w:sz w:val="19"/>
          <w:szCs w:val="19"/>
          <w:rtl w:val="0"/>
        </w:rPr>
        <w:t xml:space="preserve">A Predictive &amp; Prescriptive AI Early-Warning System for Personal Financial Health</w:t>
      </w:r>
      <w:r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1b2a4a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  The Core Problem (Beyond Poverty)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spacing w:after="16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08">
      <w:pPr>
        <w:spacing w:after="100" w:before="120" w:lineRule="auto"/>
        <w:rPr/>
      </w:pPr>
      <w:r>
        <w:rPr>
          <w:rFonts w:ascii="Calibri" w:cs="Calibri" w:eastAsia="Calibri" w:hAnsi="Calibri"/>
          <w:b w:val="1"/>
          <w:bCs w:val="1"/>
          <w:color w:val="1b2a4a"/>
          <w:sz w:val="22"/>
          <w:szCs w:val="22"/>
          <w:rtl w:val="0"/>
        </w:rPr>
        <w:t xml:space="preserve">The Hidden Vulnerability: Financial Fragility</w:t>
      </w:r>
      <w:r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b3f45"/>
          <w:sz w:val="19"/>
          <w:szCs w:val="19"/>
          <w:u w:val="none"/>
          <w:shd w:fill="auto" w:val="clear"/>
          <w:vertAlign w:val="baseline"/>
          <w:rtl w:val="0"/>
        </w:rPr>
        <w:t xml:space="preserve">Core Message: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f45"/>
          <w:sz w:val="19"/>
          <w:szCs w:val="19"/>
          <w:u w:val="none"/>
          <w:shd w:fill="auto" w:val="clear"/>
          <w:vertAlign w:val="baseline"/>
          <w:rtl w:val="0"/>
        </w:rPr>
        <w:t xml:space="preserve">Most middle-to-low-income households do not cross the threshold into sudden poverty due to a lack of income; they collapse due to unseen economic shocks (medical emergencies, localized inflation surges, or high debt-to-income velocities).</w:t>
      </w:r>
      <w:r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b3f45"/>
          <w:sz w:val="19"/>
          <w:szCs w:val="19"/>
          <w:u w:val="none"/>
          <w:shd w:fill="auto" w:val="clear"/>
          <w:vertAlign w:val="baseline"/>
          <w:rtl w:val="0"/>
        </w:rPr>
        <w:t xml:space="preserve">The Naive Gap: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f45"/>
          <w:sz w:val="19"/>
          <w:szCs w:val="19"/>
          <w:u w:val="none"/>
          <w:shd w:fill="auto" w:val="clear"/>
          <w:vertAlign w:val="baseline"/>
          <w:rtl w:val="0"/>
        </w:rPr>
        <w:t xml:space="preserve">Current personal finance apps act as basic calculators or retroactive expense trackers. They tell you what you already spent, but fail to foresee economic breaking points.</w:t>
      </w:r>
      <w:r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b3f45"/>
          <w:sz w:val="19"/>
          <w:szCs w:val="19"/>
          <w:u w:val="none"/>
          <w:shd w:fill="auto" w:val="clear"/>
          <w:vertAlign w:val="baseline"/>
          <w:rtl w:val="0"/>
        </w:rPr>
        <w:t xml:space="preserve">The Local Factor: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f45"/>
          <w:sz w:val="19"/>
          <w:szCs w:val="19"/>
          <w:u w:val="none"/>
          <w:shd w:fill="auto" w:val="clear"/>
          <w:vertAlign w:val="baseline"/>
          <w:rtl w:val="0"/>
        </w:rPr>
        <w:t xml:space="preserve">High macroeconomic volatility (inflation spikes, shifting commodity indexes) makes static budgeting obsolete for Egyptian households.</w:t>
      </w:r>
      <w:r>
        <w:rPr>
          <w:rtl w:val="0"/>
        </w:rPr>
      </w:r>
    </w:p>
    <w:p w:rsidR="00000000" w:rsidDel="00000000" w:rsidP="00000000" w:rsidRDefault="00000000" w:rsidRPr="00000000" w14:paraId="0000000C">
      <w:pPr>
        <w:spacing w:after="240" w:lineRule="auto"/>
        <w:rPr/>
      </w:pPr>
      <w:r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1b2a4a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  Target Audience &amp; Ecosystem Viability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after="16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0F">
      <w:pPr>
        <w:spacing w:after="100" w:before="120" w:lineRule="auto"/>
        <w:rPr/>
      </w:pPr>
      <w:r>
        <w:rPr>
          <w:rFonts w:ascii="Calibri" w:cs="Calibri" w:eastAsia="Calibri" w:hAnsi="Calibri"/>
          <w:b w:val="1"/>
          <w:bCs w:val="1"/>
          <w:color w:val="1b2a4a"/>
          <w:sz w:val="22"/>
          <w:szCs w:val="22"/>
          <w:rtl w:val="0"/>
        </w:rPr>
        <w:t xml:space="preserve">1. Target Audience &amp; Commercial Ecosystem</w:t>
      </w:r>
      <w:r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b3f45"/>
          <w:sz w:val="19"/>
          <w:szCs w:val="19"/>
          <w:u w:val="none"/>
          <w:shd w:fill="auto" w:val="clear"/>
          <w:vertAlign w:val="baseline"/>
          <w:rtl w:val="0"/>
        </w:rPr>
        <w:t xml:space="preserve">B2C — Direct to Consumer: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f45"/>
          <w:sz w:val="19"/>
          <w:szCs w:val="19"/>
          <w:u w:val="none"/>
          <w:shd w:fill="auto" w:val="clear"/>
          <w:vertAlign w:val="baseline"/>
          <w:rtl w:val="0"/>
        </w:rPr>
        <w:t xml:space="preserve">Middle-class individuals, gig workers (income instability), and multi-dependent households seeking a defensive financial shield.</w:t>
      </w:r>
      <w:r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b3f45"/>
          <w:sz w:val="19"/>
          <w:szCs w:val="19"/>
          <w:u w:val="none"/>
          <w:shd w:fill="auto" w:val="clear"/>
          <w:vertAlign w:val="baseline"/>
          <w:rtl w:val="0"/>
        </w:rPr>
        <w:t xml:space="preserve">B2B / FinTech Integration — Commercial Viability</w:t>
      </w:r>
      <w:r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1440" w:right="0" w:hanging="360"/>
        <w:jc w:val="left"/>
        <w:rPr/>
      </w:pPr>
      <w:r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b3f45"/>
          <w:sz w:val="18"/>
          <w:szCs w:val="18"/>
          <w:u w:val="none"/>
          <w:shd w:fill="auto" w:val="clear"/>
          <w:vertAlign w:val="baseline"/>
          <w:rtl w:val="0"/>
        </w:rPr>
        <w:t xml:space="preserve">FinTech Apps (e.g., Telda, Instapay, Thndr):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f45"/>
          <w:sz w:val="18"/>
          <w:szCs w:val="18"/>
          <w:u w:val="none"/>
          <w:shd w:fill="auto" w:val="clear"/>
          <w:vertAlign w:val="baseline"/>
          <w:rtl w:val="0"/>
        </w:rPr>
        <w:t xml:space="preserve">Integrated as a premium feature to drive user retention.</w:t>
      </w:r>
      <w:r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1440" w:right="0" w:hanging="360"/>
        <w:jc w:val="left"/>
        <w:rPr/>
      </w:pPr>
      <w:r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b3f45"/>
          <w:sz w:val="18"/>
          <w:szCs w:val="18"/>
          <w:u w:val="none"/>
          <w:shd w:fill="auto" w:val="clear"/>
          <w:vertAlign w:val="baseline"/>
          <w:rtl w:val="0"/>
        </w:rPr>
        <w:t xml:space="preserve">Micro-Finance Institutions &amp; Neobanks: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f45"/>
          <w:sz w:val="18"/>
          <w:szCs w:val="18"/>
          <w:u w:val="none"/>
          <w:shd w:fill="auto" w:val="clear"/>
          <w:vertAlign w:val="baseline"/>
          <w:rtl w:val="0"/>
        </w:rPr>
        <w:t xml:space="preserve">Used to evaluate a borrower's predictive Resilience Score rather than relying solely on traditional credit scores, reducing loan default rates.</w:t>
      </w:r>
      <w:r>
        <w:rPr>
          <w:rtl w:val="0"/>
        </w:rPr>
      </w:r>
    </w:p>
    <w:p w:rsidR="00000000" w:rsidDel="00000000" w:rsidP="00000000" w:rsidRDefault="00000000" w:rsidRPr="00000000" w14:paraId="00000014">
      <w:pPr>
        <w:spacing w:after="240" w:lineRule="auto"/>
        <w:rPr/>
      </w:pPr>
      <w:r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1b2a4a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 The Innovation — The Financial Digital Twin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spacing w:after="16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17">
      <w:pPr>
        <w:spacing w:after="100" w:before="120" w:lineRule="auto"/>
        <w:rPr/>
      </w:pPr>
      <w:r>
        <w:rPr>
          <w:rFonts w:ascii="Calibri" w:cs="Calibri" w:eastAsia="Calibri" w:hAnsi="Calibri"/>
          <w:b w:val="1"/>
          <w:bCs w:val="1"/>
          <w:color w:val="1b2a4a"/>
          <w:sz w:val="22"/>
          <w:szCs w:val="22"/>
          <w:rtl w:val="0"/>
        </w:rPr>
        <w:t xml:space="preserve">Technical Architecture: The Financial Digital Twin</w:t>
      </w:r>
      <w:r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b3f45"/>
          <w:sz w:val="19"/>
          <w:szCs w:val="19"/>
          <w:u w:val="none"/>
          <w:shd w:fill="auto" w:val="clear"/>
          <w:vertAlign w:val="baseline"/>
          <w:rtl w:val="0"/>
        </w:rPr>
        <w:t xml:space="preserve">Concept: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f45"/>
          <w:sz w:val="19"/>
          <w:szCs w:val="19"/>
          <w:u w:val="none"/>
          <w:shd w:fill="auto" w:val="clear"/>
          <w:vertAlign w:val="baseline"/>
          <w:rtl w:val="0"/>
        </w:rPr>
        <w:t xml:space="preserve">Instead of processing static numbers, Darra AI builds a dynamic Digital Twin of the household's economy.</w:t>
      </w:r>
      <w:r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b3f45"/>
          <w:sz w:val="19"/>
          <w:szCs w:val="19"/>
          <w:u w:val="none"/>
          <w:shd w:fill="auto" w:val="clear"/>
          <w:vertAlign w:val="baseline"/>
          <w:rtl w:val="0"/>
        </w:rPr>
        <w:t xml:space="preserve">How It Works</w:t>
      </w:r>
      <w:r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1440" w:right="0" w:hanging="360"/>
        <w:jc w:val="left"/>
        <w:rPr/>
      </w:pPr>
      <w:r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b3f45"/>
          <w:sz w:val="18"/>
          <w:szCs w:val="18"/>
          <w:u w:val="none"/>
          <w:shd w:fill="auto" w:val="clear"/>
          <w:vertAlign w:val="baseline"/>
          <w:rtl w:val="0"/>
        </w:rPr>
        <w:t xml:space="preserve">Predictive Model: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f45"/>
          <w:sz w:val="18"/>
          <w:szCs w:val="18"/>
          <w:u w:val="none"/>
          <w:shd w:fill="auto" w:val="clear"/>
          <w:vertAlign w:val="baseline"/>
          <w:rtl w:val="0"/>
        </w:rPr>
        <w:t xml:space="preserve">Forecasts the probability of a cash-flow crisis within 3 to 6 months.</w:t>
      </w:r>
      <w:r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1440" w:right="0" w:hanging="360"/>
        <w:jc w:val="left"/>
        <w:rPr/>
      </w:pPr>
      <w:r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b3f45"/>
          <w:sz w:val="18"/>
          <w:szCs w:val="18"/>
          <w:u w:val="none"/>
          <w:shd w:fill="auto" w:val="clear"/>
          <w:vertAlign w:val="baseline"/>
          <w:rtl w:val="0"/>
        </w:rPr>
        <w:t xml:space="preserve">Continuous Tracking: </w:t>
      </w:r>
      <w:r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3b3f45"/>
          <w:sz w:val="18"/>
          <w:szCs w:val="18"/>
          <w:u w:val="none"/>
          <w:shd w:fill="auto" w:val="clear"/>
          <w:vertAlign w:val="baseline"/>
          <w:rtl w:val="0"/>
        </w:rPr>
        <w:t xml:space="preserve">Ingests monthly transactional trends to catch creeping financial degradation (e.g., January 24% → March 48%).</w:t>
      </w:r>
      <w:r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1440" w:right="0" w:hanging="360"/>
        <w:jc w:val="left"/>
        <w:rPr/>
      </w:pPr>
      <w:r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b3f45"/>
          <w:sz w:val="18"/>
          <w:szCs w:val="18"/>
          <w:u w:val="none"/>
          <w:shd w:fill="auto" w:val="clear"/>
          <w:vertAlign w:val="baseline"/>
          <w:rtl w:val="0"/>
        </w:rPr>
        <w:t xml:space="preserve">Macro Feature Engine: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f45"/>
          <w:sz w:val="18"/>
          <w:szCs w:val="18"/>
          <w:u w:val="none"/>
          <w:shd w:fill="auto" w:val="clear"/>
          <w:vertAlign w:val="baseline"/>
          <w:rtl w:val="0"/>
        </w:rPr>
        <w:t xml:space="preserve">Dynamically weights localized variables like the Consumer Price Index (CPI) against household size.</w:t>
      </w:r>
      <w:r>
        <w:rPr>
          <w:rtl w:val="0"/>
        </w:rPr>
      </w:r>
    </w:p>
    <w:p w:rsidR="00000000" w:rsidDel="00000000" w:rsidP="00000000" w:rsidRDefault="00000000" w:rsidRPr="00000000" w14:paraId="0000001D">
      <w:pPr>
        <w:spacing w:after="240" w:lineRule="auto"/>
        <w:rPr/>
      </w:pPr>
      <w:r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1b2a4a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 Advanced Features — Stress Testing &amp; Optimization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spacing w:after="16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20">
      <w:pPr>
        <w:spacing w:after="100" w:before="120" w:lineRule="auto"/>
        <w:rPr/>
      </w:pPr>
      <w:r>
        <w:rPr>
          <w:rFonts w:ascii="Calibri" w:cs="Calibri" w:eastAsia="Calibri" w:hAnsi="Calibri"/>
          <w:b w:val="1"/>
          <w:bCs w:val="1"/>
          <w:color w:val="1b2a4a"/>
          <w:sz w:val="22"/>
          <w:szCs w:val="22"/>
          <w:rtl w:val="0"/>
        </w:rPr>
        <w:t xml:space="preserve">Dynamic Simulations &amp; Prescriptive Engine</w:t>
      </w:r>
      <w:r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b3f45"/>
          <w:sz w:val="19"/>
          <w:szCs w:val="19"/>
          <w:u w:val="none"/>
          <w:shd w:fill="auto" w:val="clear"/>
          <w:vertAlign w:val="baseline"/>
          <w:rtl w:val="0"/>
        </w:rPr>
        <w:t xml:space="preserve">Interactive Stress Testing: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f45"/>
          <w:sz w:val="19"/>
          <w:szCs w:val="19"/>
          <w:u w:val="none"/>
          <w:shd w:fill="auto" w:val="clear"/>
          <w:vertAlign w:val="baseline"/>
          <w:rtl w:val="0"/>
        </w:rPr>
        <w:t xml:space="preserve">Users run scenarios: “What if a 15,000 EGP medical emergency hits?” or “What if rent increases 20%?” The AI outputs a probabilistic resilience rating, not a basic subtraction equation.</w:t>
      </w:r>
      <w:r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b3f45"/>
          <w:sz w:val="19"/>
          <w:szCs w:val="19"/>
          <w:u w:val="none"/>
          <w:shd w:fill="auto" w:val="clear"/>
          <w:vertAlign w:val="baseline"/>
          <w:rtl w:val="0"/>
        </w:rPr>
        <w:t xml:space="preserve">Prescriptive “Best Action” Optimizer: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f45"/>
          <w:sz w:val="19"/>
          <w:szCs w:val="19"/>
          <w:u w:val="none"/>
          <w:shd w:fill="auto" w:val="clear"/>
          <w:vertAlign w:val="baseline"/>
          <w:rtl w:val="0"/>
        </w:rPr>
        <w:t xml:space="preserve">The algorithm iterates through hundreds of small behavioral shifts to recommend the minimum structural lifestyle change required to drop the user's risk score (e.g., Action A: Postpone non-essential debt repayment vs Action B: Trim grocery budget by 9%).</w:t>
      </w:r>
      <w:r>
        <w:rPr>
          <w:rtl w:val="0"/>
        </w:rPr>
      </w:r>
    </w:p>
    <w:p w:rsidR="00000000" w:rsidDel="00000000" w:rsidP="00000000" w:rsidRDefault="00000000" w:rsidRPr="00000000" w14:paraId="00000023">
      <w:pPr>
        <w:spacing w:after="240" w:lineRule="auto"/>
        <w:rPr/>
      </w:pPr>
      <w:r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1b2a4a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 Required Core Technologies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spacing w:after="16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26">
      <w:pPr>
        <w:spacing w:after="100" w:before="120" w:lineRule="auto"/>
        <w:rPr/>
      </w:pPr>
      <w:r>
        <w:rPr>
          <w:rFonts w:ascii="Calibri" w:cs="Calibri" w:eastAsia="Calibri" w:hAnsi="Calibri"/>
          <w:b w:val="1"/>
          <w:bCs w:val="1"/>
          <w:color w:val="1b2a4a"/>
          <w:sz w:val="22"/>
          <w:szCs w:val="22"/>
          <w:rtl w:val="0"/>
        </w:rPr>
        <w:t xml:space="preserve">2. Technical Stack &amp; Infrastructure</w:t>
      </w:r>
      <w:r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b3f45"/>
          <w:sz w:val="19"/>
          <w:szCs w:val="19"/>
          <w:u w:val="none"/>
          <w:shd w:fill="auto" w:val="clear"/>
          <w:vertAlign w:val="baseline"/>
          <w:rtl w:val="0"/>
        </w:rPr>
        <w:t xml:space="preserve">Data Ingestion &amp; Processing</w:t>
      </w:r>
      <w:r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1440" w:right="0" w:hanging="360"/>
        <w:jc w:val="left"/>
        <w:rPr/>
      </w:pPr>
      <w:r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b3f45"/>
          <w:sz w:val="18"/>
          <w:szCs w:val="18"/>
          <w:u w:val="none"/>
          <w:shd w:fill="auto" w:val="clear"/>
          <w:vertAlign w:val="baseline"/>
          <w:rtl w:val="0"/>
        </w:rPr>
        <w:t xml:space="preserve">Pandas &amp; NumPy: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f45"/>
          <w:sz w:val="18"/>
          <w:szCs w:val="18"/>
          <w:u w:val="none"/>
          <w:shd w:fill="auto" w:val="clear"/>
          <w:vertAlign w:val="baseline"/>
          <w:rtl w:val="0"/>
        </w:rPr>
        <w:t xml:space="preserve">for feature manipulation.</w:t>
      </w:r>
      <w:r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1440" w:right="0" w:hanging="360"/>
        <w:jc w:val="left"/>
        <w:rPr/>
      </w:pPr>
      <w:r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b3f45"/>
          <w:sz w:val="18"/>
          <w:szCs w:val="18"/>
          <w:u w:val="none"/>
          <w:shd w:fill="auto" w:val="clear"/>
          <w:vertAlign w:val="baseline"/>
          <w:rtl w:val="0"/>
        </w:rPr>
        <w:t xml:space="preserve">Regex / HuggingFace NER: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f45"/>
          <w:sz w:val="18"/>
          <w:szCs w:val="18"/>
          <w:u w:val="none"/>
          <w:shd w:fill="auto" w:val="clear"/>
          <w:vertAlign w:val="baseline"/>
          <w:rtl w:val="0"/>
        </w:rPr>
        <w:t xml:space="preserve">to clean and categorize raw digital transaction text or SMS bank alerts.</w:t>
      </w:r>
      <w:r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b3f45"/>
          <w:sz w:val="19"/>
          <w:szCs w:val="19"/>
          <w:u w:val="none"/>
          <w:shd w:fill="auto" w:val="clear"/>
          <w:vertAlign w:val="baseline"/>
          <w:rtl w:val="0"/>
        </w:rPr>
        <w:t xml:space="preserve">Machine Learning Pipeline</w:t>
      </w:r>
      <w:r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1440" w:right="0" w:hanging="360"/>
        <w:jc w:val="left"/>
        <w:rPr/>
      </w:pPr>
      <w:r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b3f45"/>
          <w:sz w:val="18"/>
          <w:szCs w:val="18"/>
          <w:u w:val="none"/>
          <w:shd w:fill="auto" w:val="clear"/>
          <w:vertAlign w:val="baseline"/>
          <w:rtl w:val="0"/>
        </w:rPr>
        <w:t xml:space="preserve">XGBoost / LightGBM: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f45"/>
          <w:sz w:val="18"/>
          <w:szCs w:val="18"/>
          <w:u w:val="none"/>
          <w:shd w:fill="auto" w:val="clear"/>
          <w:vertAlign w:val="baseline"/>
          <w:rtl w:val="0"/>
        </w:rPr>
        <w:t xml:space="preserve">Classifier core for risk scores and crisis triggers.</w:t>
      </w:r>
      <w:r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1440" w:right="0" w:hanging="360"/>
        <w:jc w:val="left"/>
        <w:rPr/>
      </w:pPr>
      <w:r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b3f45"/>
          <w:sz w:val="18"/>
          <w:szCs w:val="18"/>
          <w:u w:val="none"/>
          <w:shd w:fill="auto" w:val="clear"/>
          <w:vertAlign w:val="baseline"/>
          <w:rtl w:val="0"/>
        </w:rPr>
        <w:t xml:space="preserve">SHAP (SHapley Additive exPlanations):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f45"/>
          <w:sz w:val="18"/>
          <w:szCs w:val="18"/>
          <w:u w:val="none"/>
          <w:shd w:fill="auto" w:val="clear"/>
          <w:vertAlign w:val="baseline"/>
          <w:rtl w:val="0"/>
        </w:rPr>
        <w:t xml:space="preserve">for Explainable AI (XAI) to prove why the model predicts a specific risk factor.</w:t>
      </w:r>
      <w:r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b3f45"/>
          <w:sz w:val="19"/>
          <w:szCs w:val="19"/>
          <w:u w:val="none"/>
          <w:shd w:fill="auto" w:val="clear"/>
          <w:vertAlign w:val="baseline"/>
          <w:rtl w:val="0"/>
        </w:rPr>
        <w:t xml:space="preserve">Prescriptive Core &amp; Interface</w:t>
      </w:r>
      <w:r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1440" w:right="0" w:hanging="360"/>
        <w:jc w:val="left"/>
        <w:rPr/>
      </w:pPr>
      <w:r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b3f45"/>
          <w:sz w:val="18"/>
          <w:szCs w:val="18"/>
          <w:u w:val="none"/>
          <w:shd w:fill="auto" w:val="clear"/>
          <w:vertAlign w:val="baseline"/>
          <w:rtl w:val="0"/>
        </w:rPr>
        <w:t xml:space="preserve">SciPy Optimize / custom genetic algorithms: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f45"/>
          <w:sz w:val="18"/>
          <w:szCs w:val="18"/>
          <w:u w:val="none"/>
          <w:shd w:fill="auto" w:val="clear"/>
          <w:vertAlign w:val="baseline"/>
          <w:rtl w:val="0"/>
        </w:rPr>
        <w:t xml:space="preserve">for the “Best Action” minimization engine.</w:t>
      </w:r>
      <w:r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1440" w:right="0" w:hanging="360"/>
        <w:jc w:val="left"/>
        <w:rPr/>
      </w:pPr>
      <w:r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b3f45"/>
          <w:sz w:val="18"/>
          <w:szCs w:val="18"/>
          <w:u w:val="none"/>
          <w:shd w:fill="auto" w:val="clear"/>
          <w:vertAlign w:val="baseline"/>
          <w:rtl w:val="0"/>
        </w:rPr>
        <w:t xml:space="preserve">LangChain + Ollama (Quantized Mistral / LLaMA-3):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f45"/>
          <w:sz w:val="18"/>
          <w:szCs w:val="18"/>
          <w:u w:val="none"/>
          <w:shd w:fill="auto" w:val="clear"/>
          <w:vertAlign w:val="baseline"/>
          <w:rtl w:val="0"/>
        </w:rPr>
        <w:t xml:space="preserve">to generate personalized action plans in natural Arabic/English text.</w:t>
      </w:r>
      <w:r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1440" w:right="0" w:hanging="360"/>
        <w:jc w:val="left"/>
        <w:rPr/>
      </w:pPr>
      <w:r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b3f45"/>
          <w:sz w:val="18"/>
          <w:szCs w:val="18"/>
          <w:u w:val="none"/>
          <w:shd w:fill="auto" w:val="clear"/>
          <w:vertAlign w:val="baseline"/>
          <w:rtl w:val="0"/>
        </w:rPr>
        <w:t xml:space="preserve">Streamlit / Gradio: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f45"/>
          <w:sz w:val="18"/>
          <w:szCs w:val="18"/>
          <w:u w:val="none"/>
          <w:shd w:fill="auto" w:val="clear"/>
          <w:vertAlign w:val="baseline"/>
          <w:rtl w:val="0"/>
        </w:rPr>
        <w:t xml:space="preserve">for the real-time presentation dashboard.</w:t>
      </w:r>
      <w:r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>
        <w:br w:type="page"/>
      </w:r>
      <w:r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1b2a4a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 Machine Learning Strategy (Real-World Dataset Design &amp; Features)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spacing w:after="16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34">
      <w:pPr>
        <w:spacing w:after="100" w:before="120" w:lineRule="auto"/>
        <w:rPr/>
      </w:pPr>
      <w:r>
        <w:rPr>
          <w:rFonts w:ascii="Calibri" w:cs="Calibri" w:eastAsia="Calibri" w:hAnsi="Calibri"/>
          <w:b w:val="1"/>
          <w:bCs w:val="1"/>
          <w:color w:val="1b2a4a"/>
          <w:sz w:val="22"/>
          <w:szCs w:val="22"/>
          <w:rtl w:val="0"/>
        </w:rPr>
        <w:t>3. Real-World Dataset Design &amp; Features</w:t>
      </w:r>
      <w:r>
        <w:rPr>
          <w:rtl w:val="0"/>
        </w:rPr>
      </w:r>
    </w:p>
    <w:p w:rsidR="00000000" w:rsidDel="00000000" w:rsidP="00000000" w:rsidRDefault="00000000" w:rsidRPr="00000000" w14:paraId="00000035">
      <w:pPr>
        <w:spacing w:after="100" w:lineRule="auto"/>
        <w:rPr/>
      </w:pPr>
      <w:r>
        <w:rPr>
          <w:i w:val="1"/>
          <w:iCs w:val="1"/>
          <w:color w:val="3b3f45"/>
          <w:sz w:val="19"/>
          <w:szCs w:val="19"/>
          <w:rtl w:val="0"/>
        </w:rPr>
        <w:t xml:space="preserve">Presenter Note: Use this slide to show your jury that your data engineering foundations are strong before you even plug in the model.</w:t>
      </w:r>
      <w:r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b3f45"/>
          <w:sz w:val="19"/>
          <w:szCs w:val="19"/>
          <w:u w:val="none"/>
          <w:shd w:fill="auto" w:val="clear"/>
          <w:vertAlign w:val="baseline"/>
          <w:rtl w:val="0"/>
        </w:rPr>
        <w:t xml:space="preserve">Target Variable — Is_Crisis_Triggered (Binary: 0 or 1):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f45"/>
          <w:sz w:val="19"/>
          <w:szCs w:val="19"/>
          <w:u w:val="none"/>
          <w:shd w:fill="auto" w:val="clear"/>
          <w:vertAlign w:val="baseline"/>
          <w:rtl w:val="0"/>
        </w:rPr>
        <w:t xml:space="preserve">Defined as a household running out of completely liquid savings or defaulting on fixed obligations (rent/debt) within the rolling 90-to-180 day window.</w:t>
      </w:r>
      <w:r>
        <w:rPr>
          <w:rtl w:val="0"/>
        </w:rPr>
      </w:r>
    </w:p>
    <w:p w:rsidR="00000000" w:rsidDel="00000000" w:rsidP="00000000" w:rsidRDefault="00000000" w:rsidRPr="00000000" w14:paraId="00000037">
      <w:pPr>
        <w:spacing w:after="80" w:before="160" w:lineRule="auto"/>
        <w:rPr/>
      </w:pPr>
      <w:r>
        <w:rPr>
          <w:b w:val="1"/>
          <w:bCs w:val="1"/>
          <w:color w:val="1b2a4a"/>
          <w:sz w:val="20"/>
          <w:szCs w:val="20"/>
          <w:rtl w:val="0"/>
        </w:rPr>
        <w:t xml:space="preserve">Feature Space &amp; Data Dictionary</w:t>
      </w:r>
      <w:r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00"/>
        <w:gridCol w:w="1300"/>
        <w:gridCol w:w="3260"/>
        <w:gridCol w:w="2700"/>
        <w:tblGridChange w:id="0">
          <w:tblGrid>
            <w:gridCol w:w="2100"/>
            <w:gridCol w:w="1300"/>
            <w:gridCol w:w="3260"/>
            <w:gridCol w:w="2700"/>
          </w:tblGrid>
        </w:tblGridChange>
      </w:tblGrid>
      <w:tr>
        <w:trPr>
          <w:cantSplit w:val="0"/>
          <w:tblHeader w:val="1"/>
        </w:trPr>
        <w:tc>
          <w:tcPr>
            <w:shd w:fill="1b2a4a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rPr/>
            </w:pPr>
            <w:r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Column / Feature</w:t>
            </w:r>
            <w:r>
              <w:rPr>
                <w:rtl w:val="0"/>
              </w:rPr>
            </w:r>
          </w:p>
        </w:tc>
        <w:tc>
          <w:tcPr>
            <w:shd w:fill="1b2a4a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rPr/>
            </w:pPr>
            <w:r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Data Type</w:t>
            </w:r>
            <w:r>
              <w:rPr>
                <w:rtl w:val="0"/>
              </w:rPr>
            </w:r>
          </w:p>
        </w:tc>
        <w:tc>
          <w:tcPr>
            <w:shd w:fill="1b2a4a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rPr/>
            </w:pPr>
            <w:r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Description</w:t>
            </w:r>
            <w:r>
              <w:rPr>
                <w:rtl w:val="0"/>
              </w:rPr>
            </w:r>
          </w:p>
        </w:tc>
        <w:tc>
          <w:tcPr>
            <w:shd w:fill="1b2a4a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rPr/>
            </w:pPr>
            <w:r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Rationale for AI Training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>
              <w:rPr>
                <w:color w:val="3b3f45"/>
                <w:sz w:val="15"/>
                <w:szCs w:val="15"/>
                <w:rtl w:val="0"/>
              </w:rPr>
              <w:t xml:space="preserve">Household_ID</w:t>
            </w:r>
            <w:r>
              <w:rPr>
                <w:rtl w:val="0"/>
              </w:rPr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>
              <w:rPr>
                <w:color w:val="3b3f45"/>
                <w:sz w:val="15"/>
                <w:szCs w:val="15"/>
                <w:rtl w:val="0"/>
              </w:rPr>
              <w:t xml:space="preserve">Integer</w:t>
            </w:r>
            <w:r>
              <w:rPr>
                <w:rtl w:val="0"/>
              </w:rPr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>
              <w:rPr>
                <w:color w:val="3b3f45"/>
                <w:sz w:val="15"/>
                <w:szCs w:val="15"/>
                <w:rtl w:val="0"/>
              </w:rPr>
              <w:t>Unique identifier per real-world household profile</w:t>
            </w:r>
            <w:r>
              <w:rPr>
                <w:rtl w:val="0"/>
              </w:rPr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>
              <w:rPr>
                <w:color w:val="3b3f45"/>
                <w:sz w:val="15"/>
                <w:szCs w:val="15"/>
                <w:rtl w:val="0"/>
              </w:rPr>
              <w:t xml:space="preserve">Grouping time-series trends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8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>
              <w:rPr>
                <w:color w:val="3b3f45"/>
                <w:sz w:val="15"/>
                <w:szCs w:val="15"/>
                <w:rtl w:val="0"/>
              </w:rPr>
              <w:t xml:space="preserve">Monthly_Net_Income</w:t>
            </w:r>
            <w:r>
              <w:rPr>
                <w:rtl w:val="0"/>
              </w:rPr>
            </w:r>
          </w:p>
        </w:tc>
        <w:tc>
          <w:tcPr>
            <w:shd w:fill="f4f6f8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>
              <w:rPr>
                <w:color w:val="3b3f45"/>
                <w:sz w:val="15"/>
                <w:szCs w:val="15"/>
                <w:rtl w:val="0"/>
              </w:rPr>
              <w:t xml:space="preserve">Float</w:t>
            </w:r>
            <w:r>
              <w:rPr>
                <w:rtl w:val="0"/>
              </w:rPr>
            </w:r>
          </w:p>
        </w:tc>
        <w:tc>
          <w:tcPr>
            <w:shd w:fill="f4f6f8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>
              <w:rPr>
                <w:color w:val="3b3f45"/>
                <w:sz w:val="15"/>
                <w:szCs w:val="15"/>
                <w:rtl w:val="0"/>
              </w:rPr>
              <w:t xml:space="preserve">Total baseline income (EGP)</w:t>
            </w:r>
            <w:r>
              <w:rPr>
                <w:rtl w:val="0"/>
              </w:rPr>
            </w:r>
          </w:p>
        </w:tc>
        <w:tc>
          <w:tcPr>
            <w:shd w:fill="f4f6f8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>
              <w:rPr>
                <w:color w:val="3b3f45"/>
                <w:sz w:val="15"/>
                <w:szCs w:val="15"/>
                <w:rtl w:val="0"/>
              </w:rPr>
              <w:t xml:space="preserve">Core capacity metric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>
              <w:rPr>
                <w:color w:val="3b3f45"/>
                <w:sz w:val="15"/>
                <w:szCs w:val="15"/>
                <w:rtl w:val="0"/>
              </w:rPr>
              <w:t xml:space="preserve">Income_Stability_Index</w:t>
            </w:r>
            <w:r>
              <w:rPr>
                <w:rtl w:val="0"/>
              </w:rPr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>
              <w:rPr>
                <w:color w:val="3b3f45"/>
                <w:sz w:val="15"/>
                <w:szCs w:val="15"/>
                <w:rtl w:val="0"/>
              </w:rPr>
              <w:t xml:space="preserve">Float (0.0–1.0)</w:t>
            </w:r>
            <w:r>
              <w:rPr>
                <w:rtl w:val="0"/>
              </w:rPr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>
              <w:rPr>
                <w:color w:val="3b3f45"/>
                <w:sz w:val="15"/>
                <w:szCs w:val="15"/>
                <w:rtl w:val="0"/>
              </w:rPr>
              <w:t xml:space="preserve">Std. deviation of income fluctuations over 6 months</w:t>
            </w:r>
            <w:r>
              <w:rPr>
                <w:rtl w:val="0"/>
              </w:rPr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>
              <w:rPr>
                <w:color w:val="3b3f45"/>
                <w:sz w:val="15"/>
                <w:szCs w:val="15"/>
                <w:rtl w:val="0"/>
              </w:rPr>
              <w:t xml:space="preserve">Captures gig-worker risk profiles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8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>
              <w:rPr>
                <w:color w:val="3b3f45"/>
                <w:sz w:val="15"/>
                <w:szCs w:val="15"/>
                <w:rtl w:val="0"/>
              </w:rPr>
              <w:t xml:space="preserve">Baseline_Fixed_Expenses</w:t>
            </w:r>
            <w:r>
              <w:rPr>
                <w:rtl w:val="0"/>
              </w:rPr>
            </w:r>
          </w:p>
        </w:tc>
        <w:tc>
          <w:tcPr>
            <w:shd w:fill="f4f6f8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>
              <w:rPr>
                <w:color w:val="3b3f45"/>
                <w:sz w:val="15"/>
                <w:szCs w:val="15"/>
                <w:rtl w:val="0"/>
              </w:rPr>
              <w:t xml:space="preserve">Float</w:t>
            </w:r>
            <w:r>
              <w:rPr>
                <w:rtl w:val="0"/>
              </w:rPr>
            </w:r>
          </w:p>
        </w:tc>
        <w:tc>
          <w:tcPr>
            <w:shd w:fill="f4f6f8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>
              <w:rPr>
                <w:color w:val="3b3f45"/>
                <w:sz w:val="15"/>
                <w:szCs w:val="15"/>
                <w:rtl w:val="0"/>
              </w:rPr>
              <w:t xml:space="preserve">Rent, utilities, school tuition, core nutrition</w:t>
            </w:r>
            <w:r>
              <w:rPr>
                <w:rtl w:val="0"/>
              </w:rPr>
            </w:r>
          </w:p>
        </w:tc>
        <w:tc>
          <w:tcPr>
            <w:shd w:fill="f4f6f8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>
              <w:rPr>
                <w:color w:val="3b3f45"/>
                <w:sz w:val="15"/>
                <w:szCs w:val="15"/>
                <w:rtl w:val="0"/>
              </w:rPr>
              <w:t xml:space="preserve">Inelastic baseline spending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>
              <w:rPr>
                <w:color w:val="3b3f45"/>
                <w:sz w:val="15"/>
                <w:szCs w:val="15"/>
                <w:rtl w:val="0"/>
              </w:rPr>
              <w:t xml:space="preserve">Discretionary_Spend_Ratio</w:t>
            </w:r>
            <w:r>
              <w:rPr>
                <w:rtl w:val="0"/>
              </w:rPr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>
              <w:rPr>
                <w:color w:val="3b3f45"/>
                <w:sz w:val="15"/>
                <w:szCs w:val="15"/>
                <w:rtl w:val="0"/>
              </w:rPr>
              <w:t xml:space="preserve">Float (0.0–1.0)</w:t>
            </w:r>
            <w:r>
              <w:rPr>
                <w:rtl w:val="0"/>
              </w:rPr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>
              <w:rPr>
                <w:color w:val="3b3f45"/>
                <w:sz w:val="15"/>
                <w:szCs w:val="15"/>
                <w:rtl w:val="0"/>
              </w:rPr>
              <w:t xml:space="preserve">% of income spent on non-essentials</w:t>
            </w:r>
            <w:r>
              <w:rPr>
                <w:rtl w:val="0"/>
              </w:rPr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>
              <w:rPr>
                <w:color w:val="3b3f45"/>
                <w:sz w:val="15"/>
                <w:szCs w:val="15"/>
                <w:rtl w:val="0"/>
              </w:rPr>
              <w:t xml:space="preserve">Measures household budget flexibility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8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>
              <w:rPr>
                <w:color w:val="3b3f45"/>
                <w:sz w:val="15"/>
                <w:szCs w:val="15"/>
                <w:rtl w:val="0"/>
              </w:rPr>
              <w:t xml:space="preserve">Debt_to_Income_Ratio</w:t>
            </w:r>
            <w:r>
              <w:rPr>
                <w:rtl w:val="0"/>
              </w:rPr>
            </w:r>
          </w:p>
        </w:tc>
        <w:tc>
          <w:tcPr>
            <w:shd w:fill="f4f6f8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>
              <w:rPr>
                <w:color w:val="3b3f45"/>
                <w:sz w:val="15"/>
                <w:szCs w:val="15"/>
                <w:rtl w:val="0"/>
              </w:rPr>
              <w:t xml:space="preserve">Float</w:t>
            </w:r>
            <w:r>
              <w:rPr>
                <w:rtl w:val="0"/>
              </w:rPr>
            </w:r>
          </w:p>
        </w:tc>
        <w:tc>
          <w:tcPr>
            <w:shd w:fill="f4f6f8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>
              <w:rPr>
                <w:color w:val="3b3f45"/>
                <w:sz w:val="15"/>
                <w:szCs w:val="15"/>
                <w:rtl w:val="0"/>
              </w:rPr>
              <w:t xml:space="preserve">Monthly debt service divided by gross income</w:t>
            </w:r>
            <w:r>
              <w:rPr>
                <w:rtl w:val="0"/>
              </w:rPr>
            </w:r>
          </w:p>
        </w:tc>
        <w:tc>
          <w:tcPr>
            <w:shd w:fill="f4f6f8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>
              <w:rPr>
                <w:color w:val="3b3f45"/>
                <w:sz w:val="15"/>
                <w:szCs w:val="15"/>
                <w:rtl w:val="0"/>
              </w:rPr>
              <w:t xml:space="preserve">Predicts critical default trajectories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>
              <w:rPr>
                <w:color w:val="3b3f45"/>
                <w:sz w:val="15"/>
                <w:szCs w:val="15"/>
                <w:rtl w:val="0"/>
              </w:rPr>
              <w:t xml:space="preserve">Liquid_Savings_Balance</w:t>
            </w:r>
            <w:r>
              <w:rPr>
                <w:rtl w:val="0"/>
              </w:rPr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>
              <w:rPr>
                <w:color w:val="3b3f45"/>
                <w:sz w:val="15"/>
                <w:szCs w:val="15"/>
                <w:rtl w:val="0"/>
              </w:rPr>
              <w:t xml:space="preserve">Float</w:t>
            </w:r>
            <w:r>
              <w:rPr>
                <w:rtl w:val="0"/>
              </w:rPr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>
              <w:rPr>
                <w:color w:val="3b3f45"/>
                <w:sz w:val="15"/>
                <w:szCs w:val="15"/>
                <w:rtl w:val="0"/>
              </w:rPr>
              <w:t xml:space="preserve">Cash / accessible funds available instantly</w:t>
            </w:r>
            <w:r>
              <w:rPr>
                <w:rtl w:val="0"/>
              </w:rPr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>
              <w:rPr>
                <w:color w:val="3b3f45"/>
                <w:sz w:val="15"/>
                <w:szCs w:val="15"/>
                <w:rtl w:val="0"/>
              </w:rPr>
              <w:t xml:space="preserve">Primary buffer against economic shocks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8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>
              <w:rPr>
                <w:color w:val="3b3f45"/>
                <w:sz w:val="15"/>
                <w:szCs w:val="15"/>
                <w:rtl w:val="0"/>
              </w:rPr>
              <w:t xml:space="preserve">Number_of_Dependents</w:t>
            </w:r>
            <w:r>
              <w:rPr>
                <w:rtl w:val="0"/>
              </w:rPr>
            </w:r>
          </w:p>
        </w:tc>
        <w:tc>
          <w:tcPr>
            <w:shd w:fill="f4f6f8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>
              <w:rPr>
                <w:color w:val="3b3f45"/>
                <w:sz w:val="15"/>
                <w:szCs w:val="15"/>
                <w:rtl w:val="0"/>
              </w:rPr>
              <w:t xml:space="preserve">Integer</w:t>
            </w:r>
            <w:r>
              <w:rPr>
                <w:rtl w:val="0"/>
              </w:rPr>
            </w:r>
          </w:p>
        </w:tc>
        <w:tc>
          <w:tcPr>
            <w:shd w:fill="f4f6f8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>
              <w:rPr>
                <w:color w:val="3b3f45"/>
                <w:sz w:val="15"/>
                <w:szCs w:val="15"/>
                <w:rtl w:val="0"/>
              </w:rPr>
              <w:t xml:space="preserve">Number of supported individuals in household</w:t>
            </w:r>
            <w:r>
              <w:rPr>
                <w:rtl w:val="0"/>
              </w:rPr>
            </w:r>
          </w:p>
        </w:tc>
        <w:tc>
          <w:tcPr>
            <w:shd w:fill="f4f6f8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>
              <w:rPr>
                <w:color w:val="3b3f45"/>
                <w:sz w:val="15"/>
                <w:szCs w:val="15"/>
                <w:rtl w:val="0"/>
              </w:rPr>
              <w:t xml:space="preserve">Scales the impact of macro shocks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>
              <w:rPr>
                <w:color w:val="3b3f45"/>
                <w:sz w:val="15"/>
                <w:szCs w:val="15"/>
                <w:rtl w:val="0"/>
              </w:rPr>
              <w:t xml:space="preserve">Local_CPI_Surge_Factor</w:t>
            </w:r>
            <w:r>
              <w:rPr>
                <w:rtl w:val="0"/>
              </w:rPr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>
              <w:rPr>
                <w:color w:val="3b3f45"/>
                <w:sz w:val="15"/>
                <w:szCs w:val="15"/>
                <w:rtl w:val="0"/>
              </w:rPr>
              <w:t xml:space="preserve">Float</w:t>
            </w:r>
            <w:r>
              <w:rPr>
                <w:rtl w:val="0"/>
              </w:rPr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>
              <w:rPr>
                <w:color w:val="3b3f45"/>
                <w:sz w:val="15"/>
                <w:szCs w:val="15"/>
                <w:rtl w:val="0"/>
              </w:rPr>
              <w:t xml:space="preserve">Current inflation adjustment multiplier</w:t>
            </w:r>
            <w:r>
              <w:rPr>
                <w:rtl w:val="0"/>
              </w:rPr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>
              <w:rPr>
                <w:color w:val="3b3f45"/>
                <w:sz w:val="15"/>
                <w:szCs w:val="15"/>
                <w:rtl w:val="0"/>
              </w:rPr>
              <w:t xml:space="preserve">Binds external economic pressure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8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>
              <w:rPr>
                <w:color w:val="3b3f45"/>
                <w:sz w:val="15"/>
                <w:szCs w:val="15"/>
                <w:rtl w:val="0"/>
              </w:rPr>
              <w:t xml:space="preserve">Savings_Velocity</w:t>
            </w:r>
            <w:r>
              <w:rPr>
                <w:rtl w:val="0"/>
              </w:rPr>
            </w:r>
          </w:p>
        </w:tc>
        <w:tc>
          <w:tcPr>
            <w:shd w:fill="f4f6f8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>
              <w:rPr>
                <w:color w:val="3b3f45"/>
                <w:sz w:val="15"/>
                <w:szCs w:val="15"/>
                <w:rtl w:val="0"/>
              </w:rPr>
              <w:t xml:space="preserve">Float</w:t>
            </w:r>
            <w:r>
              <w:rPr>
                <w:rtl w:val="0"/>
              </w:rPr>
            </w:r>
          </w:p>
        </w:tc>
        <w:tc>
          <w:tcPr>
            <w:shd w:fill="f4f6f8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>
              <w:rPr>
                <w:color w:val="3b3f45"/>
                <w:sz w:val="15"/>
                <w:szCs w:val="15"/>
                <w:rtl w:val="0"/>
              </w:rPr>
              <w:t xml:space="preserve">Rate of savings growth or depletion over 90 days</w:t>
            </w:r>
            <w:r>
              <w:rPr>
                <w:rtl w:val="0"/>
              </w:rPr>
            </w:r>
          </w:p>
        </w:tc>
        <w:tc>
          <w:tcPr>
            <w:shd w:fill="f4f6f8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>
              <w:rPr>
                <w:color w:val="3b3f45"/>
                <w:sz w:val="15"/>
                <w:szCs w:val="15"/>
                <w:rtl w:val="0"/>
              </w:rPr>
              <w:t xml:space="preserve">Shows trend acceleration or deceleration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>
              <w:rPr>
                <w:color w:val="3b3f45"/>
                <w:sz w:val="15"/>
                <w:szCs w:val="15"/>
                <w:rtl w:val="0"/>
              </w:rPr>
              <w:t xml:space="preserve">Is_Crisis_Triggered (Target)</w:t>
            </w:r>
            <w:r>
              <w:rPr>
                <w:rtl w:val="0"/>
              </w:rPr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>
              <w:rPr>
                <w:color w:val="3b3f45"/>
                <w:sz w:val="15"/>
                <w:szCs w:val="15"/>
                <w:rtl w:val="0"/>
              </w:rPr>
              <w:t xml:space="preserve">Binary (0/1)</w:t>
            </w:r>
            <w:r>
              <w:rPr>
                <w:rtl w:val="0"/>
              </w:rPr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>
              <w:rPr>
                <w:color w:val="3b3f45"/>
                <w:sz w:val="15"/>
                <w:szCs w:val="15"/>
                <w:rtl w:val="0"/>
              </w:rPr>
              <w:t xml:space="preserve">Whether the profile hit zero liquid funds in 90–180 days</w:t>
            </w:r>
            <w:r>
              <w:rPr>
                <w:rtl w:val="0"/>
              </w:rPr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>
              <w:rPr>
                <w:color w:val="3b3f45"/>
                <w:sz w:val="15"/>
                <w:szCs w:val="15"/>
                <w:rtl w:val="0"/>
              </w:rPr>
              <w:t xml:space="preserve">The main value predicted by the model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>
      <w:pPr>
        <w:spacing w:after="100" w:before="100" w:lineRule="auto"/>
        <w:rPr/>
      </w:pPr>
      <w:r>
        <w:rPr>
          <w:i w:val="1"/>
          <w:iCs w:val="1"/>
          <w:b w:val="1"/>
          <w:bCs w:val="1"/>
          <w:color w:val="3b3f45"/>
          <w:sz w:val="19"/>
          <w:szCs w:val="19"/>
          <w:rtl w:val="0"/>
        </w:rPr>
        <w:t xml:space="preserve">Data Source: </w:t>
      </w:r>
      <w:r>
        <w:rPr>
          <w:i w:val="1"/>
          <w:iCs w:val="1"/>
          <w:color w:val="3b3f45"/>
          <w:sz w:val="19"/>
          <w:szCs w:val="19"/>
          <w:rtl w:val="0"/>
        </w:rPr>
        <w:t xml:space="preserve">Kaggle competition dataset — “Give Me Some Credit” — https://www.kaggle.com/c/GiveMeSomeCredit/data</w:t>
      </w:r>
      <w:r>
        <w:rPr>
          <w:rtl w:val="0"/>
        </w:rPr>
      </w:r>
    </w:p>
    <w:p w:rsidR="00000000" w:rsidDel="00000000" w:rsidP="00000000" w:rsidRDefault="00000000" w:rsidRPr="00000000" w14:paraId="00000068">
      <w:pPr>
        <w:spacing w:after="240" w:lineRule="auto"/>
        <w:rPr/>
      </w:pPr>
      <w:r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1b2a4a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 Project Timeline &amp; Deliverables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A">
      <w:pPr>
        <w:spacing w:after="16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6B">
      <w:pPr>
        <w:spacing w:after="100" w:before="120" w:lineRule="auto"/>
        <w:rPr/>
      </w:pPr>
      <w:r>
        <w:rPr>
          <w:rFonts w:ascii="Calibri" w:cs="Calibri" w:eastAsia="Calibri" w:hAnsi="Calibri"/>
          <w:b w:val="1"/>
          <w:bCs w:val="1"/>
          <w:color w:val="1b2a4a"/>
          <w:sz w:val="22"/>
          <w:szCs w:val="22"/>
          <w:rtl w:val="0"/>
        </w:rPr>
        <w:t xml:space="preserve">Execution Blueprint</w:t>
      </w:r>
      <w:r>
        <w:rPr>
          <w:rtl w:val="0"/>
        </w:rPr>
      </w:r>
    </w:p>
    <w:p w:rsidR="00000000" w:rsidDel="00000000" w:rsidP="00000000" w:rsidRDefault="00000000" w:rsidRPr="00000000" w14:paraId="0000006C">
      <w:pPr>
        <w:spacing w:after="40" w:before="140" w:lineRule="auto"/>
        <w:rPr/>
      </w:pPr>
      <w:r>
        <w:rPr>
          <w:b w:val="1"/>
          <w:bCs w:val="1"/>
          <w:color w:val="0e7c7b"/>
          <w:sz w:val="20"/>
          <w:szCs w:val="20"/>
          <w:rtl w:val="0"/>
        </w:rPr>
        <w:t xml:space="preserve">Phase 1 (Weeks 1–3)</w:t>
      </w:r>
      <w:r>
        <w:rPr>
          <w:rtl w:val="0"/>
        </w:rPr>
      </w:r>
    </w:p>
    <w:p w:rsidR="00000000" w:rsidDel="00000000" w:rsidP="00000000" w:rsidRDefault="00000000" w:rsidRPr="00000000" w14:paraId="0000006D">
      <w:pPr>
        <w:spacing w:after="100" w:lineRule="auto"/>
        <w:rPr/>
      </w:pPr>
      <w:r>
        <w:rPr>
          <w:i w:val="0"/>
          <w:iCs w:val="0"/>
          <w:color w:val="3b3f45"/>
          <w:sz w:val="19"/>
          <w:szCs w:val="19"/>
          <w:rtl w:val="0"/>
        </w:rPr>
        <w:t>Real-world data collection, cleaning, integration, and baseline feature engineering using the schema matrix.</w:t>
      </w:r>
      <w:r>
        <w:rPr>
          <w:rtl w:val="0"/>
        </w:rPr>
      </w:r>
    </w:p>
    <w:p w:rsidR="00000000" w:rsidDel="00000000" w:rsidP="00000000" w:rsidRDefault="00000000" w:rsidRPr="00000000" w14:paraId="0000006E">
      <w:pPr>
        <w:spacing w:after="40" w:before="140" w:lineRule="auto"/>
        <w:rPr/>
      </w:pPr>
      <w:r>
        <w:rPr>
          <w:b w:val="1"/>
          <w:bCs w:val="1"/>
          <w:color w:val="0e7c7b"/>
          <w:sz w:val="20"/>
          <w:szCs w:val="20"/>
          <w:rtl w:val="0"/>
        </w:rPr>
        <w:t xml:space="preserve">Phase 2 (Weeks 4–6)</w:t>
      </w:r>
      <w:r>
        <w:rPr>
          <w:rtl w:val="0"/>
        </w:rPr>
      </w:r>
    </w:p>
    <w:p w:rsidR="00000000" w:rsidDel="00000000" w:rsidP="00000000" w:rsidRDefault="00000000" w:rsidRPr="00000000" w14:paraId="0000006F">
      <w:pPr>
        <w:spacing w:after="100" w:lineRule="auto"/>
        <w:rPr/>
      </w:pPr>
      <w:r>
        <w:rPr>
          <w:i w:val="0"/>
          <w:iCs w:val="0"/>
          <w:color w:val="3b3f45"/>
          <w:sz w:val="19"/>
          <w:szCs w:val="19"/>
          <w:rtl w:val="0"/>
        </w:rPr>
        <w:t xml:space="preserve">Core model training (XGBoost), hyperparameter tuning, and integration of the SHAP explainability layer.</w:t>
      </w:r>
      <w:r>
        <w:rPr>
          <w:rtl w:val="0"/>
        </w:rPr>
      </w:r>
    </w:p>
    <w:p w:rsidR="00000000" w:rsidDel="00000000" w:rsidP="00000000" w:rsidRDefault="00000000" w:rsidRPr="00000000" w14:paraId="00000070">
      <w:pPr>
        <w:spacing w:after="40" w:before="140" w:lineRule="auto"/>
        <w:rPr/>
      </w:pPr>
      <w:r>
        <w:rPr>
          <w:b w:val="1"/>
          <w:bCs w:val="1"/>
          <w:color w:val="0e7c7b"/>
          <w:sz w:val="20"/>
          <w:szCs w:val="20"/>
          <w:rtl w:val="0"/>
        </w:rPr>
        <w:t xml:space="preserve">Phase 3 (Weeks 7–9)</w:t>
      </w:r>
      <w:r>
        <w:rPr>
          <w:rtl w:val="0"/>
        </w:rPr>
      </w:r>
    </w:p>
    <w:p w:rsidR="00000000" w:rsidDel="00000000" w:rsidP="00000000" w:rsidRDefault="00000000" w:rsidRPr="00000000" w14:paraId="00000071">
      <w:pPr>
        <w:spacing w:after="100" w:lineRule="auto"/>
        <w:rPr/>
      </w:pPr>
      <w:r>
        <w:rPr>
          <w:i w:val="0"/>
          <w:iCs w:val="0"/>
          <w:color w:val="3b3f45"/>
          <w:sz w:val="19"/>
          <w:szCs w:val="19"/>
          <w:rtl w:val="0"/>
        </w:rPr>
        <w:t xml:space="preserve">Designing the “What-If” optimizer and connecting the LLM communication layer.</w:t>
      </w:r>
      <w:r>
        <w:rPr>
          <w:rtl w:val="0"/>
        </w:rPr>
      </w:r>
    </w:p>
    <w:p w:rsidR="00000000" w:rsidDel="00000000" w:rsidP="00000000" w:rsidRDefault="00000000" w:rsidRPr="00000000" w14:paraId="00000072">
      <w:pPr>
        <w:spacing w:after="40" w:before="140" w:lineRule="auto"/>
        <w:rPr/>
      </w:pPr>
      <w:r>
        <w:rPr>
          <w:b w:val="1"/>
          <w:bCs w:val="1"/>
          <w:color w:val="0e7c7b"/>
          <w:sz w:val="20"/>
          <w:szCs w:val="20"/>
          <w:rtl w:val="0"/>
        </w:rPr>
        <w:t xml:space="preserve">Phase 4 (Weeks 10+)</w:t>
      </w:r>
      <w:r>
        <w:rPr>
          <w:rtl w:val="0"/>
        </w:rPr>
      </w:r>
    </w:p>
    <w:p w:rsidR="00000000" w:rsidDel="00000000" w:rsidP="00000000" w:rsidRDefault="00000000" w:rsidRPr="00000000" w14:paraId="00000073">
      <w:pPr>
        <w:spacing w:after="100" w:lineRule="auto"/>
        <w:rPr/>
      </w:pPr>
      <w:r>
        <w:rPr>
          <w:i w:val="0"/>
          <w:iCs w:val="0"/>
          <w:color w:val="3b3f45"/>
          <w:sz w:val="19"/>
          <w:szCs w:val="19"/>
          <w:rtl w:val="0"/>
        </w:rPr>
        <w:t xml:space="preserve">Streamlit dashboard development and simulation testing for the graduation jury.</w:t>
      </w:r>
      <w:r>
        <w:rPr>
          <w:rtl w:val="0"/>
        </w:rPr>
      </w:r>
    </w:p>
    <w:p w:rsidR="00000000" w:rsidDel="00000000" w:rsidP="00000000" w:rsidRDefault="00000000" w:rsidRPr="00000000" w14:paraId="00000074">
      <w:pPr>
        <w:pBdr>
          <w:bottom w:color="c9a227" w:space="4" w:sz="12" w:val="single"/>
        </w:pBdr>
        <w:spacing w:after="200" w:before="20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75">
      <w:pPr>
        <w:spacing w:after="80" w:lineRule="auto"/>
        <w:rPr/>
      </w:pPr>
      <w:r>
        <w:rPr>
          <w:b w:val="1"/>
          <w:bCs w:val="1"/>
          <w:color w:val="1b2a4a"/>
          <w:sz w:val="20"/>
          <w:szCs w:val="20"/>
          <w:rtl w:val="0"/>
        </w:rPr>
        <w:t xml:space="preserve">Would your team prefer to review:</w:t>
      </w:r>
      <w:r>
        <w:rPr>
          <w:rtl w:val="0"/>
        </w:rPr>
      </w:r>
    </w:p>
    <w:p w:rsidR="00000000" w:rsidDel="00000000" w:rsidP="00000000" w:rsidRDefault="00000000" w:rsidRPr="00000000" w14:paraId="00000076">
      <w:pPr>
        <w:spacing w:after="100" w:lineRule="auto"/>
        <w:rPr/>
      </w:pPr>
      <w:r>
        <w:rPr>
          <w:i w:val="0"/>
          <w:iCs w:val="0"/>
          <w:color w:val="3b3f45"/>
          <w:sz w:val="19"/>
          <w:szCs w:val="19"/>
          <w:rtl w:val="0"/>
        </w:rPr>
        <w:t>• A ready-to-use data preprocessing pipeline using NumPy/Pandas to clean and prepare the real-world financial dataset so you can start coding?</w:t>
      </w:r>
      <w:r>
        <w:rPr>
          <w:rtl w:val="0"/>
        </w:rPr>
      </w:r>
    </w:p>
    <w:p w:rsidR="00000000" w:rsidDel="00000000" w:rsidP="00000000" w:rsidRDefault="00000000" w:rsidRPr="00000000" w14:paraId="00000077">
      <w:pPr>
        <w:spacing w:after="100" w:lineRule="auto"/>
        <w:rPr/>
      </w:pPr>
      <w:r>
        <w:rPr>
          <w:i w:val="0"/>
          <w:iCs w:val="0"/>
          <w:color w:val="3b3f45"/>
          <w:sz w:val="19"/>
          <w:szCs w:val="19"/>
          <w:rtl w:val="0"/>
        </w:rPr>
        <w:t xml:space="preserve">• The technical architecture for the Arabic Sign Language project instead, to see how the two pitches stack up against each other?</w:t>
      </w:r>
      <w:r>
        <w:rPr>
          <w:rtl w:val="0"/>
        </w:rPr>
      </w:r>
    </w:p>
    <w:sectPr>
      <w:footerReference r:id="rId6" w:type="default"/>
      <w:pgSz w:h="15840" w:w="12240" w:orient="portrait"/>
      <w:pgMar w:bottom="1200" w:top="1000" w:left="1300" w:right="13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alibri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tabs>
        <w:tab w:val="right" w:leader="none" w:pos="9026"/>
      </w:tabs>
      <w:rPr/>
    </w:pPr>
    <w:r w:rsidDel="00000000" w:rsidR="00000000" w:rsidRPr="00000000">
      <w:rPr>
        <w:color w:val="8a8f98"/>
        <w:sz w:val="14"/>
        <w:szCs w:val="14"/>
        <w:rtl w:val="0"/>
      </w:rPr>
      <w:t xml:space="preserve">Darra</w:t>
    </w:r>
    <w:r w:rsidDel="00000000" w:rsidR="00000000" w:rsidRPr="00000000">
      <w:rPr>
        <w:color w:val="8a8f98"/>
        <w:sz w:val="14"/>
        <w:szCs w:val="14"/>
        <w:rtl w:val="0"/>
      </w:rPr>
      <w:t xml:space="preserve"> </w:t>
    </w:r>
    <w:r w:rsidDel="00000000" w:rsidR="00000000" w:rsidRPr="00000000">
      <w:rPr>
        <w:color w:val="8a8f98"/>
        <w:sz w:val="14"/>
        <w:szCs w:val="14"/>
        <w:rtl w:val="0"/>
      </w:rPr>
      <w:t xml:space="preserve">AI</w:t>
    </w:r>
    <w:r w:rsidDel="00000000" w:rsidR="00000000" w:rsidRPr="00000000">
      <w:rPr>
        <w:color w:val="8a8f98"/>
        <w:sz w:val="14"/>
        <w:szCs w:val="14"/>
        <w:rtl w:val="0"/>
      </w:rPr>
      <w:t xml:space="preserve"> (</w:t>
    </w:r>
    <w:r w:rsidDel="00000000" w:rsidR="00000000" w:rsidRPr="00000000">
      <w:rPr>
        <w:color w:val="8a8f98"/>
        <w:sz w:val="14"/>
        <w:szCs w:val="14"/>
        <w:rtl w:val="1"/>
      </w:rPr>
      <w:t xml:space="preserve">درع</w:t>
    </w:r>
    <w:r w:rsidDel="00000000" w:rsidR="00000000" w:rsidRPr="00000000">
      <w:rPr>
        <w:color w:val="8a8f98"/>
        <w:sz w:val="14"/>
        <w:szCs w:val="14"/>
        <w:rtl w:val="0"/>
      </w:rPr>
      <w:t xml:space="preserve">) — </w:t>
    </w:r>
    <w:r w:rsidDel="00000000" w:rsidR="00000000" w:rsidRPr="00000000">
      <w:rPr>
        <w:color w:val="8a8f98"/>
        <w:sz w:val="14"/>
        <w:szCs w:val="14"/>
        <w:rtl w:val="0"/>
      </w:rPr>
      <w:t xml:space="preserve">Project</w:t>
    </w:r>
    <w:r w:rsidDel="00000000" w:rsidR="00000000" w:rsidRPr="00000000">
      <w:rPr>
        <w:color w:val="8a8f98"/>
        <w:sz w:val="14"/>
        <w:szCs w:val="14"/>
        <w:rtl w:val="0"/>
      </w:rPr>
      <w:t xml:space="preserve"> </w:t>
    </w:r>
    <w:r w:rsidDel="00000000" w:rsidR="00000000" w:rsidRPr="00000000">
      <w:rPr>
        <w:color w:val="8a8f98"/>
        <w:sz w:val="14"/>
        <w:szCs w:val="14"/>
        <w:rtl w:val="0"/>
      </w:rPr>
      <w:t xml:space="preserve">Pitch</w:t>
    </w:r>
    <w:r w:rsidDel="00000000" w:rsidR="00000000" w:rsidRPr="00000000">
      <w:rPr>
        <w:color w:val="8a8f98"/>
        <w:sz w:val="14"/>
        <w:szCs w:val="14"/>
        <w:rtl w:val="0"/>
      </w:rPr>
      <w:t xml:space="preserve"> </w:t>
    </w:r>
    <w:r w:rsidDel="00000000" w:rsidR="00000000" w:rsidRPr="00000000">
      <w:rPr>
        <w:color w:val="8a8f98"/>
        <w:sz w:val="14"/>
        <w:szCs w:val="14"/>
        <w:rtl w:val="0"/>
      </w:rPr>
      <w:t xml:space="preserve">OutlinePage</w:t>
    </w:r>
    <w:r w:rsidDel="00000000" w:rsidR="00000000" w:rsidRPr="00000000">
      <w:rPr>
        <w:color w:val="8a8f98"/>
        <w:sz w:val="14"/>
        <w:szCs w:val="14"/>
        <w:rtl w:val="0"/>
      </w:rPr>
      <w:t xml:space="preserve"> </w:t>
    </w:r>
    <w:r w:rsidDel="00000000" w:rsidR="00000000" w:rsidRPr="00000000">
      <w:rPr>
        <w:color w:val="8a8f98"/>
        <w:sz w:val="14"/>
        <w:szCs w:val="14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