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7365D"/>
          <w:sz w:val="60"/>
        </w:rPr>
        <w:t>EGYPT WATER SUSTAINABILITY</w:t>
        <w:br/>
        <w:t>ANALYTICS</w:t>
      </w:r>
    </w:p>
    <w:p>
      <w:pPr>
        <w:jc w:val="center"/>
      </w:pPr>
      <w:r>
        <w:rPr>
          <w:rFonts w:ascii="Aptos Display" w:hAnsi="Aptos Display"/>
          <w:b/>
          <w:color w:val="2F5597"/>
          <w:sz w:val="36"/>
        </w:rPr>
        <w:t>Project Planning &amp; Management</w:t>
      </w:r>
    </w:p>
    <w:p>
      <w:pPr>
        <w:spacing w:before="160"/>
        <w:jc w:val="center"/>
      </w:pPr>
      <w:r>
        <w:rPr>
          <w:color w:val="5B6573"/>
          <w:sz w:val="22"/>
        </w:rPr>
        <w:t>DEPI - Professional Data Analyst Track</w:t>
      </w:r>
    </w:p>
    <w:p>
      <w:pPr>
        <w:jc w:val="center"/>
      </w:pPr>
      <w:r>
        <w:rPr>
          <w:color w:val="2F5597"/>
        </w:rPr>
        <w:t>━━━━━━━━━━━━━━━━━━━━━━━━━━━━━━</w:t>
      </w:r>
    </w:p>
    <w:p>
      <w:pPr>
        <w:spacing w:before="240"/>
        <w:jc w:val="center"/>
      </w:pPr>
      <w:r>
        <w:rPr>
          <w:b/>
          <w:color w:val="17365D"/>
          <w:sz w:val="20"/>
        </w:rPr>
        <w:t>Project Focus</w:t>
      </w:r>
    </w:p>
    <w:p>
      <w:pPr>
        <w:jc w:val="center"/>
      </w:pPr>
      <w:r>
        <w:rPr>
          <w:color w:val="222222"/>
          <w:sz w:val="22"/>
        </w:rPr>
        <w:t>Governorate-level water sustainability analytics and decision support aligned with selected SDG 6 dimensions</w:t>
      </w:r>
    </w:p>
    <w:p>
      <w:pPr>
        <w:spacing w:before="520"/>
        <w:jc w:val="center"/>
      </w:pPr>
      <w:r>
        <w:rPr>
          <w:i/>
          <w:color w:val="5B6573"/>
          <w:sz w:val="20"/>
        </w:rPr>
        <w:t>Current project position: Data understanding and validation completed; analytical planning is the current focus.</w:t>
      </w:r>
    </w:p>
    <w:p>
      <w:r>
        <w:br w:type="page"/>
      </w:r>
    </w:p>
    <w:p>
      <w:pPr>
        <w:pStyle w:val="Heading1"/>
        <w:keepNext/>
      </w:pPr>
      <w:r>
        <w:t>1. Project Overview</w:t>
      </w:r>
    </w:p>
    <w:p>
      <w:pPr>
        <w:pStyle w:val="Heading2"/>
        <w:keepNext/>
      </w:pPr>
      <w:r>
        <w:t>1.1 Project Definition</w:t>
      </w:r>
    </w:p>
    <w:p>
      <w:r>
        <w:t>Egypt Water Sustainability Analytics is a data analytics and decision-support project that studies water sustainability across Egyptian governorates using validated public datasets. The project brings together water, population, agriculture, irrigation, wastewater, reuse, WASH, SDG 6 localization and water-quality information to create a consistent analytical view of performance, pressure, gaps and opportunities.</w:t>
      </w:r>
    </w:p>
    <w:tbl>
      <w:tblPr>
        <w:tblW w:type="auto" w:w="0"/>
        <w:jc w:val="center"/>
        <w:tblLook w:firstColumn="1" w:firstRow="1" w:lastColumn="0" w:lastRow="0" w:noHBand="0" w:noVBand="1" w:val="04A0"/>
      </w:tblPr>
      <w:tblGrid>
        <w:gridCol w:w="10080"/>
      </w:tblGrid>
      <w:tr>
        <w:tc>
          <w:tcPr>
            <w:tcW w:type="dxa" w:w="10080"/>
            <w:shd w:fill="EAF0F7"/>
            <w:tcMar>
              <w:top w:w="80" w:type="dxa"/>
              <w:left w:w="90" w:type="dxa"/>
              <w:bottom w:w="80" w:type="dxa"/>
              <w:right w:w="90" w:type="dxa"/>
            </w:tcMar>
          </w:tcPr>
          <w:p>
            <w:pPr>
              <w:spacing w:after="60"/>
            </w:pPr>
            <w:r/>
            <w:r>
              <w:rPr>
                <w:b/>
                <w:color w:val="17365D"/>
                <w:sz w:val="20"/>
              </w:rPr>
              <w:t>Core Management Question</w:t>
            </w:r>
          </w:p>
          <w:p>
            <w:pPr>
              <w:spacing w:after="0" w:line="252" w:lineRule="auto"/>
            </w:pPr>
            <w:r>
              <w:rPr>
                <w:sz w:val="18"/>
              </w:rPr>
              <w:t>How can validated public data be transformed into a clear governorate-level analytical view that highlights water losses, resource pressure, service and sustainability gaps, reuse opportunities and areas that deserve priority attention?</w:t>
            </w:r>
          </w:p>
        </w:tc>
      </w:tr>
    </w:tbl>
    <w:p>
      <w:pPr>
        <w:spacing w:after="20"/>
      </w:pPr>
    </w:p>
    <w:p>
      <w:pPr>
        <w:pStyle w:val="Heading2"/>
        <w:keepNext/>
      </w:pPr>
      <w:r>
        <w:t>1.2 Business Problem</w:t>
      </w:r>
    </w:p>
    <w:p>
      <w:r>
        <w:t>Governorates differ in water production, reported water, loss rates, population pressure, agricultural activity, access indicators and environmental conditions. Looking at one number alone can therefore be misleading. The project aims to compare governorates using suitable measures, explain important data limitations and produce insights that can support better prioritization and deeper investigation.</w:t>
      </w:r>
    </w:p>
    <w:p>
      <w:pPr>
        <w:pStyle w:val="Heading2"/>
        <w:keepNext/>
      </w:pPr>
      <w:r>
        <w:t>1.3 Project Objectives</w:t>
      </w:r>
    </w:p>
    <w:p>
      <w:pPr>
        <w:pStyle w:val="ListBullet"/>
        <w:spacing w:after="60"/>
      </w:pPr>
      <w:r>
        <w:t>Build a validated and traceable analytical foundation while keeping original source data unchanged.</w:t>
      </w:r>
    </w:p>
    <w:p>
      <w:pPr>
        <w:pStyle w:val="ListBullet"/>
        <w:spacing w:after="60"/>
      </w:pPr>
      <w:r>
        <w:t>Define focused analytical questions and KPIs before creating new features or dashboards.</w:t>
      </w:r>
    </w:p>
    <w:p>
      <w:pPr>
        <w:pStyle w:val="ListBullet"/>
        <w:spacing w:after="60"/>
      </w:pPr>
      <w:r>
        <w:t>Compare governorates using both absolute measures and normalized measures such as rates and per-capita indicators.</w:t>
      </w:r>
    </w:p>
    <w:p>
      <w:pPr>
        <w:pStyle w:val="ListBullet"/>
        <w:spacing w:after="60"/>
      </w:pPr>
      <w:r>
        <w:t>Perform structured EDA and identify meaningful patterns, gaps, relationships and outliers.</w:t>
      </w:r>
    </w:p>
    <w:p>
      <w:pPr>
        <w:pStyle w:val="ListBullet"/>
        <w:spacing w:after="60"/>
      </w:pPr>
      <w:r>
        <w:t>Create a reusable SQL analytical layer and verify important results against Python outputs.</w:t>
      </w:r>
    </w:p>
    <w:p>
      <w:pPr>
        <w:pStyle w:val="ListBullet"/>
        <w:spacing w:after="60"/>
      </w:pPr>
      <w:r>
        <w:t>Build a clear Power BI dashboard that communicates the strongest findings and supports governorate-level exploration.</w:t>
      </w:r>
    </w:p>
    <w:p>
      <w:pPr>
        <w:pStyle w:val="ListBullet"/>
        <w:spacing w:after="60"/>
      </w:pPr>
      <w:r>
        <w:t>Produce evidence-based insights, limitations and recommendations that can be defended in the final presentation.</w:t>
      </w:r>
    </w:p>
    <w:p>
      <w:r>
        <w:br w:type="page"/>
      </w:r>
    </w:p>
    <w:p>
      <w:pPr>
        <w:pStyle w:val="Heading1"/>
        <w:keepNext/>
      </w:pPr>
      <w:r>
        <w:t>2. Project Scope &amp; Analytical Areas</w:t>
      </w:r>
    </w:p>
    <w:p>
      <w:r>
        <w:t>The project is organized around four analytical areas. This keeps the story focused while still using the main datasets that are already available.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365D"/>
            <w:vAlign w:val="center"/>
            <w:tcMar>
              <w:top w:w="80" w:type="dxa"/>
              <w:left w:w="90" w:type="dxa"/>
              <w:bottom w:w="80" w:type="dxa"/>
              <w:right w:w="90" w:type="dxa"/>
            </w:tcMar>
          </w:tcPr>
          <w:p>
            <w:pPr>
              <w:spacing w:after="0"/>
            </w:pPr>
            <w:r/>
            <w:r>
              <w:rPr>
                <w:rFonts w:ascii="Aptos" w:hAnsi="Aptos" w:eastAsia="Aptos"/>
                <w:b/>
                <w:color w:val="FFFFFF"/>
                <w:sz w:val="18"/>
              </w:rPr>
              <w:t>Analytical Area</w:t>
            </w:r>
          </w:p>
        </w:tc>
        <w:tc>
          <w:tcPr>
            <w:tcW w:type="dxa" w:w="7056"/>
            <w:shd w:fill="17365D"/>
            <w:vAlign w:val="center"/>
            <w:tcMar>
              <w:top w:w="80" w:type="dxa"/>
              <w:left w:w="90" w:type="dxa"/>
              <w:bottom w:w="80" w:type="dxa"/>
              <w:right w:w="90" w:type="dxa"/>
            </w:tcMar>
          </w:tcPr>
          <w:p>
            <w:pPr>
              <w:spacing w:after="0"/>
            </w:pPr>
            <w:r/>
            <w:r>
              <w:rPr>
                <w:rFonts w:ascii="Aptos" w:hAnsi="Aptos" w:eastAsia="Aptos"/>
                <w:b/>
                <w:color w:val="FFFFFF"/>
                <w:sz w:val="18"/>
              </w:rPr>
              <w:t>What It Covers</w:t>
            </w:r>
          </w:p>
        </w:tc>
      </w:tr>
      <w:tr>
        <w:tc>
          <w:tcPr>
            <w:tcW w:type="dxa" w:w="3168"/>
            <w:vAlign w:val="center"/>
            <w:tcMar>
              <w:top w:w="80" w:type="dxa"/>
              <w:left w:w="90" w:type="dxa"/>
              <w:bottom w:w="80" w:type="dxa"/>
              <w:right w:w="90" w:type="dxa"/>
            </w:tcMar>
          </w:tcPr>
          <w:p>
            <w:pPr>
              <w:spacing w:after="0"/>
            </w:pPr>
            <w:r/>
            <w:r>
              <w:rPr>
                <w:rFonts w:ascii="Aptos" w:hAnsi="Aptos" w:eastAsia="Aptos"/>
                <w:b w:val="0"/>
                <w:color w:val="222222"/>
                <w:sz w:val="18"/>
              </w:rPr>
              <w:t>1. Water Performance &amp; Losses</w:t>
            </w:r>
          </w:p>
        </w:tc>
        <w:tc>
          <w:tcPr>
            <w:tcW w:type="dxa" w:w="7056"/>
            <w:vAlign w:val="center"/>
            <w:tcMar>
              <w:top w:w="80" w:type="dxa"/>
              <w:left w:w="90" w:type="dxa"/>
              <w:bottom w:w="80" w:type="dxa"/>
              <w:right w:w="90" w:type="dxa"/>
            </w:tcMar>
          </w:tcPr>
          <w:p>
            <w:pPr>
              <w:spacing w:after="0"/>
            </w:pPr>
            <w:r/>
            <w:r>
              <w:rPr>
                <w:rFonts w:ascii="Aptos" w:hAnsi="Aptos" w:eastAsia="Aptos"/>
                <w:b w:val="0"/>
                <w:color w:val="222222"/>
                <w:sz w:val="18"/>
              </w:rPr>
              <w:t>Water production, reported water, water gap, water-loss rate, trends and governorate comparison.</w:t>
            </w:r>
          </w:p>
        </w:tc>
      </w:tr>
      <w:tr>
        <w:tc>
          <w:tcPr>
            <w:tcW w:type="dxa" w:w="3168"/>
            <w:shd w:fill="F6F8FB"/>
            <w:vAlign w:val="center"/>
            <w:tcMar>
              <w:top w:w="80" w:type="dxa"/>
              <w:left w:w="90" w:type="dxa"/>
              <w:bottom w:w="80" w:type="dxa"/>
              <w:right w:w="90" w:type="dxa"/>
            </w:tcMar>
          </w:tcPr>
          <w:p>
            <w:pPr>
              <w:spacing w:after="0"/>
            </w:pPr>
            <w:r/>
            <w:r>
              <w:rPr>
                <w:rFonts w:ascii="Aptos" w:hAnsi="Aptos" w:eastAsia="Aptos"/>
                <w:b w:val="0"/>
                <w:color w:val="222222"/>
                <w:sz w:val="18"/>
              </w:rPr>
              <w:t>2. Population &amp; Demand Pressure</w:t>
            </w:r>
          </w:p>
        </w:tc>
        <w:tc>
          <w:tcPr>
            <w:tcW w:type="dxa" w:w="7056"/>
            <w:shd w:fill="F6F8FB"/>
            <w:vAlign w:val="center"/>
            <w:tcMar>
              <w:top w:w="80" w:type="dxa"/>
              <w:left w:w="90" w:type="dxa"/>
              <w:bottom w:w="80" w:type="dxa"/>
              <w:right w:w="90" w:type="dxa"/>
            </w:tcMar>
          </w:tcPr>
          <w:p>
            <w:pPr>
              <w:spacing w:after="0"/>
            </w:pPr>
            <w:r/>
            <w:r>
              <w:rPr>
                <w:rFonts w:ascii="Aptos" w:hAnsi="Aptos" w:eastAsia="Aptos"/>
                <w:b w:val="0"/>
                <w:color w:val="222222"/>
                <w:sz w:val="18"/>
              </w:rPr>
              <w:t>Population growth, per-capita water measures and relationships between population pressure and water performance.</w:t>
            </w:r>
          </w:p>
        </w:tc>
      </w:tr>
      <w:tr>
        <w:tc>
          <w:tcPr>
            <w:tcW w:type="dxa" w:w="3168"/>
            <w:vAlign w:val="center"/>
            <w:tcMar>
              <w:top w:w="80" w:type="dxa"/>
              <w:left w:w="90" w:type="dxa"/>
              <w:bottom w:w="80" w:type="dxa"/>
              <w:right w:w="90" w:type="dxa"/>
            </w:tcMar>
          </w:tcPr>
          <w:p>
            <w:pPr>
              <w:spacing w:after="0"/>
            </w:pPr>
            <w:r/>
            <w:r>
              <w:rPr>
                <w:rFonts w:ascii="Aptos" w:hAnsi="Aptos" w:eastAsia="Aptos"/>
                <w:b w:val="0"/>
                <w:color w:val="222222"/>
                <w:sz w:val="18"/>
              </w:rPr>
              <w:t>3. Agriculture, Irrigation &amp; Reuse</w:t>
            </w:r>
          </w:p>
        </w:tc>
        <w:tc>
          <w:tcPr>
            <w:tcW w:type="dxa" w:w="7056"/>
            <w:vAlign w:val="center"/>
            <w:tcMar>
              <w:top w:w="80" w:type="dxa"/>
              <w:left w:w="90" w:type="dxa"/>
              <w:bottom w:w="80" w:type="dxa"/>
              <w:right w:w="90" w:type="dxa"/>
            </w:tcMar>
          </w:tcPr>
          <w:p>
            <w:pPr>
              <w:spacing w:after="0"/>
            </w:pPr>
            <w:r/>
            <w:r>
              <w:rPr>
                <w:rFonts w:ascii="Aptos" w:hAnsi="Aptos" w:eastAsia="Aptos"/>
                <w:b w:val="0"/>
                <w:color w:val="222222"/>
                <w:sz w:val="18"/>
              </w:rPr>
              <w:t>Cultivated area, wells, irrigation-related indicators, wastewater treatment and water reuse where the data supports valid comparison.</w:t>
            </w:r>
          </w:p>
        </w:tc>
      </w:tr>
      <w:tr>
        <w:tc>
          <w:tcPr>
            <w:tcW w:type="dxa" w:w="3168"/>
            <w:shd w:fill="F6F8FB"/>
            <w:vAlign w:val="center"/>
            <w:tcMar>
              <w:top w:w="80" w:type="dxa"/>
              <w:left w:w="90" w:type="dxa"/>
              <w:bottom w:w="80" w:type="dxa"/>
              <w:right w:w="90" w:type="dxa"/>
            </w:tcMar>
          </w:tcPr>
          <w:p>
            <w:pPr>
              <w:spacing w:after="0"/>
            </w:pPr>
            <w:r/>
            <w:r>
              <w:rPr>
                <w:rFonts w:ascii="Aptos" w:hAnsi="Aptos" w:eastAsia="Aptos"/>
                <w:b w:val="0"/>
                <w:color w:val="222222"/>
                <w:sz w:val="18"/>
              </w:rPr>
              <w:t>4. SDG6, WASH &amp; Water Quality</w:t>
            </w:r>
          </w:p>
        </w:tc>
        <w:tc>
          <w:tcPr>
            <w:tcW w:type="dxa" w:w="7056"/>
            <w:shd w:fill="F6F8FB"/>
            <w:vAlign w:val="center"/>
            <w:tcMar>
              <w:top w:w="80" w:type="dxa"/>
              <w:left w:w="90" w:type="dxa"/>
              <w:bottom w:w="80" w:type="dxa"/>
              <w:right w:w="90" w:type="dxa"/>
            </w:tcMar>
          </w:tcPr>
          <w:p>
            <w:pPr>
              <w:spacing w:after="0"/>
            </w:pPr>
            <w:r/>
            <w:r>
              <w:rPr>
                <w:rFonts w:ascii="Aptos" w:hAnsi="Aptos" w:eastAsia="Aptos"/>
                <w:b w:val="0"/>
                <w:color w:val="222222"/>
                <w:sz w:val="18"/>
              </w:rPr>
              <w:t>WASH indicators, official SDG6 localization benchmark, water-quality indicators and environmental-pressure context.</w:t>
            </w:r>
          </w:p>
        </w:tc>
      </w:tr>
    </w:tbl>
    <w:p>
      <w:pPr>
        <w:spacing w:after="20"/>
      </w:pPr>
    </w:p>
    <w:p>
      <w:pPr>
        <w:pStyle w:val="Heading2"/>
        <w:keepNext/>
      </w:pPr>
      <w:r>
        <w:t>2.1 Main Analytical Questions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008"/>
            <w:shd w:fill="17365D"/>
            <w:vAlign w:val="center"/>
            <w:tcMar>
              <w:top w:w="80" w:type="dxa"/>
              <w:left w:w="90" w:type="dxa"/>
              <w:bottom w:w="80" w:type="dxa"/>
              <w:right w:w="90" w:type="dxa"/>
            </w:tcMar>
          </w:tcPr>
          <w:p>
            <w:pPr>
              <w:spacing w:after="0"/>
            </w:pPr>
            <w:r/>
            <w:r>
              <w:rPr>
                <w:rFonts w:ascii="Aptos" w:hAnsi="Aptos" w:eastAsia="Aptos"/>
                <w:b/>
                <w:color w:val="FFFFFF"/>
                <w:sz w:val="18"/>
              </w:rPr>
              <w:t>ID</w:t>
            </w:r>
          </w:p>
        </w:tc>
        <w:tc>
          <w:tcPr>
            <w:tcW w:type="dxa" w:w="9216"/>
            <w:shd w:fill="17365D"/>
            <w:vAlign w:val="center"/>
            <w:tcMar>
              <w:top w:w="80" w:type="dxa"/>
              <w:left w:w="90" w:type="dxa"/>
              <w:bottom w:w="80" w:type="dxa"/>
              <w:right w:w="90" w:type="dxa"/>
            </w:tcMar>
          </w:tcPr>
          <w:p>
            <w:pPr>
              <w:spacing w:after="0"/>
            </w:pPr>
            <w:r/>
            <w:r>
              <w:rPr>
                <w:rFonts w:ascii="Aptos" w:hAnsi="Aptos" w:eastAsia="Aptos"/>
                <w:b/>
                <w:color w:val="FFFFFF"/>
                <w:sz w:val="18"/>
              </w:rPr>
              <w:t>Question</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AQ1</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Where are water losses and water gaps largest?</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AQ2</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How is water performance changing over time?</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AQ3</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How does population pressure relate to water availability and performance?</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AQ4</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What relationships appear between agriculture, irrigation, wells and water management?</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AQ5</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What WASH and official SDG6 gaps appear across governorates?</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AQ6</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What do wastewater treatment and reuse data show?</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AQ7</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Where do water-quality or environmental-pressure concerns appear?</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AQ8</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Which governorates deserve priority attention based on the final agreed indicators?</w:t>
            </w:r>
          </w:p>
        </w:tc>
      </w:tr>
    </w:tbl>
    <w:p>
      <w:pPr>
        <w:spacing w:after="20"/>
      </w:pPr>
    </w:p>
    <w:p>
      <w:pPr>
        <w:pStyle w:val="Heading2"/>
        <w:keepNext/>
      </w:pPr>
      <w:r>
        <w:t>2.2 Possible Extensions</w:t>
      </w:r>
    </w:p>
    <w:p>
      <w:r>
        <w:t>Additional techniques can be considered later if they add clear analytical value. Machine Learning is optional and should only be added if EDA reveals a useful, measurable and defensible use case. Tableau or additional visual outputs may also be included if they are specifically needed or clearly improve the final delivery.</w:t>
      </w:r>
    </w:p>
    <w:p>
      <w:r>
        <w:br w:type="page"/>
      </w:r>
    </w:p>
    <w:p>
      <w:pPr>
        <w:pStyle w:val="Heading1"/>
        <w:keepNext/>
      </w:pPr>
      <w:r>
        <w:t>3. Data &amp; Analysis Considerations</w:t>
      </w:r>
    </w:p>
    <w:p>
      <w:r>
        <w:t>These considerations are methodological rules that guide how the data should be handled and protect the project from misleading comparisons or invalid calculations.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Mar>
              <w:top w:w="80" w:type="dxa"/>
              <w:left w:w="90" w:type="dxa"/>
              <w:bottom w:w="80" w:type="dxa"/>
              <w:right w:w="90" w:type="dxa"/>
            </w:tcMar>
          </w:tcPr>
          <w:p>
            <w:pPr>
              <w:spacing w:after="0"/>
            </w:pPr>
            <w:r/>
            <w:r>
              <w:rPr>
                <w:rFonts w:ascii="Aptos" w:hAnsi="Aptos" w:eastAsia="Aptos"/>
                <w:b/>
                <w:color w:val="FFFFFF"/>
                <w:sz w:val="18"/>
              </w:rPr>
              <w:t>Consideration</w:t>
            </w:r>
          </w:p>
        </w:tc>
        <w:tc>
          <w:tcPr>
            <w:tcW w:type="dxa" w:w="7992"/>
            <w:shd w:fill="17365D"/>
            <w:vAlign w:val="center"/>
            <w:tcMar>
              <w:top w:w="80" w:type="dxa"/>
              <w:left w:w="90" w:type="dxa"/>
              <w:bottom w:w="80" w:type="dxa"/>
              <w:right w:w="90" w:type="dxa"/>
            </w:tcMar>
          </w:tcPr>
          <w:p>
            <w:pPr>
              <w:spacing w:after="0"/>
            </w:pPr>
            <w:r/>
            <w:r>
              <w:rPr>
                <w:rFonts w:ascii="Aptos" w:hAnsi="Aptos" w:eastAsia="Aptos"/>
                <w:b/>
                <w:color w:val="FFFFFF"/>
                <w:sz w:val="18"/>
              </w:rPr>
              <w:t>Project Rule</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Reported-water definition</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Reported water represents sold water for 2018-2021 and consumed water for 2022-2024. The definition change must be stated in long-term trends, and the 2021→2022 transition should not be presented as a fully like-for-like YoY comparison.</w:t>
            </w:r>
          </w:p>
        </w:tc>
      </w:tr>
      <w:tr>
        <w:tc>
          <w:tcPr>
            <w:tcW w:type="dxa" w:w="2232"/>
            <w:shd w:fill="F6F8FB"/>
            <w:vAlign w:val="center"/>
            <w:tcMar>
              <w:top w:w="80" w:type="dxa"/>
              <w:left w:w="90" w:type="dxa"/>
              <w:bottom w:w="80" w:type="dxa"/>
              <w:right w:w="90" w:type="dxa"/>
            </w:tcMar>
          </w:tcPr>
          <w:p>
            <w:pPr>
              <w:spacing w:after="0"/>
            </w:pPr>
            <w:r/>
            <w:r>
              <w:rPr>
                <w:rFonts w:ascii="Aptos" w:hAnsi="Aptos" w:eastAsia="Aptos"/>
                <w:b w:val="0"/>
                <w:color w:val="222222"/>
                <w:sz w:val="17"/>
              </w:rPr>
              <w:t>WASH / SDG6 coverage</w:t>
            </w:r>
          </w:p>
        </w:tc>
        <w:tc>
          <w:tcPr>
            <w:tcW w:type="dxa" w:w="7992"/>
            <w:shd w:fill="F6F8FB"/>
            <w:vAlign w:val="center"/>
            <w:tcMar>
              <w:top w:w="80" w:type="dxa"/>
              <w:left w:w="90" w:type="dxa"/>
              <w:bottom w:w="80" w:type="dxa"/>
              <w:right w:w="90" w:type="dxa"/>
            </w:tcMar>
          </w:tcPr>
          <w:p>
            <w:pPr>
              <w:spacing w:after="0"/>
            </w:pPr>
            <w:r/>
            <w:r>
              <w:rPr>
                <w:rFonts w:ascii="Aptos" w:hAnsi="Aptos" w:eastAsia="Aptos"/>
                <w:b w:val="0"/>
                <w:color w:val="222222"/>
                <w:sz w:val="17"/>
              </w:rPr>
              <w:t>WASH indicators are cross-sectional for 2021. The official SDG6 localization score is an external benchmark and must be presented with its correct context rather than turned into an artificial multi-year series.</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Different data grains</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Datasets with different levels of detail or incompatible units should remain in separate processed tables unless a valid analytical join is justified.</w:t>
            </w:r>
          </w:p>
        </w:tc>
      </w:tr>
      <w:tr>
        <w:tc>
          <w:tcPr>
            <w:tcW w:type="dxa" w:w="2232"/>
            <w:shd w:fill="F6F8FB"/>
            <w:vAlign w:val="center"/>
            <w:tcMar>
              <w:top w:w="80" w:type="dxa"/>
              <w:left w:w="90" w:type="dxa"/>
              <w:bottom w:w="80" w:type="dxa"/>
              <w:right w:w="90" w:type="dxa"/>
            </w:tcMar>
          </w:tcPr>
          <w:p>
            <w:pPr>
              <w:spacing w:after="0"/>
            </w:pPr>
            <w:r/>
            <w:r>
              <w:rPr>
                <w:rFonts w:ascii="Aptos" w:hAnsi="Aptos" w:eastAsia="Aptos"/>
                <w:b w:val="0"/>
                <w:color w:val="222222"/>
                <w:sz w:val="17"/>
              </w:rPr>
              <w:t>Missing values</w:t>
            </w:r>
          </w:p>
        </w:tc>
        <w:tc>
          <w:tcPr>
            <w:tcW w:type="dxa" w:w="7992"/>
            <w:shd w:fill="F6F8FB"/>
            <w:vAlign w:val="center"/>
            <w:tcMar>
              <w:top w:w="80" w:type="dxa"/>
              <w:left w:w="90" w:type="dxa"/>
              <w:bottom w:w="80" w:type="dxa"/>
              <w:right w:w="90" w:type="dxa"/>
            </w:tcMar>
          </w:tcPr>
          <w:p>
            <w:pPr>
              <w:spacing w:after="0"/>
            </w:pPr>
            <w:r/>
            <w:r>
              <w:rPr>
                <w:rFonts w:ascii="Aptos" w:hAnsi="Aptos" w:eastAsia="Aptos"/>
                <w:b w:val="0"/>
                <w:color w:val="222222"/>
                <w:sz w:val="17"/>
              </w:rPr>
              <w:t>Missing official values should remain missing unless there is a documented methodological reason for imputation. Missing must not automatically be treated as zero.</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Outliers</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Extreme values should be investigated and explained before any decision to exclude them. Ratios with very small denominators should be treated carefully.</w:t>
            </w:r>
          </w:p>
        </w:tc>
      </w:tr>
      <w:tr>
        <w:tc>
          <w:tcPr>
            <w:tcW w:type="dxa" w:w="2232"/>
            <w:shd w:fill="F6F8FB"/>
            <w:vAlign w:val="center"/>
            <w:tcMar>
              <w:top w:w="80" w:type="dxa"/>
              <w:left w:w="90" w:type="dxa"/>
              <w:bottom w:w="80" w:type="dxa"/>
              <w:right w:w="90" w:type="dxa"/>
            </w:tcMar>
          </w:tcPr>
          <w:p>
            <w:pPr>
              <w:spacing w:after="0"/>
            </w:pPr>
            <w:r/>
            <w:r>
              <w:rPr>
                <w:rFonts w:ascii="Aptos" w:hAnsi="Aptos" w:eastAsia="Aptos"/>
                <w:b w:val="0"/>
                <w:color w:val="222222"/>
                <w:sz w:val="17"/>
              </w:rPr>
              <w:t>KPI consistency</w:t>
            </w:r>
          </w:p>
        </w:tc>
        <w:tc>
          <w:tcPr>
            <w:tcW w:type="dxa" w:w="7992"/>
            <w:shd w:fill="F6F8FB"/>
            <w:vAlign w:val="center"/>
            <w:tcMar>
              <w:top w:w="80" w:type="dxa"/>
              <w:left w:w="90" w:type="dxa"/>
              <w:bottom w:w="80" w:type="dxa"/>
              <w:right w:w="90" w:type="dxa"/>
            </w:tcMar>
          </w:tcPr>
          <w:p>
            <w:pPr>
              <w:spacing w:after="0"/>
            </w:pPr>
            <w:r/>
            <w:r>
              <w:rPr>
                <w:rFonts w:ascii="Aptos" w:hAnsi="Aptos" w:eastAsia="Aptos"/>
                <w:b w:val="0"/>
                <w:color w:val="222222"/>
                <w:sz w:val="17"/>
              </w:rPr>
              <w:t>Every KPI should have a clear definition, formula, unit, grain, time coverage and limitation. The same approved definition should be used across Python, SQL and Power BI.</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Priority assessment</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Governorate prioritization should be transparent and based on agreed KPIs. A project-defined score should not be presented as an official UN or government classification.</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4E8"/>
            <w:tcMar>
              <w:top w:w="80" w:type="dxa"/>
              <w:left w:w="90" w:type="dxa"/>
              <w:bottom w:w="80" w:type="dxa"/>
              <w:right w:w="90" w:type="dxa"/>
            </w:tcMar>
          </w:tcPr>
          <w:p>
            <w:pPr>
              <w:spacing w:after="60"/>
            </w:pPr>
            <w:r/>
            <w:r>
              <w:rPr>
                <w:b/>
                <w:color w:val="17365D"/>
                <w:sz w:val="20"/>
              </w:rPr>
              <w:t>Planning Principle</w:t>
            </w:r>
          </w:p>
          <w:p>
            <w:pPr>
              <w:spacing w:after="0" w:line="252" w:lineRule="auto"/>
            </w:pPr>
            <w:r>
              <w:rPr>
                <w:sz w:val="18"/>
              </w:rPr>
              <w:t>Create only the features that are required by an approved analytical question, KPI, chart or final dashboard view. Avoid feature engineering that does not have a clear analytical purpose.</w:t>
            </w:r>
          </w:p>
        </w:tc>
      </w:tr>
    </w:tbl>
    <w:p>
      <w:pPr>
        <w:spacing w:after="20"/>
      </w:pPr>
    </w:p>
    <w:p>
      <w:r>
        <w:br w:type="page"/>
      </w:r>
    </w:p>
    <w:p>
      <w:pPr>
        <w:pStyle w:val="Heading1"/>
        <w:keepNext/>
      </w:pPr>
      <w:r>
        <w:t>4. Project Phases &amp; Current Progress</w:t>
      </w:r>
    </w:p>
    <w:p>
      <w:r>
        <w:t>The project follows a phase-based workflow. Each phase produces a stable output that becomes the input for the next phase. Detailed task assignment can be decided by the team when each phase begins.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736"/>
            <w:shd w:fill="17365D"/>
            <w:vAlign w:val="center"/>
            <w:tcMar>
              <w:top w:w="80" w:type="dxa"/>
              <w:left w:w="90" w:type="dxa"/>
              <w:bottom w:w="80" w:type="dxa"/>
              <w:right w:w="90" w:type="dxa"/>
            </w:tcMar>
          </w:tcPr>
          <w:p>
            <w:pPr>
              <w:spacing w:after="0"/>
            </w:pPr>
            <w:r/>
            <w:r>
              <w:rPr>
                <w:rFonts w:ascii="Aptos" w:hAnsi="Aptos" w:eastAsia="Aptos"/>
                <w:b/>
                <w:color w:val="FFFFFF"/>
                <w:sz w:val="18"/>
              </w:rPr>
              <w:t>Stage</w:t>
            </w:r>
          </w:p>
        </w:tc>
        <w:tc>
          <w:tcPr>
            <w:tcW w:type="dxa" w:w="1296"/>
            <w:shd w:fill="17365D"/>
            <w:vAlign w:val="center"/>
            <w:tcMar>
              <w:top w:w="80" w:type="dxa"/>
              <w:left w:w="90" w:type="dxa"/>
              <w:bottom w:w="80" w:type="dxa"/>
              <w:right w:w="90" w:type="dxa"/>
            </w:tcMar>
          </w:tcPr>
          <w:p>
            <w:pPr>
              <w:spacing w:after="0"/>
            </w:pPr>
            <w:r/>
            <w:r>
              <w:rPr>
                <w:rFonts w:ascii="Aptos" w:hAnsi="Aptos" w:eastAsia="Aptos"/>
                <w:b/>
                <w:color w:val="FFFFFF"/>
                <w:sz w:val="18"/>
              </w:rPr>
              <w:t>Status</w:t>
            </w:r>
          </w:p>
        </w:tc>
        <w:tc>
          <w:tcPr>
            <w:tcW w:type="dxa" w:w="3744"/>
            <w:shd w:fill="17365D"/>
            <w:vAlign w:val="center"/>
            <w:tcMar>
              <w:top w:w="80" w:type="dxa"/>
              <w:left w:w="90" w:type="dxa"/>
              <w:bottom w:w="80" w:type="dxa"/>
              <w:right w:w="90" w:type="dxa"/>
            </w:tcMar>
          </w:tcPr>
          <w:p>
            <w:pPr>
              <w:spacing w:after="0"/>
            </w:pPr>
            <w:r/>
            <w:r>
              <w:rPr>
                <w:rFonts w:ascii="Aptos" w:hAnsi="Aptos" w:eastAsia="Aptos"/>
                <w:b/>
                <w:color w:val="FFFFFF"/>
                <w:sz w:val="18"/>
              </w:rPr>
              <w:t>Purpose</w:t>
            </w:r>
          </w:p>
        </w:tc>
        <w:tc>
          <w:tcPr>
            <w:tcW w:type="dxa" w:w="2880"/>
            <w:shd w:fill="17365D"/>
            <w:vAlign w:val="center"/>
            <w:tcMar>
              <w:top w:w="80" w:type="dxa"/>
              <w:left w:w="90" w:type="dxa"/>
              <w:bottom w:w="80" w:type="dxa"/>
              <w:right w:w="90" w:type="dxa"/>
            </w:tcMar>
          </w:tcPr>
          <w:p>
            <w:pPr>
              <w:spacing w:after="0"/>
            </w:pPr>
            <w:r/>
            <w:r>
              <w:rPr>
                <w:rFonts w:ascii="Aptos" w:hAnsi="Aptos" w:eastAsia="Aptos"/>
                <w:b/>
                <w:color w:val="FFFFFF"/>
                <w:sz w:val="18"/>
              </w:rPr>
              <w:t>Main Output</w:t>
            </w:r>
          </w:p>
        </w:tc>
      </w:tr>
      <w:tr>
        <w:tc>
          <w:tcPr>
            <w:tcW w:type="dxa" w:w="2736"/>
            <w:vAlign w:val="center"/>
            <w:tcMar>
              <w:top w:w="80" w:type="dxa"/>
              <w:left w:w="90" w:type="dxa"/>
              <w:bottom w:w="80" w:type="dxa"/>
              <w:right w:w="90" w:type="dxa"/>
            </w:tcMar>
          </w:tcPr>
          <w:p>
            <w:pPr>
              <w:spacing w:after="0"/>
            </w:pPr>
            <w:r/>
            <w:r>
              <w:rPr>
                <w:rFonts w:ascii="Aptos" w:hAnsi="Aptos" w:eastAsia="Aptos"/>
                <w:b w:val="0"/>
                <w:color w:val="222222"/>
                <w:sz w:val="17"/>
              </w:rPr>
              <w:t>Phase 0 - Project Setup, Data Understanding &amp; Validation</w:t>
            </w:r>
          </w:p>
        </w:tc>
        <w:tc>
          <w:tcPr>
            <w:tcW w:type="dxa" w:w="1296"/>
            <w:vAlign w:val="center"/>
            <w:tcMar>
              <w:top w:w="80" w:type="dxa"/>
              <w:left w:w="90" w:type="dxa"/>
              <w:bottom w:w="80" w:type="dxa"/>
              <w:right w:w="90" w:type="dxa"/>
            </w:tcMar>
          </w:tcPr>
          <w:p>
            <w:pPr>
              <w:spacing w:after="0"/>
            </w:pPr>
            <w:r/>
            <w:r>
              <w:rPr>
                <w:rFonts w:ascii="Aptos" w:hAnsi="Aptos" w:eastAsia="Aptos"/>
                <w:b w:val="0"/>
                <w:color w:val="222222"/>
                <w:sz w:val="17"/>
              </w:rPr>
              <w:t>Completed</w:t>
            </w:r>
          </w:p>
        </w:tc>
        <w:tc>
          <w:tcPr>
            <w:tcW w:type="dxa" w:w="3744"/>
            <w:vAlign w:val="center"/>
            <w:tcMar>
              <w:top w:w="80" w:type="dxa"/>
              <w:left w:w="90" w:type="dxa"/>
              <w:bottom w:w="80" w:type="dxa"/>
              <w:right w:w="90" w:type="dxa"/>
            </w:tcMar>
          </w:tcPr>
          <w:p>
            <w:pPr>
              <w:spacing w:after="0"/>
            </w:pPr>
            <w:r/>
            <w:r>
              <w:rPr>
                <w:rFonts w:ascii="Aptos" w:hAnsi="Aptos" w:eastAsia="Aptos"/>
                <w:b w:val="0"/>
                <w:color w:val="222222"/>
                <w:sz w:val="17"/>
              </w:rPr>
              <w:t>Understand the datasets, validate structure and calculations, review missingness and limitations, and prepare a trusted analytical foundation.</w:t>
            </w:r>
          </w:p>
        </w:tc>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Validated master dataset, validation notebook and documented limitations.</w:t>
            </w:r>
          </w:p>
        </w:tc>
      </w:tr>
      <w:tr>
        <w:tc>
          <w:tcPr>
            <w:tcW w:type="dxa" w:w="2736"/>
            <w:shd w:fill="F6F8FB"/>
            <w:vAlign w:val="center"/>
            <w:tcMar>
              <w:top w:w="80" w:type="dxa"/>
              <w:left w:w="90" w:type="dxa"/>
              <w:bottom w:w="80" w:type="dxa"/>
              <w:right w:w="90" w:type="dxa"/>
            </w:tcMar>
          </w:tcPr>
          <w:p>
            <w:pPr>
              <w:spacing w:after="0"/>
            </w:pPr>
            <w:r/>
            <w:r>
              <w:rPr>
                <w:rFonts w:ascii="Aptos" w:hAnsi="Aptos" w:eastAsia="Aptos"/>
                <w:b w:val="0"/>
                <w:color w:val="222222"/>
                <w:sz w:val="17"/>
              </w:rPr>
              <w:t>Planning Checkpoint - Analysis Questions &amp; KPI Planning</w:t>
            </w:r>
          </w:p>
        </w:tc>
        <w:tc>
          <w:tcPr>
            <w:tcW w:type="dxa" w:w="1296"/>
            <w:shd w:fill="F6F8FB"/>
            <w:vAlign w:val="center"/>
            <w:tcMar>
              <w:top w:w="80" w:type="dxa"/>
              <w:left w:w="90" w:type="dxa"/>
              <w:bottom w:w="80" w:type="dxa"/>
              <w:right w:w="90" w:type="dxa"/>
            </w:tcMar>
          </w:tcPr>
          <w:p>
            <w:pPr>
              <w:spacing w:after="0"/>
            </w:pPr>
            <w:r/>
            <w:r>
              <w:rPr>
                <w:rFonts w:ascii="Aptos" w:hAnsi="Aptos" w:eastAsia="Aptos"/>
                <w:b w:val="0"/>
                <w:color w:val="222222"/>
                <w:sz w:val="17"/>
              </w:rPr>
              <w:t>Current</w:t>
            </w:r>
          </w:p>
        </w:tc>
        <w:tc>
          <w:tcPr>
            <w:tcW w:type="dxa" w:w="3744"/>
            <w:shd w:fill="F6F8FB"/>
            <w:vAlign w:val="center"/>
            <w:tcMar>
              <w:top w:w="80" w:type="dxa"/>
              <w:left w:w="90" w:type="dxa"/>
              <w:bottom w:w="80" w:type="dxa"/>
              <w:right w:w="90" w:type="dxa"/>
            </w:tcMar>
          </w:tcPr>
          <w:p>
            <w:pPr>
              <w:spacing w:after="0"/>
            </w:pPr>
            <w:r/>
            <w:r>
              <w:rPr>
                <w:rFonts w:ascii="Aptos" w:hAnsi="Aptos" w:eastAsia="Aptos"/>
                <w:b w:val="0"/>
                <w:color w:val="222222"/>
                <w:sz w:val="17"/>
              </w:rPr>
              <w:t>Agree on what the project must answer before creating new features. Define KPI logic and identify the minimum required data preparation.</w:t>
            </w:r>
          </w:p>
        </w:tc>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Approved analytical questions, KPI definitions and feature requirements.</w:t>
            </w:r>
          </w:p>
        </w:tc>
      </w:tr>
      <w:tr>
        <w:tc>
          <w:tcPr>
            <w:tcW w:type="dxa" w:w="2736"/>
            <w:vAlign w:val="center"/>
            <w:tcMar>
              <w:top w:w="80" w:type="dxa"/>
              <w:left w:w="90" w:type="dxa"/>
              <w:bottom w:w="80" w:type="dxa"/>
              <w:right w:w="90" w:type="dxa"/>
            </w:tcMar>
          </w:tcPr>
          <w:p>
            <w:pPr>
              <w:spacing w:after="0"/>
            </w:pPr>
            <w:r/>
            <w:r>
              <w:rPr>
                <w:rFonts w:ascii="Aptos" w:hAnsi="Aptos" w:eastAsia="Aptos"/>
                <w:b w:val="0"/>
                <w:color w:val="222222"/>
                <w:sz w:val="17"/>
              </w:rPr>
              <w:t>Phase 1 - Feature Engineering &amp; Data Preparation</w:t>
            </w:r>
          </w:p>
        </w:tc>
        <w:tc>
          <w:tcPr>
            <w:tcW w:type="dxa" w:w="1296"/>
            <w:vAlign w:val="center"/>
            <w:tcMar>
              <w:top w:w="80" w:type="dxa"/>
              <w:left w:w="90" w:type="dxa"/>
              <w:bottom w:w="80" w:type="dxa"/>
              <w:right w:w="90" w:type="dxa"/>
            </w:tcMar>
          </w:tcPr>
          <w:p>
            <w:pPr>
              <w:spacing w:after="0"/>
            </w:pPr>
            <w:r/>
            <w:r>
              <w:rPr>
                <w:rFonts w:ascii="Aptos" w:hAnsi="Aptos" w:eastAsia="Aptos"/>
                <w:b w:val="0"/>
                <w:color w:val="222222"/>
                <w:sz w:val="17"/>
              </w:rPr>
              <w:t>Next</w:t>
            </w:r>
          </w:p>
        </w:tc>
        <w:tc>
          <w:tcPr>
            <w:tcW w:type="dxa" w:w="3744"/>
            <w:vAlign w:val="center"/>
            <w:tcMar>
              <w:top w:w="80" w:type="dxa"/>
              <w:left w:w="90" w:type="dxa"/>
              <w:bottom w:w="80" w:type="dxa"/>
              <w:right w:w="90" w:type="dxa"/>
            </w:tcMar>
          </w:tcPr>
          <w:p>
            <w:pPr>
              <w:spacing w:after="0"/>
            </w:pPr>
            <w:r/>
            <w:r>
              <w:rPr>
                <w:rFonts w:ascii="Aptos" w:hAnsi="Aptos" w:eastAsia="Aptos"/>
                <w:b w:val="0"/>
                <w:color w:val="222222"/>
                <w:sz w:val="17"/>
              </w:rPr>
              <w:t>Prepare analysis-ready datasets and create only approved features needed for analysis and dashboarding.</w:t>
            </w:r>
          </w:p>
        </w:tc>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Processed master dataset, required side tables and feature dictionary.</w:t>
            </w:r>
          </w:p>
        </w:tc>
      </w:tr>
      <w:tr>
        <w:tc>
          <w:tcPr>
            <w:tcW w:type="dxa" w:w="2736"/>
            <w:shd w:fill="F6F8FB"/>
            <w:vAlign w:val="center"/>
            <w:tcMar>
              <w:top w:w="80" w:type="dxa"/>
              <w:left w:w="90" w:type="dxa"/>
              <w:bottom w:w="80" w:type="dxa"/>
              <w:right w:w="90" w:type="dxa"/>
            </w:tcMar>
          </w:tcPr>
          <w:p>
            <w:pPr>
              <w:spacing w:after="0"/>
            </w:pPr>
            <w:r/>
            <w:r>
              <w:rPr>
                <w:rFonts w:ascii="Aptos" w:hAnsi="Aptos" w:eastAsia="Aptos"/>
                <w:b w:val="0"/>
                <w:color w:val="222222"/>
                <w:sz w:val="17"/>
              </w:rPr>
              <w:t>Phase 2 - EDA, Visualization &amp; KPI Analysis</w:t>
            </w:r>
          </w:p>
        </w:tc>
        <w:tc>
          <w:tcPr>
            <w:tcW w:type="dxa" w:w="1296"/>
            <w:shd w:fill="F6F8FB"/>
            <w:vAlign w:val="center"/>
            <w:tcMar>
              <w:top w:w="80" w:type="dxa"/>
              <w:left w:w="90" w:type="dxa"/>
              <w:bottom w:w="80" w:type="dxa"/>
              <w:right w:w="90" w:type="dxa"/>
            </w:tcMar>
          </w:tcPr>
          <w:p>
            <w:pPr>
              <w:spacing w:after="0"/>
            </w:pPr>
            <w:r/>
            <w:r>
              <w:rPr>
                <w:rFonts w:ascii="Aptos" w:hAnsi="Aptos" w:eastAsia="Aptos"/>
                <w:b w:val="0"/>
                <w:color w:val="222222"/>
                <w:sz w:val="17"/>
              </w:rPr>
              <w:t>Planned</w:t>
            </w:r>
          </w:p>
        </w:tc>
        <w:tc>
          <w:tcPr>
            <w:tcW w:type="dxa" w:w="3744"/>
            <w:shd w:fill="F6F8FB"/>
            <w:vAlign w:val="center"/>
            <w:tcMar>
              <w:top w:w="80" w:type="dxa"/>
              <w:left w:w="90" w:type="dxa"/>
              <w:bottom w:w="80" w:type="dxa"/>
              <w:right w:w="90" w:type="dxa"/>
            </w:tcMar>
          </w:tcPr>
          <w:p>
            <w:pPr>
              <w:spacing w:after="0"/>
            </w:pPr>
            <w:r/>
            <w:r>
              <w:rPr>
                <w:rFonts w:ascii="Aptos" w:hAnsi="Aptos" w:eastAsia="Aptos"/>
                <w:b w:val="0"/>
                <w:color w:val="222222"/>
                <w:sz w:val="17"/>
              </w:rPr>
              <w:t>Analyze trends, distributions, comparisons and relationships, then turn results into clear findings and evidence-backed insights.</w:t>
            </w:r>
          </w:p>
        </w:tc>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EDA notebooks, KPI results, final charts and insight notes.</w:t>
            </w:r>
          </w:p>
        </w:tc>
      </w:tr>
    </w:tbl>
    <w:p>
      <w:pPr>
        <w:spacing w:after="20"/>
      </w:pPr>
    </w:p>
    <w:p>
      <w:pPr>
        <w:pStyle w:val="Heading2"/>
        <w:keepNext/>
      </w:pPr>
      <w:r>
        <w:t>4.1 What Has Already Been Completed</w:t>
      </w:r>
    </w:p>
    <w:p>
      <w:pPr>
        <w:pStyle w:val="ListBullet"/>
        <w:spacing w:after="60"/>
      </w:pPr>
      <w:r>
        <w:t>Main water, population, agriculture, WASH and SDG6 data have been reviewed and understood.</w:t>
      </w:r>
    </w:p>
    <w:p>
      <w:pPr>
        <w:pStyle w:val="ListBullet"/>
        <w:spacing w:after="60"/>
      </w:pPr>
      <w:r>
        <w:t>The governorate-year master structure has been validated and duplicate-key checks have been performed.</w:t>
      </w:r>
    </w:p>
    <w:p>
      <w:pPr>
        <w:pStyle w:val="ListBullet"/>
        <w:spacing w:after="60"/>
      </w:pPr>
      <w:r>
        <w:t>Missing values and important source-driven limitations have been documented.</w:t>
      </w:r>
    </w:p>
    <w:p>
      <w:pPr>
        <w:pStyle w:val="ListBullet"/>
        <w:spacing w:after="60"/>
      </w:pPr>
      <w:r>
        <w:t>Water-gap and water-loss calculations and basic logical ranges have been validated.</w:t>
      </w:r>
    </w:p>
    <w:p>
      <w:pPr>
        <w:pStyle w:val="ListBullet"/>
        <w:spacing w:after="60"/>
      </w:pPr>
      <w:r>
        <w:t>Important cases such as the reported-water definition change, Canal Cities per-capita limitation and cross-sectional WASH/SDG6 values have been identified.</w:t>
      </w:r>
    </w:p>
    <w:p>
      <w:pPr>
        <w:pStyle w:val="Heading2"/>
        <w:keepNext/>
      </w:pPr>
      <w:r>
        <w:t>4.2 Current Focus</w:t>
      </w:r>
    </w:p>
    <w:p>
      <w:r>
        <w:t>The team should now finalize the analytical questions and KPI list, map each KPI to the available data, and identify the minimum features required for Phase 1. No new feature should be added only because it is technically possible.</w:t>
      </w:r>
    </w:p>
    <w:p>
      <w:r>
        <w:br w:type="page"/>
      </w:r>
    </w:p>
    <w:p>
      <w:pPr>
        <w:pStyle w:val="Heading1"/>
        <w:keepNext/>
      </w:pPr>
      <w:r>
        <w:t>5. Remaining Project Phases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7365D"/>
            <w:vAlign w:val="center"/>
            <w:tcMar>
              <w:top w:w="80" w:type="dxa"/>
              <w:left w:w="90" w:type="dxa"/>
              <w:bottom w:w="80" w:type="dxa"/>
              <w:right w:w="90" w:type="dxa"/>
            </w:tcMar>
          </w:tcPr>
          <w:p>
            <w:pPr>
              <w:spacing w:after="0"/>
            </w:pPr>
            <w:r/>
            <w:r>
              <w:rPr>
                <w:rFonts w:ascii="Aptos" w:hAnsi="Aptos" w:eastAsia="Aptos"/>
                <w:b/>
                <w:color w:val="FFFFFF"/>
                <w:sz w:val="18"/>
              </w:rPr>
              <w:t>Phase</w:t>
            </w:r>
          </w:p>
        </w:tc>
        <w:tc>
          <w:tcPr>
            <w:tcW w:type="dxa" w:w="4464"/>
            <w:shd w:fill="17365D"/>
            <w:vAlign w:val="center"/>
            <w:tcMar>
              <w:top w:w="80" w:type="dxa"/>
              <w:left w:w="90" w:type="dxa"/>
              <w:bottom w:w="80" w:type="dxa"/>
              <w:right w:w="90" w:type="dxa"/>
            </w:tcMar>
          </w:tcPr>
          <w:p>
            <w:pPr>
              <w:spacing w:after="0"/>
            </w:pPr>
            <w:r/>
            <w:r>
              <w:rPr>
                <w:rFonts w:ascii="Aptos" w:hAnsi="Aptos" w:eastAsia="Aptos"/>
                <w:b/>
                <w:color w:val="FFFFFF"/>
                <w:sz w:val="18"/>
              </w:rPr>
              <w:t>Purpose</w:t>
            </w:r>
          </w:p>
        </w:tc>
        <w:tc>
          <w:tcPr>
            <w:tcW w:type="dxa" w:w="3312"/>
            <w:shd w:fill="17365D"/>
            <w:vAlign w:val="center"/>
            <w:tcMar>
              <w:top w:w="80" w:type="dxa"/>
              <w:left w:w="90" w:type="dxa"/>
              <w:bottom w:w="80" w:type="dxa"/>
              <w:right w:w="90" w:type="dxa"/>
            </w:tcMar>
          </w:tcPr>
          <w:p>
            <w:pPr>
              <w:spacing w:after="0"/>
            </w:pPr>
            <w:r/>
            <w:r>
              <w:rPr>
                <w:rFonts w:ascii="Aptos" w:hAnsi="Aptos" w:eastAsia="Aptos"/>
                <w:b/>
                <w:color w:val="FFFFFF"/>
                <w:sz w:val="18"/>
              </w:rPr>
              <w:t>Expected Output</w:t>
            </w:r>
          </w:p>
        </w:tc>
      </w:tr>
      <w:tr>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Phase 3 - SQL Analysis</w:t>
            </w:r>
          </w:p>
        </w:tc>
        <w:tc>
          <w:tcPr>
            <w:tcW w:type="dxa" w:w="4464"/>
            <w:vAlign w:val="center"/>
            <w:tcMar>
              <w:top w:w="80" w:type="dxa"/>
              <w:left w:w="90" w:type="dxa"/>
              <w:bottom w:w="80" w:type="dxa"/>
              <w:right w:w="90" w:type="dxa"/>
            </w:tcMar>
          </w:tcPr>
          <w:p>
            <w:pPr>
              <w:spacing w:after="0"/>
            </w:pPr>
            <w:r/>
            <w:r>
              <w:rPr>
                <w:rFonts w:ascii="Aptos" w:hAnsi="Aptos" w:eastAsia="Aptos"/>
                <w:b w:val="0"/>
                <w:color w:val="222222"/>
                <w:sz w:val="17"/>
              </w:rPr>
              <w:t>Create a reusable analytical SQL layer from the approved processed datasets, reproduce important questions and KPIs, and validate results against Python.</w:t>
            </w:r>
          </w:p>
        </w:tc>
        <w:tc>
          <w:tcPr>
            <w:tcW w:type="dxa" w:w="3312"/>
            <w:vAlign w:val="center"/>
            <w:tcMar>
              <w:top w:w="80" w:type="dxa"/>
              <w:left w:w="90" w:type="dxa"/>
              <w:bottom w:w="80" w:type="dxa"/>
              <w:right w:w="90" w:type="dxa"/>
            </w:tcMar>
          </w:tcPr>
          <w:p>
            <w:pPr>
              <w:spacing w:after="0"/>
            </w:pPr>
            <w:r/>
            <w:r>
              <w:rPr>
                <w:rFonts w:ascii="Aptos" w:hAnsi="Aptos" w:eastAsia="Aptos"/>
                <w:b w:val="0"/>
                <w:color w:val="222222"/>
                <w:sz w:val="17"/>
              </w:rPr>
              <w:t>Schema/loading scripts, analytical queries, KPI views and SQL validation notes.</w:t>
            </w:r>
          </w:p>
        </w:tc>
      </w:tr>
      <w:tr>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Phase 4 - Machine Learning (Optional)</w:t>
            </w:r>
          </w:p>
        </w:tc>
        <w:tc>
          <w:tcPr>
            <w:tcW w:type="dxa" w:w="4464"/>
            <w:shd w:fill="F6F8FB"/>
            <w:vAlign w:val="center"/>
            <w:tcMar>
              <w:top w:w="80" w:type="dxa"/>
              <w:left w:w="90" w:type="dxa"/>
              <w:bottom w:w="80" w:type="dxa"/>
              <w:right w:w="90" w:type="dxa"/>
            </w:tcMar>
          </w:tcPr>
          <w:p>
            <w:pPr>
              <w:spacing w:after="0"/>
            </w:pPr>
            <w:r/>
            <w:r>
              <w:rPr>
                <w:rFonts w:ascii="Aptos" w:hAnsi="Aptos" w:eastAsia="Aptos"/>
                <w:b w:val="0"/>
                <w:color w:val="222222"/>
                <w:sz w:val="17"/>
              </w:rPr>
              <w:t>Make a Go/No-Go decision after EDA. If the data supports a useful modeling question, build and evaluate a simple defensible model; otherwise keep ML out of the final solution.</w:t>
            </w:r>
          </w:p>
        </w:tc>
        <w:tc>
          <w:tcPr>
            <w:tcW w:type="dxa" w:w="3312"/>
            <w:shd w:fill="F6F8FB"/>
            <w:vAlign w:val="center"/>
            <w:tcMar>
              <w:top w:w="80" w:type="dxa"/>
              <w:left w:w="90" w:type="dxa"/>
              <w:bottom w:w="80" w:type="dxa"/>
              <w:right w:w="90" w:type="dxa"/>
            </w:tcMar>
          </w:tcPr>
          <w:p>
            <w:pPr>
              <w:spacing w:after="0"/>
            </w:pPr>
            <w:r/>
            <w:r>
              <w:rPr>
                <w:rFonts w:ascii="Aptos" w:hAnsi="Aptos" w:eastAsia="Aptos"/>
                <w:b w:val="0"/>
                <w:color w:val="222222"/>
                <w:sz w:val="17"/>
              </w:rPr>
              <w:t>ML decision and, only if justified, modeling notebook(s) and evaluation.</w:t>
            </w:r>
          </w:p>
        </w:tc>
      </w:tr>
      <w:tr>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Phase 5 - BI Dashboard</w:t>
            </w:r>
          </w:p>
        </w:tc>
        <w:tc>
          <w:tcPr>
            <w:tcW w:type="dxa" w:w="4464"/>
            <w:vAlign w:val="center"/>
            <w:tcMar>
              <w:top w:w="80" w:type="dxa"/>
              <w:left w:w="90" w:type="dxa"/>
              <w:bottom w:w="80" w:type="dxa"/>
              <w:right w:w="90" w:type="dxa"/>
            </w:tcMar>
          </w:tcPr>
          <w:p>
            <w:pPr>
              <w:spacing w:after="0"/>
            </w:pPr>
            <w:r/>
            <w:r>
              <w:rPr>
                <w:rFonts w:ascii="Aptos" w:hAnsi="Aptos" w:eastAsia="Aptos"/>
                <w:b w:val="0"/>
                <w:color w:val="222222"/>
                <w:sz w:val="17"/>
              </w:rPr>
              <w:t>Turn approved KPIs and findings into an interactive Power BI dashboard that moves from overview to detailed governorate analysis.</w:t>
            </w:r>
          </w:p>
        </w:tc>
        <w:tc>
          <w:tcPr>
            <w:tcW w:type="dxa" w:w="3312"/>
            <w:vAlign w:val="center"/>
            <w:tcMar>
              <w:top w:w="80" w:type="dxa"/>
              <w:left w:w="90" w:type="dxa"/>
              <w:bottom w:w="80" w:type="dxa"/>
              <w:right w:w="90" w:type="dxa"/>
            </w:tcMar>
          </w:tcPr>
          <w:p>
            <w:pPr>
              <w:spacing w:after="0"/>
            </w:pPr>
            <w:r/>
            <w:r>
              <w:rPr>
                <w:rFonts w:ascii="Aptos" w:hAnsi="Aptos" w:eastAsia="Aptos"/>
                <w:b w:val="0"/>
                <w:color w:val="222222"/>
                <w:sz w:val="17"/>
              </w:rPr>
              <w:t>Executive overview, analytical pages, documented measures and dashboard QA.</w:t>
            </w:r>
          </w:p>
        </w:tc>
      </w:tr>
      <w:tr>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Phase 6 - Final Integration, Documentation &amp; Presentation</w:t>
            </w:r>
          </w:p>
        </w:tc>
        <w:tc>
          <w:tcPr>
            <w:tcW w:type="dxa" w:w="4464"/>
            <w:shd w:fill="F6F8FB"/>
            <w:vAlign w:val="center"/>
            <w:tcMar>
              <w:top w:w="80" w:type="dxa"/>
              <w:left w:w="90" w:type="dxa"/>
              <w:bottom w:w="80" w:type="dxa"/>
              <w:right w:w="90" w:type="dxa"/>
            </w:tcMar>
          </w:tcPr>
          <w:p>
            <w:pPr>
              <w:spacing w:after="0"/>
            </w:pPr>
            <w:r/>
            <w:r>
              <w:rPr>
                <w:rFonts w:ascii="Aptos" w:hAnsi="Aptos" w:eastAsia="Aptos"/>
                <w:b w:val="0"/>
                <w:color w:val="222222"/>
                <w:sz w:val="17"/>
              </w:rPr>
              <w:t>Select the strongest findings, document the methodology and limitations, cross-check numbers and build the final project story.</w:t>
            </w:r>
          </w:p>
        </w:tc>
        <w:tc>
          <w:tcPr>
            <w:tcW w:type="dxa" w:w="3312"/>
            <w:shd w:fill="F6F8FB"/>
            <w:vAlign w:val="center"/>
            <w:tcMar>
              <w:top w:w="80" w:type="dxa"/>
              <w:left w:w="90" w:type="dxa"/>
              <w:bottom w:w="80" w:type="dxa"/>
              <w:right w:w="90" w:type="dxa"/>
            </w:tcMar>
          </w:tcPr>
          <w:p>
            <w:pPr>
              <w:spacing w:after="0"/>
            </w:pPr>
            <w:r/>
            <w:r>
              <w:rPr>
                <w:rFonts w:ascii="Aptos" w:hAnsi="Aptos" w:eastAsia="Aptos"/>
                <w:b w:val="0"/>
                <w:color w:val="222222"/>
                <w:sz w:val="17"/>
              </w:rPr>
              <w:t>Final report, presentation, dashboards, analysis outputs and final QA package.</w:t>
            </w:r>
          </w:p>
        </w:tc>
      </w:tr>
    </w:tbl>
    <w:p>
      <w:pPr>
        <w:spacing w:after="20"/>
      </w:pPr>
    </w:p>
    <w:p>
      <w:pPr>
        <w:pStyle w:val="Heading2"/>
        <w:keepNext/>
      </w:pPr>
      <w:r>
        <w:t>5.1 Main Project Deliverables</w:t>
      </w:r>
    </w:p>
    <w:p>
      <w:pPr>
        <w:pStyle w:val="ListBullet"/>
        <w:spacing w:after="60"/>
      </w:pPr>
      <w:r>
        <w:t>Validated and processed analysis-ready datasets.</w:t>
      </w:r>
    </w:p>
    <w:p>
      <w:pPr>
        <w:pStyle w:val="ListBullet"/>
        <w:spacing w:after="60"/>
      </w:pPr>
      <w:r>
        <w:t>Feature dictionary and documented KPI definitions.</w:t>
      </w:r>
    </w:p>
    <w:p>
      <w:pPr>
        <w:pStyle w:val="ListBullet"/>
        <w:spacing w:after="60"/>
      </w:pPr>
      <w:r>
        <w:t>EDA notebooks, charts, tables and evidence-backed insights.</w:t>
      </w:r>
    </w:p>
    <w:p>
      <w:pPr>
        <w:pStyle w:val="ListBullet"/>
        <w:spacing w:after="60"/>
      </w:pPr>
      <w:r>
        <w:t>SQL analytical layer with queries and reusable KPI views.</w:t>
      </w:r>
    </w:p>
    <w:p>
      <w:pPr>
        <w:pStyle w:val="ListBullet"/>
        <w:spacing w:after="60"/>
      </w:pPr>
      <w:r>
        <w:t>Power BI dashboard with clear navigation and consistent measures.</w:t>
      </w:r>
    </w:p>
    <w:p>
      <w:pPr>
        <w:pStyle w:val="ListBullet"/>
        <w:spacing w:after="60"/>
      </w:pPr>
      <w:r>
        <w:t>Final technical documentation, findings, recommendations and presentation.</w:t>
      </w:r>
    </w:p>
    <w:p>
      <w:pPr>
        <w:pStyle w:val="ListBullet"/>
        <w:spacing w:after="60"/>
      </w:pPr>
      <w:r>
        <w:t>Machine Learning outputs only if a valid use case is approved after EDA.</w:t>
      </w:r>
    </w:p>
    <w:p>
      <w:r>
        <w:br w:type="page"/>
      </w:r>
    </w:p>
    <w:p>
      <w:pPr>
        <w:pStyle w:val="Heading1"/>
        <w:keepNext/>
      </w:pPr>
      <w:r>
        <w:t>6. Project Management Approach &amp; Next Steps</w:t>
      </w:r>
    </w:p>
    <w:p>
      <w:pPr>
        <w:pStyle w:val="Heading2"/>
        <w:keepNext/>
      </w:pPr>
      <w:r>
        <w:t>6.1 Simple Execution Approach</w:t>
      </w:r>
    </w:p>
    <w:p>
      <w:pPr>
        <w:pStyle w:val="ListBullet"/>
        <w:spacing w:after="60"/>
      </w:pPr>
      <w:r>
        <w:t>Work one phase at a time and agree on the required output before moving forward.</w:t>
      </w:r>
    </w:p>
    <w:p>
      <w:pPr>
        <w:pStyle w:val="ListBullet"/>
        <w:spacing w:after="60"/>
      </w:pPr>
      <w:r>
        <w:t>Divide the active phase into clear tasks only when the team is ready to start that phase.</w:t>
      </w:r>
    </w:p>
    <w:p>
      <w:pPr>
        <w:pStyle w:val="ListBullet"/>
        <w:spacing w:after="60"/>
      </w:pPr>
      <w:r>
        <w:t>Review formulas, data grain, missingness and output consistency before freezing each phase result.</w:t>
      </w:r>
    </w:p>
    <w:p>
      <w:pPr>
        <w:pStyle w:val="ListBullet"/>
        <w:spacing w:after="60"/>
      </w:pPr>
      <w:r>
        <w:t>Use one approved KPI definition across all tools and final outputs.</w:t>
      </w:r>
    </w:p>
    <w:p>
      <w:pPr>
        <w:pStyle w:val="ListBullet"/>
        <w:spacing w:after="60"/>
      </w:pPr>
      <w:r>
        <w:t>Keep analysis focused on the approved questions and avoid adding unnecessary project components.</w:t>
      </w:r>
    </w:p>
    <w:p>
      <w:pPr>
        <w:pStyle w:val="Heading2"/>
        <w:keepNext/>
      </w:pPr>
      <w:r>
        <w:t>6.2 Immediate Next Steps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864"/>
            <w:shd w:fill="17365D"/>
            <w:vAlign w:val="center"/>
            <w:tcMar>
              <w:top w:w="80" w:type="dxa"/>
              <w:left w:w="90" w:type="dxa"/>
              <w:bottom w:w="80" w:type="dxa"/>
              <w:right w:w="90" w:type="dxa"/>
            </w:tcMar>
          </w:tcPr>
          <w:p>
            <w:pPr>
              <w:spacing w:after="0"/>
            </w:pPr>
            <w:r/>
            <w:r>
              <w:rPr>
                <w:rFonts w:ascii="Aptos" w:hAnsi="Aptos" w:eastAsia="Aptos"/>
                <w:b/>
                <w:color w:val="FFFFFF"/>
                <w:sz w:val="18"/>
              </w:rPr>
              <w:t>Step</w:t>
            </w:r>
          </w:p>
        </w:tc>
        <w:tc>
          <w:tcPr>
            <w:tcW w:type="dxa" w:w="9360"/>
            <w:shd w:fill="17365D"/>
            <w:vAlign w:val="center"/>
            <w:tcMar>
              <w:top w:w="80" w:type="dxa"/>
              <w:left w:w="90" w:type="dxa"/>
              <w:bottom w:w="80" w:type="dxa"/>
              <w:right w:w="90" w:type="dxa"/>
            </w:tcMar>
          </w:tcPr>
          <w:p>
            <w:pPr>
              <w:spacing w:after="0"/>
            </w:pPr>
            <w:r/>
            <w:r>
              <w:rPr>
                <w:rFonts w:ascii="Aptos" w:hAnsi="Aptos" w:eastAsia="Aptos"/>
                <w:b/>
                <w:color w:val="FFFFFF"/>
                <w:sz w:val="18"/>
              </w:rPr>
              <w:t>Action</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1</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Approve the final analytical questions and KPI list.</w:t>
            </w:r>
          </w:p>
        </w:tc>
      </w:tr>
      <w:tr>
        <w:tc>
          <w:tcPr>
            <w:tcW w:type="dxa" w:w="864"/>
            <w:shd w:fill="F6F8FB"/>
            <w:vAlign w:val="center"/>
            <w:tcMar>
              <w:top w:w="80" w:type="dxa"/>
              <w:left w:w="90" w:type="dxa"/>
              <w:bottom w:w="80" w:type="dxa"/>
              <w:right w:w="90" w:type="dxa"/>
            </w:tcMar>
          </w:tcPr>
          <w:p>
            <w:pPr>
              <w:spacing w:after="0"/>
            </w:pPr>
            <w:r/>
            <w:r>
              <w:rPr>
                <w:rFonts w:ascii="Aptos" w:hAnsi="Aptos" w:eastAsia="Aptos"/>
                <w:b w:val="0"/>
                <w:color w:val="222222"/>
                <w:sz w:val="18"/>
              </w:rPr>
              <w:t>2</w:t>
            </w:r>
          </w:p>
        </w:tc>
        <w:tc>
          <w:tcPr>
            <w:tcW w:type="dxa" w:w="9360"/>
            <w:shd w:fill="F6F8FB"/>
            <w:vAlign w:val="center"/>
            <w:tcMar>
              <w:top w:w="80" w:type="dxa"/>
              <w:left w:w="90" w:type="dxa"/>
              <w:bottom w:w="80" w:type="dxa"/>
              <w:right w:w="90" w:type="dxa"/>
            </w:tcMar>
          </w:tcPr>
          <w:p>
            <w:pPr>
              <w:spacing w:after="0"/>
            </w:pPr>
            <w:r/>
            <w:r>
              <w:rPr>
                <w:rFonts w:ascii="Aptos" w:hAnsi="Aptos" w:eastAsia="Aptos"/>
                <w:b w:val="0"/>
                <w:color w:val="222222"/>
                <w:sz w:val="18"/>
              </w:rPr>
              <w:t>For each KPI, document the formula, unit, grain, available years, source and limitations.</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3</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Map each analytical question to the required data, required feature and expected visualization.</w:t>
            </w:r>
          </w:p>
        </w:tc>
      </w:tr>
      <w:tr>
        <w:tc>
          <w:tcPr>
            <w:tcW w:type="dxa" w:w="864"/>
            <w:shd w:fill="F6F8FB"/>
            <w:vAlign w:val="center"/>
            <w:tcMar>
              <w:top w:w="80" w:type="dxa"/>
              <w:left w:w="90" w:type="dxa"/>
              <w:bottom w:w="80" w:type="dxa"/>
              <w:right w:w="90" w:type="dxa"/>
            </w:tcMar>
          </w:tcPr>
          <w:p>
            <w:pPr>
              <w:spacing w:after="0"/>
            </w:pPr>
            <w:r/>
            <w:r>
              <w:rPr>
                <w:rFonts w:ascii="Aptos" w:hAnsi="Aptos" w:eastAsia="Aptos"/>
                <w:b w:val="0"/>
                <w:color w:val="222222"/>
                <w:sz w:val="18"/>
              </w:rPr>
              <w:t>4</w:t>
            </w:r>
          </w:p>
        </w:tc>
        <w:tc>
          <w:tcPr>
            <w:tcW w:type="dxa" w:w="9360"/>
            <w:shd w:fill="F6F8FB"/>
            <w:vAlign w:val="center"/>
            <w:tcMar>
              <w:top w:w="80" w:type="dxa"/>
              <w:left w:w="90" w:type="dxa"/>
              <w:bottom w:w="80" w:type="dxa"/>
              <w:right w:w="90" w:type="dxa"/>
            </w:tcMar>
          </w:tcPr>
          <w:p>
            <w:pPr>
              <w:spacing w:after="0"/>
            </w:pPr>
            <w:r/>
            <w:r>
              <w:rPr>
                <w:rFonts w:ascii="Aptos" w:hAnsi="Aptos" w:eastAsia="Aptos"/>
                <w:b w:val="0"/>
                <w:color w:val="222222"/>
                <w:sz w:val="18"/>
              </w:rPr>
              <w:t>Create only the minimum required features in Phase 1, including a clear reported-water regime indicator for the sold/consumed definition change.</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5</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Prepare separate processed side tables for datasets that have a different grain, such as wastewater or water quality, when needed.</w:t>
            </w:r>
          </w:p>
        </w:tc>
      </w:tr>
      <w:tr>
        <w:tc>
          <w:tcPr>
            <w:tcW w:type="dxa" w:w="864"/>
            <w:shd w:fill="F6F8FB"/>
            <w:vAlign w:val="center"/>
            <w:tcMar>
              <w:top w:w="80" w:type="dxa"/>
              <w:left w:w="90" w:type="dxa"/>
              <w:bottom w:w="80" w:type="dxa"/>
              <w:right w:w="90" w:type="dxa"/>
            </w:tcMar>
          </w:tcPr>
          <w:p>
            <w:pPr>
              <w:spacing w:after="0"/>
            </w:pPr>
            <w:r/>
            <w:r>
              <w:rPr>
                <w:rFonts w:ascii="Aptos" w:hAnsi="Aptos" w:eastAsia="Aptos"/>
                <w:b w:val="0"/>
                <w:color w:val="222222"/>
                <w:sz w:val="18"/>
              </w:rPr>
              <w:t>6</w:t>
            </w:r>
          </w:p>
        </w:tc>
        <w:tc>
          <w:tcPr>
            <w:tcW w:type="dxa" w:w="9360"/>
            <w:shd w:fill="F6F8FB"/>
            <w:vAlign w:val="center"/>
            <w:tcMar>
              <w:top w:w="80" w:type="dxa"/>
              <w:left w:w="90" w:type="dxa"/>
              <w:bottom w:w="80" w:type="dxa"/>
              <w:right w:w="90" w:type="dxa"/>
            </w:tcMar>
          </w:tcPr>
          <w:p>
            <w:pPr>
              <w:spacing w:after="0"/>
            </w:pPr>
            <w:r/>
            <w:r>
              <w:rPr>
                <w:rFonts w:ascii="Aptos" w:hAnsi="Aptos" w:eastAsia="Aptos"/>
                <w:b w:val="0"/>
                <w:color w:val="222222"/>
                <w:sz w:val="18"/>
              </w:rPr>
              <w:t>Perform feature-integration QA and freeze the processed outputs.</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7</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Start Phase 2 EDA, KPI analysis, visualization and insight writing using the frozen processed data.</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0F7"/>
            <w:tcMar>
              <w:top w:w="80" w:type="dxa"/>
              <w:left w:w="90" w:type="dxa"/>
              <w:bottom w:w="80" w:type="dxa"/>
              <w:right w:w="90" w:type="dxa"/>
            </w:tcMar>
          </w:tcPr>
          <w:p>
            <w:pPr>
              <w:spacing w:after="60"/>
            </w:pPr>
            <w:r/>
            <w:r>
              <w:rPr>
                <w:b/>
                <w:color w:val="17365D"/>
                <w:sz w:val="20"/>
              </w:rPr>
              <w:t>Final Planning Flow</w:t>
            </w:r>
          </w:p>
          <w:p>
            <w:pPr>
              <w:spacing w:after="0" w:line="252" w:lineRule="auto"/>
            </w:pPr>
            <w:r>
              <w:rPr>
                <w:sz w:val="18"/>
              </w:rPr>
              <w:t>Validated data → Approved questions &amp; KPIs → Minimal feature engineering → EDA &amp; insights → SQL validation → Optional ML decision → Power BI dashboard → Final documentation &amp; presentation.</w:t>
            </w:r>
          </w:p>
        </w:tc>
      </w:tr>
    </w:tbl>
    <w:p>
      <w:pPr>
        <w:spacing w:after="20"/>
      </w:pPr>
    </w:p>
    <w:p>
      <w:pPr>
        <w:pStyle w:val="SmallNote"/>
      </w:pPr>
      <w:r>
        <w:t>This document is intentionally concise. It defines the project direction, scope, analytical controls, phases, deliverables and immediate next actions without locking the team into premature task assignments or unnecessary implementation details.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Project Planning &amp;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DEPI - Professional Data Analyst Track | Egypt Water Sustainability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eastAsia="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7"/>
    </w:rPr>
  </w:style>
  <w:style w:type="paragraph" w:customStyle="1" w:styleId="BodyStrong">
    <w:name w:val="Body Strong"/>
    <w:rPr>
      <w:rFonts w:ascii="Aptos" w:hAnsi="Aptos"/>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Water Sustainability Analytics - Project Planning &amp; Management</dc:title>
  <dc:subject>DEPI Professional Data Analyst Track</dc:subject>
  <dc:creator>DEPI Professional Data Analyst Team</dc:creator>
  <cp:keywords>DEPI, Data Analysis, Water Sustainability, Egypt, Project Planning</cp:keywords>
  <dc:description>generated by python-docx</dc:description>
  <cp:lastModifiedBy/>
  <cp:revision>1</cp:revision>
  <dcterms:created xsi:type="dcterms:W3CDTF">2013-12-23T23:15:00Z</dcterms:created>
  <dcterms:modified xsi:type="dcterms:W3CDTF">2013-12-23T23:15:00Z</dcterms:modified>
  <cp:category/>
</cp:coreProperties>
</file>