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DFD4" w14:textId="058FC8D1" w:rsidR="0011379A" w:rsidRPr="0011379A" w:rsidRDefault="0011379A" w:rsidP="0011379A">
      <w:pPr>
        <w:tabs>
          <w:tab w:val="left" w:pos="2964"/>
          <w:tab w:val="left" w:pos="3300"/>
          <w:tab w:val="center" w:pos="4997"/>
        </w:tabs>
        <w:spacing w:before="2200"/>
        <w:rPr>
          <w:rFonts w:asciiTheme="majorBidi" w:hAnsiTheme="majorBidi" w:cstheme="majorBidi"/>
          <w:b/>
          <w:color w:val="1F4E79"/>
          <w:sz w:val="28"/>
          <w:szCs w:val="28"/>
        </w:rPr>
      </w:pPr>
      <w:r w:rsidRPr="0011379A">
        <w:rPr>
          <w:rFonts w:asciiTheme="majorBidi" w:hAnsiTheme="majorBidi" w:cstheme="majorBidi"/>
          <w:b/>
          <w:color w:val="1F4E79"/>
          <w:sz w:val="28"/>
          <w:szCs w:val="28"/>
        </w:rPr>
        <w:drawing>
          <wp:anchor distT="0" distB="0" distL="114300" distR="114300" simplePos="0" relativeHeight="251656704" behindDoc="1" locked="0" layoutInCell="1" allowOverlap="1" wp14:anchorId="081186EF" wp14:editId="5476243E">
            <wp:simplePos x="0" y="0"/>
            <wp:positionH relativeFrom="column">
              <wp:posOffset>4638040</wp:posOffset>
            </wp:positionH>
            <wp:positionV relativeFrom="paragraph">
              <wp:posOffset>109220</wp:posOffset>
            </wp:positionV>
            <wp:extent cx="1971040" cy="1082040"/>
            <wp:effectExtent l="0" t="0" r="0" b="3810"/>
            <wp:wrapTight wrapText="bothSides">
              <wp:wrapPolygon edited="0">
                <wp:start x="0" y="0"/>
                <wp:lineTo x="0" y="21296"/>
                <wp:lineTo x="21294" y="21296"/>
                <wp:lineTo x="21294" y="0"/>
                <wp:lineTo x="0" y="0"/>
              </wp:wrapPolygon>
            </wp:wrapTight>
            <wp:docPr id="34828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t="19367" b="16761"/>
                    <a:stretch>
                      <a:fillRect/>
                    </a:stretch>
                  </pic:blipFill>
                  <pic:spPr bwMode="auto">
                    <a:xfrm>
                      <a:off x="0" y="0"/>
                      <a:ext cx="1971040" cy="1082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379A">
        <w:rPr>
          <w:rFonts w:asciiTheme="majorBidi" w:hAnsiTheme="majorBidi" w:cstheme="majorBidi"/>
          <w:b/>
          <w:noProof/>
          <w:color w:val="1F4E79"/>
          <w:sz w:val="28"/>
          <w:szCs w:val="28"/>
        </w:rPr>
        <w:drawing>
          <wp:anchor distT="0" distB="0" distL="114300" distR="114300" simplePos="0" relativeHeight="251668992" behindDoc="1" locked="0" layoutInCell="1" allowOverlap="1" wp14:anchorId="140CC4E9" wp14:editId="57255985">
            <wp:simplePos x="0" y="0"/>
            <wp:positionH relativeFrom="column">
              <wp:posOffset>-65405</wp:posOffset>
            </wp:positionH>
            <wp:positionV relativeFrom="paragraph">
              <wp:posOffset>86360</wp:posOffset>
            </wp:positionV>
            <wp:extent cx="1211580" cy="1203325"/>
            <wp:effectExtent l="0" t="0" r="7620" b="0"/>
            <wp:wrapSquare wrapText="bothSides"/>
            <wp:docPr id="816119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19451" name="Picture 816119451"/>
                    <pic:cNvPicPr/>
                  </pic:nvPicPr>
                  <pic:blipFill>
                    <a:blip r:embed="rId9"/>
                    <a:stretch>
                      <a:fillRect/>
                    </a:stretch>
                  </pic:blipFill>
                  <pic:spPr>
                    <a:xfrm>
                      <a:off x="0" y="0"/>
                      <a:ext cx="1211580" cy="1203325"/>
                    </a:xfrm>
                    <a:prstGeom prst="rect">
                      <a:avLst/>
                    </a:prstGeom>
                  </pic:spPr>
                </pic:pic>
              </a:graphicData>
            </a:graphic>
            <wp14:sizeRelH relativeFrom="margin">
              <wp14:pctWidth>0</wp14:pctWidth>
            </wp14:sizeRelH>
            <wp14:sizeRelV relativeFrom="margin">
              <wp14:pctHeight>0</wp14:pctHeight>
            </wp14:sizeRelV>
          </wp:anchor>
        </w:drawing>
      </w:r>
      <w:r w:rsidRPr="0011379A">
        <w:rPr>
          <w:rFonts w:asciiTheme="majorBidi" w:hAnsiTheme="majorBidi" w:cstheme="majorBidi"/>
          <w:b/>
          <w:color w:val="1F4E79"/>
          <w:sz w:val="28"/>
          <w:szCs w:val="28"/>
        </w:rPr>
        <w:tab/>
      </w:r>
    </w:p>
    <w:p w14:paraId="4BFADB84" w14:textId="4586FEC4" w:rsidR="0011379A" w:rsidRPr="0011379A" w:rsidRDefault="0011379A" w:rsidP="0011379A">
      <w:pPr>
        <w:tabs>
          <w:tab w:val="left" w:pos="2964"/>
          <w:tab w:val="left" w:pos="3300"/>
          <w:tab w:val="center" w:pos="4997"/>
        </w:tabs>
        <w:spacing w:before="2200"/>
        <w:rPr>
          <w:rFonts w:asciiTheme="majorBidi" w:hAnsiTheme="majorBidi" w:cstheme="majorBidi"/>
          <w:b/>
          <w:color w:val="1F4E79"/>
          <w:sz w:val="28"/>
          <w:szCs w:val="28"/>
        </w:rPr>
      </w:pPr>
      <w:r w:rsidRPr="0011379A">
        <w:rPr>
          <w:rFonts w:asciiTheme="majorBidi" w:hAnsiTheme="majorBidi" w:cstheme="majorBidi"/>
          <w:b/>
          <w:color w:val="1F4E79"/>
          <w:sz w:val="28"/>
          <w:szCs w:val="28"/>
        </w:rPr>
        <w:tab/>
      </w:r>
      <w:r w:rsidRPr="0011379A">
        <w:rPr>
          <w:rFonts w:asciiTheme="majorBidi" w:hAnsiTheme="majorBidi" w:cstheme="majorBidi"/>
          <w:b/>
          <w:color w:val="1F4E79"/>
          <w:sz w:val="28"/>
          <w:szCs w:val="28"/>
        </w:rPr>
        <w:tab/>
        <w:t>LITERATURE REVIEW</w:t>
      </w:r>
    </w:p>
    <w:p w14:paraId="7AAC2F5F" w14:textId="77777777" w:rsidR="00A47E71" w:rsidRPr="0011379A" w:rsidRDefault="00000000" w:rsidP="0011379A">
      <w:pPr>
        <w:pStyle w:val="Title"/>
        <w:jc w:val="center"/>
        <w:rPr>
          <w:rFonts w:asciiTheme="majorBidi" w:hAnsiTheme="majorBidi"/>
          <w:sz w:val="52"/>
          <w:szCs w:val="72"/>
        </w:rPr>
      </w:pPr>
      <w:r w:rsidRPr="0011379A">
        <w:rPr>
          <w:rFonts w:asciiTheme="majorBidi" w:hAnsiTheme="majorBidi"/>
          <w:sz w:val="52"/>
          <w:szCs w:val="72"/>
        </w:rPr>
        <w:t>Intelligent Infrastructure Automation Platform</w:t>
      </w:r>
    </w:p>
    <w:p w14:paraId="3AA2478C" w14:textId="77777777" w:rsidR="00A47E71" w:rsidRPr="0011379A" w:rsidRDefault="00000000" w:rsidP="0011379A">
      <w:pPr>
        <w:jc w:val="center"/>
        <w:rPr>
          <w:rFonts w:asciiTheme="majorBidi" w:hAnsiTheme="majorBidi" w:cstheme="majorBidi"/>
          <w:sz w:val="24"/>
          <w:szCs w:val="28"/>
        </w:rPr>
      </w:pPr>
      <w:r w:rsidRPr="0011379A">
        <w:rPr>
          <w:rFonts w:asciiTheme="majorBidi" w:hAnsiTheme="majorBidi" w:cstheme="majorBidi"/>
          <w:color w:val="475467"/>
          <w:sz w:val="32"/>
          <w:szCs w:val="28"/>
        </w:rPr>
        <w:t>DevOps, Infrastructure as Code, CI CD, Kubernetes, and DevSecOps</w:t>
      </w:r>
    </w:p>
    <w:p w14:paraId="4CB2E837" w14:textId="77777777" w:rsidR="00A47E71" w:rsidRPr="0011379A" w:rsidRDefault="00000000">
      <w:pPr>
        <w:rPr>
          <w:rFonts w:asciiTheme="majorBidi" w:hAnsiTheme="majorBidi" w:cstheme="majorBidi"/>
        </w:rPr>
      </w:pPr>
      <w:r w:rsidRPr="0011379A">
        <w:rPr>
          <w:rFonts w:asciiTheme="majorBidi" w:hAnsiTheme="majorBidi" w:cstheme="majorBidi"/>
        </w:rPr>
        <w:br w:type="page"/>
      </w:r>
    </w:p>
    <w:p w14:paraId="06837002" w14:textId="77777777" w:rsidR="00A47E71" w:rsidRPr="0011379A" w:rsidRDefault="00000000">
      <w:pPr>
        <w:pStyle w:val="Heading1"/>
        <w:rPr>
          <w:rFonts w:asciiTheme="majorBidi" w:hAnsiTheme="majorBidi"/>
        </w:rPr>
      </w:pPr>
      <w:r w:rsidRPr="0011379A">
        <w:rPr>
          <w:rFonts w:asciiTheme="majorBidi" w:hAnsiTheme="majorBidi"/>
        </w:rPr>
        <w:lastRenderedPageBreak/>
        <w:t>Abstract</w:t>
      </w:r>
    </w:p>
    <w:p w14:paraId="7B6CB106" w14:textId="77777777" w:rsidR="00A47E71" w:rsidRPr="0011379A" w:rsidRDefault="00000000">
      <w:pPr>
        <w:rPr>
          <w:rFonts w:asciiTheme="majorBidi" w:hAnsiTheme="majorBidi" w:cstheme="majorBidi"/>
        </w:rPr>
      </w:pPr>
      <w:r w:rsidRPr="0011379A">
        <w:rPr>
          <w:rFonts w:asciiTheme="majorBidi" w:hAnsiTheme="majorBidi" w:cstheme="majorBidi"/>
        </w:rPr>
        <w:t>This literature review synthesizes research relevant to an intelligent infrastructure automation platform that converts source repositories into governed Kubernetes deployments. It examines evidence on DevOps, continuous integration and continuous delivery, infrastructure as code, cloud-native orchestration, and DevSecOps. The literature generally supports automation as a means of improving feedback speed, consistency, and delivery reliability, but it also shows that technical tools alone do not guarantee improvement. Effective implementations require cross-functional ownership, standardized templates, policy enforcement, secure secret handling, observable pipelines, and gradual adoption. The review translates these findings into design implications for a platform built around Git-based workflows, Terraform, Ansible, Jenkins, and Kubernetes.</w:t>
      </w:r>
    </w:p>
    <w:p w14:paraId="13D02B25" w14:textId="77777777" w:rsidR="00A47E71" w:rsidRPr="0011379A" w:rsidRDefault="00000000">
      <w:pPr>
        <w:spacing w:after="180"/>
        <w:rPr>
          <w:rFonts w:asciiTheme="majorBidi" w:hAnsiTheme="majorBidi" w:cstheme="majorBidi"/>
        </w:rPr>
      </w:pPr>
      <w:r w:rsidRPr="0011379A">
        <w:rPr>
          <w:rFonts w:asciiTheme="majorBidi" w:hAnsiTheme="majorBidi" w:cstheme="majorBidi"/>
          <w:i/>
        </w:rPr>
        <w:t>Index Terms - DevOps, infrastructure as code, CI/CD, Kubernetes, Terraform, Ansible, Jenkins, DevSecOps, cloud-native.</w:t>
      </w:r>
    </w:p>
    <w:p w14:paraId="3413D693" w14:textId="77777777" w:rsidR="00A47E71" w:rsidRPr="0011379A" w:rsidRDefault="00000000">
      <w:pPr>
        <w:pStyle w:val="Heading1"/>
        <w:rPr>
          <w:rFonts w:asciiTheme="majorBidi" w:hAnsiTheme="majorBidi"/>
        </w:rPr>
      </w:pPr>
      <w:r w:rsidRPr="0011379A">
        <w:rPr>
          <w:rFonts w:asciiTheme="majorBidi" w:hAnsiTheme="majorBidi"/>
        </w:rPr>
        <w:t>I. Introduction</w:t>
      </w:r>
    </w:p>
    <w:p w14:paraId="781B9EB7" w14:textId="77777777" w:rsidR="00A47E71" w:rsidRPr="0011379A" w:rsidRDefault="00000000">
      <w:pPr>
        <w:rPr>
          <w:rFonts w:asciiTheme="majorBidi" w:hAnsiTheme="majorBidi" w:cstheme="majorBidi"/>
        </w:rPr>
      </w:pPr>
      <w:r w:rsidRPr="0011379A">
        <w:rPr>
          <w:rFonts w:asciiTheme="majorBidi" w:hAnsiTheme="majorBidi" w:cstheme="majorBidi"/>
        </w:rPr>
        <w:t>Infrastructure automation has moved from isolated scripting toward integrated delivery platforms that join source control, build automation, infrastructure provisioning, configuration management, runtime orchestration, and operational feedback. The proposed Intelligent Infrastructure Automation Platform follows this direction by offering a self-service path from a Git repository to a Kubernetes deployment. Its intended value is not simply faster releases; it is repeatability, governance, and visibility across the delivery lifecycle.</w:t>
      </w:r>
    </w:p>
    <w:p w14:paraId="56A4C019" w14:textId="77777777" w:rsidR="00A47E71" w:rsidRPr="0011379A" w:rsidRDefault="00000000">
      <w:pPr>
        <w:rPr>
          <w:rFonts w:asciiTheme="majorBidi" w:hAnsiTheme="majorBidi" w:cstheme="majorBidi"/>
        </w:rPr>
      </w:pPr>
      <w:r w:rsidRPr="0011379A">
        <w:rPr>
          <w:rFonts w:asciiTheme="majorBidi" w:hAnsiTheme="majorBidi" w:cstheme="majorBidi"/>
        </w:rPr>
        <w:t>This review addresses the question: what research-supported practices should guide the design and rollout of a platform that combines infrastructure as code with CI/CD and Kubernetes-based operations? The discussion is a targeted narrative review of peer-reviewed surveys, empirical studies, and foundational systems literature. It concentrates on findings relevant to platform architecture and adoption rather than providing a tool-by-tool benchmark.</w:t>
      </w:r>
    </w:p>
    <w:p w14:paraId="096A7566" w14:textId="77777777" w:rsidR="00A47E71" w:rsidRPr="0011379A" w:rsidRDefault="00000000">
      <w:pPr>
        <w:pStyle w:val="Heading1"/>
        <w:rPr>
          <w:rFonts w:asciiTheme="majorBidi" w:hAnsiTheme="majorBidi"/>
        </w:rPr>
      </w:pPr>
      <w:r w:rsidRPr="0011379A">
        <w:rPr>
          <w:rFonts w:asciiTheme="majorBidi" w:hAnsiTheme="majorBidi"/>
        </w:rPr>
        <w:t>II. DevOps and Continuous Delivery</w:t>
      </w:r>
    </w:p>
    <w:p w14:paraId="54267643" w14:textId="77777777" w:rsidR="00A47E71" w:rsidRPr="0011379A" w:rsidRDefault="00000000">
      <w:pPr>
        <w:rPr>
          <w:rFonts w:asciiTheme="majorBidi" w:hAnsiTheme="majorBidi" w:cstheme="majorBidi"/>
        </w:rPr>
      </w:pPr>
      <w:r w:rsidRPr="0011379A">
        <w:rPr>
          <w:rFonts w:asciiTheme="majorBidi" w:hAnsiTheme="majorBidi" w:cstheme="majorBidi"/>
        </w:rPr>
        <w:t>DevOps is commonly characterized as a combination of cultural collaboration, process integration, and automation that narrows the traditional gap between development and operations. Systematic reviews find that its reported benefits include faster time to market, stronger collaboration, automation, and improved feedback loops, while organizational silos and fragmented tooling remain material constraints [3], [4]. This matters for an automation platform because a portal that merely triggers pipelines can preserve, rather than resolve, handoffs between teams.</w:t>
      </w:r>
    </w:p>
    <w:p w14:paraId="6293C89F" w14:textId="77777777" w:rsidR="00A47E71" w:rsidRPr="0011379A" w:rsidRDefault="00000000">
      <w:pPr>
        <w:rPr>
          <w:rFonts w:asciiTheme="majorBidi" w:hAnsiTheme="majorBidi" w:cstheme="majorBidi"/>
        </w:rPr>
      </w:pPr>
      <w:r w:rsidRPr="0011379A">
        <w:rPr>
          <w:rFonts w:asciiTheme="majorBidi" w:hAnsiTheme="majorBidi" w:cstheme="majorBidi"/>
        </w:rPr>
        <w:t>Continuous integration, delivery, and deployment provide the operational mechanism for frequent and controlled change. Shahin et al. identify recurring practices and challenges across the CI/CD literature, including automated testing, deployment pipelines, environment consistency, and the difficulty of managing complex delivery dependencies [1]. Soares et al. similarly report generally positive effects from CI but note that benefits depend on development practices and organizational context [2]. Therefore, the platform should make quality gates, build status, deployment evidence, and failures visible to both application and operations users.</w:t>
      </w:r>
    </w:p>
    <w:p w14:paraId="5A846542" w14:textId="77777777" w:rsidR="00A47E71" w:rsidRPr="0011379A" w:rsidRDefault="00000000">
      <w:pPr>
        <w:rPr>
          <w:rFonts w:asciiTheme="majorBidi" w:hAnsiTheme="majorBidi" w:cstheme="majorBidi"/>
        </w:rPr>
      </w:pPr>
      <w:r w:rsidRPr="0011379A">
        <w:rPr>
          <w:rFonts w:asciiTheme="majorBidi" w:hAnsiTheme="majorBidi" w:cstheme="majorBidi"/>
        </w:rPr>
        <w:t>The literature favors short feedback cycles, but it does not support indiscriminate automation. A platform should distinguish between continuous delivery, where a release is always deployable, and continuous deployment, where an approved change is automatically released. The appropriate boundary is risk-based: non-production environments may be fully automated, while production may require policy checks, segregation of duties, or explicit approval. This preserves release flow without treating high-impact changes as routine.</w:t>
      </w:r>
    </w:p>
    <w:p w14:paraId="242D8B97" w14:textId="77777777" w:rsidR="00A47E71" w:rsidRPr="0011379A" w:rsidRDefault="00000000">
      <w:pPr>
        <w:pStyle w:val="Heading1"/>
        <w:rPr>
          <w:rFonts w:asciiTheme="majorBidi" w:hAnsiTheme="majorBidi"/>
        </w:rPr>
      </w:pPr>
      <w:r w:rsidRPr="0011379A">
        <w:rPr>
          <w:rFonts w:asciiTheme="majorBidi" w:hAnsiTheme="majorBidi"/>
        </w:rPr>
        <w:t>III. Infrastructure as Code and Configuration Automation</w:t>
      </w:r>
    </w:p>
    <w:p w14:paraId="0250E7F1" w14:textId="77777777" w:rsidR="00A47E71" w:rsidRPr="0011379A" w:rsidRDefault="00000000">
      <w:pPr>
        <w:rPr>
          <w:rFonts w:asciiTheme="majorBidi" w:hAnsiTheme="majorBidi" w:cstheme="majorBidi"/>
        </w:rPr>
      </w:pPr>
      <w:r w:rsidRPr="0011379A">
        <w:rPr>
          <w:rFonts w:asciiTheme="majorBidi" w:hAnsiTheme="majorBidi" w:cstheme="majorBidi"/>
        </w:rPr>
        <w:t>Infrastructure as code extends software engineering practices such as version control, review, testing, and modularity to infrastructure definitions. Research on IaC highlights the promise of reduced manual variation and more reproducible environments, while also emphasizing that infrastructure definitions are software artifacts subject to defects, maintainability problems, and unsafe coding practices [7]. The relevant design principle is not only to store Terraform or Ansible code in Git, but to provide versioned, reviewed, testable modules with clear ownership.</w:t>
      </w:r>
    </w:p>
    <w:p w14:paraId="74DEB1FC" w14:textId="77777777" w:rsidR="00A47E71" w:rsidRPr="0011379A" w:rsidRDefault="00000000">
      <w:pPr>
        <w:rPr>
          <w:rFonts w:asciiTheme="majorBidi" w:hAnsiTheme="majorBidi" w:cstheme="majorBidi"/>
        </w:rPr>
      </w:pPr>
      <w:r w:rsidRPr="0011379A">
        <w:rPr>
          <w:rFonts w:asciiTheme="majorBidi" w:hAnsiTheme="majorBidi" w:cstheme="majorBidi"/>
        </w:rPr>
        <w:t xml:space="preserve">For the proposed platform, Terraform should model cloud resources and Kubernetes prerequisites declaratively, while Ansible should manage configuration tasks that are better suited to procedural automation. The distinction is important. </w:t>
      </w:r>
      <w:r w:rsidRPr="0011379A">
        <w:rPr>
          <w:rFonts w:asciiTheme="majorBidi" w:hAnsiTheme="majorBidi" w:cstheme="majorBidi"/>
        </w:rPr>
        <w:lastRenderedPageBreak/>
        <w:t>Treating both tools as interchangeable can create duplicate sources of truth and configuration drift. A platform should expose a clear state model: Terraform plans and reconciles declared infrastructure; Ansible applies controlled configuration steps; the portal records which version ran and whether it succeeded.</w:t>
      </w:r>
    </w:p>
    <w:p w14:paraId="1E5EFB8D" w14:textId="77777777" w:rsidR="00A47E71" w:rsidRPr="0011379A" w:rsidRDefault="00000000">
      <w:pPr>
        <w:rPr>
          <w:rFonts w:asciiTheme="majorBidi" w:hAnsiTheme="majorBidi" w:cstheme="majorBidi"/>
        </w:rPr>
      </w:pPr>
      <w:r w:rsidRPr="0011379A">
        <w:rPr>
          <w:rFonts w:asciiTheme="majorBidi" w:hAnsiTheme="majorBidi" w:cstheme="majorBidi"/>
        </w:rPr>
        <w:t>Model-driven IaC research also identifies the value of abstraction and automated generation for reducing repetitive infrastructure definitions [10]. This supports a template catalog approach. Instead of asking every application team to assemble unrestricted infrastructure code, the platform can offer approved service templates, opinionated defaults, and controlled extension points. Such templates support governance without forcing teams into a single language or architecture.</w:t>
      </w:r>
    </w:p>
    <w:p w14:paraId="3CE50319" w14:textId="77777777" w:rsidR="00A47E71" w:rsidRPr="0011379A" w:rsidRDefault="00000000">
      <w:pPr>
        <w:pStyle w:val="Heading1"/>
        <w:rPr>
          <w:rFonts w:asciiTheme="majorBidi" w:hAnsiTheme="majorBidi"/>
        </w:rPr>
      </w:pPr>
      <w:r w:rsidRPr="0011379A">
        <w:rPr>
          <w:rFonts w:asciiTheme="majorBidi" w:hAnsiTheme="majorBidi"/>
        </w:rPr>
        <w:t>IV. Kubernetes and Cloud Native Operations</w:t>
      </w:r>
    </w:p>
    <w:p w14:paraId="38B4BCBC" w14:textId="77777777" w:rsidR="00A47E71" w:rsidRPr="0011379A" w:rsidRDefault="00000000">
      <w:pPr>
        <w:rPr>
          <w:rFonts w:asciiTheme="majorBidi" w:hAnsiTheme="majorBidi" w:cstheme="majorBidi"/>
        </w:rPr>
      </w:pPr>
      <w:r w:rsidRPr="0011379A">
        <w:rPr>
          <w:rFonts w:asciiTheme="majorBidi" w:hAnsiTheme="majorBidi" w:cstheme="majorBidi"/>
        </w:rPr>
        <w:t>Kubernetes is widely treated as the dominant open-source container orchestration platform, with research focusing on deployment, scheduling, scaling, microservices, edge environments, and operations [6]. Its lineage is closely related to lessons from large-scale cluster management: Borg demonstrates the importance of declarative workload specifications, desired-state reconciliation, resource isolation, and operational telemetry at scale [5]. For this platform, Kubernetes should be treated as a managed runtime target rather than a collection of raw cluster commands exposed to each project.</w:t>
      </w:r>
    </w:p>
    <w:p w14:paraId="08B94C4C" w14:textId="77777777" w:rsidR="00A47E71" w:rsidRPr="0011379A" w:rsidRDefault="00000000">
      <w:pPr>
        <w:rPr>
          <w:rFonts w:asciiTheme="majorBidi" w:hAnsiTheme="majorBidi" w:cstheme="majorBidi"/>
        </w:rPr>
      </w:pPr>
      <w:r w:rsidRPr="0011379A">
        <w:rPr>
          <w:rFonts w:asciiTheme="majorBidi" w:hAnsiTheme="majorBidi" w:cstheme="majorBidi"/>
        </w:rPr>
        <w:t>The portal should translate an application team's intent into a limited, observable deployment contract: image version, environment, resource profile, secrets reference, health checks, and deployment strategy. It should then show the deployment outcome in terms meaningful to the team, including rollout status, replica health, logs, and a route to rollback. Exposing the full cluster control plane to all project users would undermine the platform's policy and usability goals.</w:t>
      </w:r>
    </w:p>
    <w:p w14:paraId="47B0A479" w14:textId="77777777" w:rsidR="00A47E71" w:rsidRPr="0011379A" w:rsidRDefault="00000000">
      <w:pPr>
        <w:rPr>
          <w:rFonts w:asciiTheme="majorBidi" w:hAnsiTheme="majorBidi" w:cstheme="majorBidi"/>
        </w:rPr>
      </w:pPr>
      <w:r w:rsidRPr="0011379A">
        <w:rPr>
          <w:rFonts w:asciiTheme="majorBidi" w:hAnsiTheme="majorBidi" w:cstheme="majorBidi"/>
        </w:rPr>
        <w:t>Cloud-native benefits also introduce new operational responsibilities. Container images, manifests, namespaces, network policies, and cluster identities become part of the attack surface. A recent survey of container security stresses that shared-kernel isolation and orchestration complexity create material vulnerabilities that must be addressed across the software and infrastructure layers [8]. Security design must therefore be integrated into the delivery path rather than deferred to an end-stage review.</w:t>
      </w:r>
    </w:p>
    <w:p w14:paraId="5EA29DE2" w14:textId="77777777" w:rsidR="00A47E71" w:rsidRPr="0011379A" w:rsidRDefault="00000000">
      <w:pPr>
        <w:pStyle w:val="Heading1"/>
        <w:rPr>
          <w:rFonts w:asciiTheme="majorBidi" w:hAnsiTheme="majorBidi"/>
        </w:rPr>
      </w:pPr>
      <w:r w:rsidRPr="0011379A">
        <w:rPr>
          <w:rFonts w:asciiTheme="majorBidi" w:hAnsiTheme="majorBidi"/>
        </w:rPr>
        <w:t>V. Security and DevSecOps</w:t>
      </w:r>
    </w:p>
    <w:p w14:paraId="1F8FBE78" w14:textId="77777777" w:rsidR="00A47E71" w:rsidRPr="0011379A" w:rsidRDefault="00000000">
      <w:pPr>
        <w:rPr>
          <w:rFonts w:asciiTheme="majorBidi" w:hAnsiTheme="majorBidi" w:cstheme="majorBidi"/>
        </w:rPr>
      </w:pPr>
      <w:r w:rsidRPr="0011379A">
        <w:rPr>
          <w:rFonts w:asciiTheme="majorBidi" w:hAnsiTheme="majorBidi" w:cstheme="majorBidi"/>
        </w:rPr>
        <w:t>DevSecOps literature consistently frames security as a delivery capability, not a separate sequential gate. A systematic review of cybersecurity in DevOps environments identifies recurrent risks in uncontrolled automation, exposed secrets, weak authentication, supply-chain compromise, and unverified components; it also identifies security scanning, IaC validation, secure vaults, and compliance-as-code as relevant countermeasures [9]. These findings map directly to the proposed architecture.</w:t>
      </w:r>
    </w:p>
    <w:p w14:paraId="688AD37D" w14:textId="77777777" w:rsidR="00A47E71" w:rsidRPr="0011379A" w:rsidRDefault="00000000">
      <w:pPr>
        <w:rPr>
          <w:rFonts w:asciiTheme="majorBidi" w:hAnsiTheme="majorBidi" w:cstheme="majorBidi"/>
        </w:rPr>
      </w:pPr>
      <w:r w:rsidRPr="0011379A">
        <w:rPr>
          <w:rFonts w:asciiTheme="majorBidi" w:hAnsiTheme="majorBidi" w:cstheme="majorBidi"/>
        </w:rPr>
        <w:t>A minimum control baseline should include enterprise SSO, role-based access control, least-privilege workload credentials, a managed secret store, signed or verified images, dependency and image scanning, IaC policy checks, protected branches, and immutable audit events. Jenkins workers and automation identities need especially careful isolation because they bridge source code, infrastructure APIs, and deployment targets. Security checks must return actionable feedback within the developer workflow; otherwise, they become bypassed approval queues.</w:t>
      </w:r>
    </w:p>
    <w:p w14:paraId="30E050B5" w14:textId="77777777" w:rsidR="00A47E71" w:rsidRPr="0011379A" w:rsidRDefault="00000000">
      <w:pPr>
        <w:rPr>
          <w:rFonts w:asciiTheme="majorBidi" w:hAnsiTheme="majorBidi" w:cstheme="majorBidi"/>
        </w:rPr>
      </w:pPr>
      <w:r w:rsidRPr="0011379A">
        <w:rPr>
          <w:rFonts w:asciiTheme="majorBidi" w:hAnsiTheme="majorBidi" w:cstheme="majorBidi"/>
        </w:rPr>
        <w:t>The literature also cautions against equating the adoption of security tools with secure outcomes. Security ownership, training, exception handling, and policy maintenance are organizational responsibilities. The proposed platform should designate owners for templates, controls, and environment policies, and should measure false positives, remediation time, and policy-exception patterns as part of service improvement.</w:t>
      </w:r>
    </w:p>
    <w:p w14:paraId="2884F19E" w14:textId="77777777" w:rsidR="00A47E71" w:rsidRPr="0011379A" w:rsidRDefault="00000000">
      <w:pPr>
        <w:pStyle w:val="Heading1"/>
        <w:rPr>
          <w:rFonts w:asciiTheme="majorBidi" w:hAnsiTheme="majorBidi"/>
        </w:rPr>
      </w:pPr>
      <w:r w:rsidRPr="0011379A">
        <w:rPr>
          <w:rFonts w:asciiTheme="majorBidi" w:hAnsiTheme="majorBidi"/>
        </w:rPr>
        <w:t>VI. Synthesis and Platform Design Implications</w:t>
      </w:r>
    </w:p>
    <w:tbl>
      <w:tblPr>
        <w:tblW w:w="0" w:type="auto"/>
        <w:jc w:val="center"/>
        <w:tblLayout w:type="fixed"/>
        <w:tblLook w:val="04A0" w:firstRow="1" w:lastRow="0" w:firstColumn="1" w:lastColumn="0" w:noHBand="0" w:noVBand="1"/>
      </w:tblPr>
      <w:tblGrid>
        <w:gridCol w:w="1944"/>
        <w:gridCol w:w="7992"/>
      </w:tblGrid>
      <w:tr w:rsidR="00A47E71" w:rsidRPr="0011379A" w14:paraId="7928EAAE" w14:textId="77777777">
        <w:trPr>
          <w:tblHeade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17365D"/>
            <w:tcMar>
              <w:top w:w="90" w:type="dxa"/>
              <w:left w:w="105" w:type="dxa"/>
              <w:bottom w:w="90" w:type="dxa"/>
              <w:right w:w="105" w:type="dxa"/>
            </w:tcMar>
            <w:vAlign w:val="center"/>
          </w:tcPr>
          <w:p w14:paraId="0F360747" w14:textId="77777777" w:rsidR="00A47E71" w:rsidRPr="0011379A" w:rsidRDefault="00000000">
            <w:pPr>
              <w:spacing w:after="0" w:line="252" w:lineRule="auto"/>
              <w:jc w:val="center"/>
              <w:rPr>
                <w:rFonts w:asciiTheme="majorBidi" w:hAnsiTheme="majorBidi" w:cstheme="majorBidi"/>
              </w:rPr>
            </w:pPr>
            <w:r w:rsidRPr="0011379A">
              <w:rPr>
                <w:rFonts w:asciiTheme="majorBidi" w:hAnsiTheme="majorBidi" w:cstheme="majorBidi"/>
                <w:b/>
                <w:color w:val="FFFFFF"/>
                <w:sz w:val="16"/>
              </w:rPr>
              <w:t>Evidence theme</w:t>
            </w:r>
          </w:p>
        </w:tc>
        <w:tc>
          <w:tcPr>
            <w:tcW w:w="7992" w:type="dxa"/>
            <w:tcBorders>
              <w:top w:val="single" w:sz="6" w:space="0" w:color="D9E1E8"/>
              <w:left w:val="single" w:sz="6" w:space="0" w:color="D9E1E8"/>
              <w:bottom w:val="single" w:sz="6" w:space="0" w:color="D9E1E8"/>
              <w:right w:val="single" w:sz="6" w:space="0" w:color="D9E1E8"/>
            </w:tcBorders>
            <w:shd w:val="clear" w:color="auto" w:fill="17365D"/>
            <w:tcMar>
              <w:top w:w="90" w:type="dxa"/>
              <w:left w:w="105" w:type="dxa"/>
              <w:bottom w:w="90" w:type="dxa"/>
              <w:right w:w="105" w:type="dxa"/>
            </w:tcMar>
            <w:vAlign w:val="center"/>
          </w:tcPr>
          <w:p w14:paraId="26C1F035" w14:textId="77777777" w:rsidR="00A47E71" w:rsidRPr="0011379A" w:rsidRDefault="00000000">
            <w:pPr>
              <w:spacing w:after="0" w:line="252" w:lineRule="auto"/>
              <w:jc w:val="center"/>
              <w:rPr>
                <w:rFonts w:asciiTheme="majorBidi" w:hAnsiTheme="majorBidi" w:cstheme="majorBidi"/>
              </w:rPr>
            </w:pPr>
            <w:r w:rsidRPr="0011379A">
              <w:rPr>
                <w:rFonts w:asciiTheme="majorBidi" w:hAnsiTheme="majorBidi" w:cstheme="majorBidi"/>
                <w:b/>
                <w:color w:val="FFFFFF"/>
                <w:sz w:val="16"/>
              </w:rPr>
              <w:t>Implication for the platform</w:t>
            </w:r>
          </w:p>
        </w:tc>
      </w:tr>
      <w:tr w:rsidR="00A47E71" w:rsidRPr="0011379A" w14:paraId="7AA72688"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1C015B7"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Cross-functional DevOps</w:t>
            </w:r>
          </w:p>
        </w:tc>
        <w:tc>
          <w:tcPr>
            <w:tcW w:w="799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10DD4BD"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Provide shared project status, ownership, deployment history, and alerts instead of separate developer and operations views [3], [4].</w:t>
            </w:r>
          </w:p>
        </w:tc>
      </w:tr>
      <w:tr w:rsidR="00A47E71" w:rsidRPr="0011379A" w14:paraId="1C326315"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97E215E"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Reliable CI/CD</w:t>
            </w:r>
          </w:p>
        </w:tc>
        <w:tc>
          <w:tcPr>
            <w:tcW w:w="799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76D31DFD"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Standardize build, test, promotion, rollback, and evidence capture with templates and visible quality gates [1], [2].</w:t>
            </w:r>
          </w:p>
        </w:tc>
      </w:tr>
      <w:tr w:rsidR="00A47E71" w:rsidRPr="0011379A" w14:paraId="367A81AB"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540FCCF5"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IaC quality</w:t>
            </w:r>
          </w:p>
        </w:tc>
        <w:tc>
          <w:tcPr>
            <w:tcW w:w="799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7D36B2E9"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Use modular, versioned infrastructure definitions with peer review, policy tests, state ownership, and an exception path [7], [10].</w:t>
            </w:r>
          </w:p>
        </w:tc>
      </w:tr>
      <w:tr w:rsidR="00A47E71" w:rsidRPr="0011379A" w14:paraId="27ACE1D3"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4CD3BB0"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lastRenderedPageBreak/>
              <w:t>Kubernetes operations</w:t>
            </w:r>
          </w:p>
        </w:tc>
        <w:tc>
          <w:tcPr>
            <w:tcW w:w="799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20779C1E"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Expose application-centric deployment health while keeping cluster-level privileges constrained [5], [6].</w:t>
            </w:r>
          </w:p>
        </w:tc>
      </w:tr>
      <w:tr w:rsidR="00A47E71" w:rsidRPr="0011379A" w14:paraId="0B1EFCCE" w14:textId="77777777">
        <w:trPr>
          <w:jc w:val="center"/>
        </w:trPr>
        <w:tc>
          <w:tcPr>
            <w:tcW w:w="1944"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2E601499"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DevSecOps</w:t>
            </w:r>
          </w:p>
        </w:tc>
        <w:tc>
          <w:tcPr>
            <w:tcW w:w="7992" w:type="dxa"/>
            <w:tcBorders>
              <w:top w:val="single" w:sz="6" w:space="0" w:color="D9E1E8"/>
              <w:left w:val="single" w:sz="6" w:space="0" w:color="D9E1E8"/>
              <w:bottom w:val="single" w:sz="6" w:space="0" w:color="D9E1E8"/>
              <w:right w:val="single" w:sz="6" w:space="0" w:color="D9E1E8"/>
            </w:tcBorders>
            <w:tcMar>
              <w:top w:w="90" w:type="dxa"/>
              <w:left w:w="105" w:type="dxa"/>
              <w:bottom w:w="90" w:type="dxa"/>
              <w:right w:w="105" w:type="dxa"/>
            </w:tcMar>
            <w:vAlign w:val="center"/>
          </w:tcPr>
          <w:p w14:paraId="37030D38"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Embed identity, secrets, scanning, provenance, and auditability in the default workflow, not as add-on tasks [8], [9].</w:t>
            </w:r>
          </w:p>
        </w:tc>
      </w:tr>
      <w:tr w:rsidR="00A47E71" w:rsidRPr="0011379A" w14:paraId="25FD46BA"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3ED52E0C"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Adoption</w:t>
            </w:r>
          </w:p>
        </w:tc>
        <w:tc>
          <w:tcPr>
            <w:tcW w:w="7992" w:type="dxa"/>
            <w:tcBorders>
              <w:top w:val="single" w:sz="6" w:space="0" w:color="D9E1E8"/>
              <w:left w:val="single" w:sz="6" w:space="0" w:color="D9E1E8"/>
              <w:bottom w:val="single" w:sz="6" w:space="0" w:color="D9E1E8"/>
              <w:right w:val="single" w:sz="6" w:space="0" w:color="D9E1E8"/>
            </w:tcBorders>
            <w:shd w:val="clear" w:color="auto" w:fill="F3F6F8"/>
            <w:tcMar>
              <w:top w:w="90" w:type="dxa"/>
              <w:left w:w="105" w:type="dxa"/>
              <w:bottom w:w="90" w:type="dxa"/>
              <w:right w:w="105" w:type="dxa"/>
            </w:tcMar>
            <w:vAlign w:val="center"/>
          </w:tcPr>
          <w:p w14:paraId="13545994" w14:textId="77777777" w:rsidR="00A47E71" w:rsidRPr="0011379A" w:rsidRDefault="00000000">
            <w:pPr>
              <w:spacing w:after="0" w:line="252" w:lineRule="auto"/>
              <w:rPr>
                <w:rFonts w:asciiTheme="majorBidi" w:hAnsiTheme="majorBidi" w:cstheme="majorBidi"/>
              </w:rPr>
            </w:pPr>
            <w:r w:rsidRPr="0011379A">
              <w:rPr>
                <w:rFonts w:asciiTheme="majorBidi" w:hAnsiTheme="majorBidi" w:cstheme="majorBidi"/>
                <w:sz w:val="16"/>
              </w:rPr>
              <w:t>Begin with a narrow, supported pilot catalogue and expand only after measurable reliability and user-value evidence.</w:t>
            </w:r>
          </w:p>
        </w:tc>
      </w:tr>
    </w:tbl>
    <w:p w14:paraId="008F1DBF" w14:textId="77777777" w:rsidR="00A47E71" w:rsidRPr="0011379A" w:rsidRDefault="00A47E71">
      <w:pPr>
        <w:spacing w:after="20"/>
        <w:rPr>
          <w:rFonts w:asciiTheme="majorBidi" w:hAnsiTheme="majorBidi" w:cstheme="majorBidi"/>
        </w:rPr>
      </w:pPr>
    </w:p>
    <w:p w14:paraId="0D74E981" w14:textId="77777777" w:rsidR="00A47E71" w:rsidRPr="0011379A" w:rsidRDefault="00000000">
      <w:pPr>
        <w:pStyle w:val="Heading1"/>
        <w:rPr>
          <w:rFonts w:asciiTheme="majorBidi" w:hAnsiTheme="majorBidi"/>
        </w:rPr>
      </w:pPr>
      <w:r w:rsidRPr="0011379A">
        <w:rPr>
          <w:rFonts w:asciiTheme="majorBidi" w:hAnsiTheme="majorBidi"/>
        </w:rPr>
        <w:t>VII. Research Gaps and Limitations</w:t>
      </w:r>
    </w:p>
    <w:p w14:paraId="592EA76B" w14:textId="77777777" w:rsidR="00A47E71" w:rsidRPr="0011379A" w:rsidRDefault="00000000">
      <w:pPr>
        <w:rPr>
          <w:rFonts w:asciiTheme="majorBidi" w:hAnsiTheme="majorBidi" w:cstheme="majorBidi"/>
        </w:rPr>
      </w:pPr>
      <w:r w:rsidRPr="0011379A">
        <w:rPr>
          <w:rFonts w:asciiTheme="majorBidi" w:hAnsiTheme="majorBidi" w:cstheme="majorBidi"/>
        </w:rPr>
        <w:t>The literature provides strong conceptual and survey-level support for automated delivery, but several limitations matter for this project. First, reported DevOps benefits are context-dependent and often derived from case studies or self-reported evidence. Second, many studies describe practices at a high level rather than testing the effectiveness of a particular portal or template design. Third, technology changes faster than publication cycles, especially in the Kubernetes and supply-chain security ecosystems. The platform should therefore treat this review as a design baseline and validate its assumptions with pilot telemetry, user research, incident analysis, and security reviews.</w:t>
      </w:r>
    </w:p>
    <w:p w14:paraId="6DD9A9FE" w14:textId="77777777" w:rsidR="00A47E71" w:rsidRPr="0011379A" w:rsidRDefault="00000000">
      <w:pPr>
        <w:rPr>
          <w:rFonts w:asciiTheme="majorBidi" w:hAnsiTheme="majorBidi" w:cstheme="majorBidi"/>
        </w:rPr>
      </w:pPr>
      <w:r w:rsidRPr="0011379A">
        <w:rPr>
          <w:rFonts w:asciiTheme="majorBidi" w:hAnsiTheme="majorBidi" w:cstheme="majorBidi"/>
        </w:rPr>
        <w:t>A further gap is the measurement of platform outcomes across both technical and human dimensions. Deployment frequency and success rate are necessary but insufficient. The project should measure onboarding completion, change failure rate, mean time to restore, policy-compliance rate, lead time, and user effort. Qualitative feedback should be reviewed alongside quantitative metrics to identify where automation reduces effort and where it creates new cognitive or operational burden.</w:t>
      </w:r>
    </w:p>
    <w:p w14:paraId="525B7001" w14:textId="77777777" w:rsidR="00A47E71" w:rsidRPr="0011379A" w:rsidRDefault="00000000">
      <w:pPr>
        <w:pStyle w:val="Heading1"/>
        <w:rPr>
          <w:rFonts w:asciiTheme="majorBidi" w:hAnsiTheme="majorBidi"/>
        </w:rPr>
      </w:pPr>
      <w:r w:rsidRPr="0011379A">
        <w:rPr>
          <w:rFonts w:asciiTheme="majorBidi" w:hAnsiTheme="majorBidi"/>
        </w:rPr>
        <w:t>VIII. Conclusion</w:t>
      </w:r>
    </w:p>
    <w:p w14:paraId="18E4C496" w14:textId="77777777" w:rsidR="00A47E71" w:rsidRPr="0011379A" w:rsidRDefault="00000000">
      <w:pPr>
        <w:rPr>
          <w:rFonts w:asciiTheme="majorBidi" w:hAnsiTheme="majorBidi" w:cstheme="majorBidi"/>
        </w:rPr>
      </w:pPr>
      <w:r w:rsidRPr="0011379A">
        <w:rPr>
          <w:rFonts w:asciiTheme="majorBidi" w:hAnsiTheme="majorBidi" w:cstheme="majorBidi"/>
        </w:rPr>
        <w:t>The reviewed literature supports a governed, template-driven infrastructure automation platform that combines Git workflows, CI/CD, IaC, Kubernetes orchestration, and DevSecOps controls. The strongest conclusion is that automation should be designed as a socio-technical capability: the platform must standardize safe defaults and make delivery status observable, while retaining accountable ownership, risk-based controls, and feedback from pilot users. For the Intelligent Infrastructure Automation Platform, a phased rollout with an intentionally small supported catalogue is more defensible than attempting universal automation at launch.</w:t>
      </w:r>
    </w:p>
    <w:p w14:paraId="1B566963" w14:textId="77777777" w:rsidR="00A47E71" w:rsidRPr="0011379A" w:rsidRDefault="00000000">
      <w:pPr>
        <w:rPr>
          <w:rFonts w:asciiTheme="majorBidi" w:hAnsiTheme="majorBidi" w:cstheme="majorBidi"/>
        </w:rPr>
      </w:pPr>
      <w:r w:rsidRPr="0011379A">
        <w:rPr>
          <w:rFonts w:asciiTheme="majorBidi" w:hAnsiTheme="majorBidi" w:cstheme="majorBidi"/>
        </w:rPr>
        <w:br w:type="page"/>
      </w:r>
    </w:p>
    <w:p w14:paraId="5D15CBF6" w14:textId="77777777" w:rsidR="00A47E71" w:rsidRPr="0011379A" w:rsidRDefault="00000000">
      <w:pPr>
        <w:pStyle w:val="Heading1"/>
        <w:rPr>
          <w:rFonts w:asciiTheme="majorBidi" w:hAnsiTheme="majorBidi"/>
        </w:rPr>
      </w:pPr>
      <w:r w:rsidRPr="0011379A">
        <w:rPr>
          <w:rFonts w:asciiTheme="majorBidi" w:hAnsiTheme="majorBidi"/>
        </w:rPr>
        <w:lastRenderedPageBreak/>
        <w:t>References</w:t>
      </w:r>
    </w:p>
    <w:p w14:paraId="283E83C5"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[1] M. Shahin, M. A. Babar, and L. Zhu, "Continuous integration, delivery and deployment: A systematic review on approaches, tools, challenges and practices," IEEE Access, vol. 5, pp. 3909-3943, 2017, doi: 10.1109/ACCESS.2017.2685629.</w:t>
      </w:r>
    </w:p>
    <w:p w14:paraId="0151E986"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[2] E. Soares et al., "The effects of continuous integration on software development: A systematic literature review," Empirical Software Engineering, vol. 27, art. no. 78, 2022, doi: 10.1007/s10664-021-10114-1.</w:t>
      </w:r>
    </w:p>
    <w:p w14:paraId="3E785BB3"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[3] J. Faustino, D. Adriano, R. Amaro, R. Pereira, and M. M. da Silva, "DevOps benefits: A systematic literature review," Software: Practice and Experience, vol. 52, no. 9, pp. 1905-1926, 2022, doi: 10.1002/spe.3096.</w:t>
      </w:r>
    </w:p>
    <w:p w14:paraId="2A62A757"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[4] H. Jabbari et al., "Towards a benefits dependency network for DevOps based on a systematic literature review," Journal of Software: Evolution and Process, vol. 30, no. 11, e1957, 2018, doi: 10.1002/smr.1957.</w:t>
      </w:r>
    </w:p>
    <w:p w14:paraId="25BA7439"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[5] A. Verma, L. Pedrosa, M. R. Korupolu, D. Oppenheimer, E. Tune, and J. Wilkes, "Large-scale cluster management at Google with Borg," in Proc. 10th European Conf. Computer Systems, 2015, pp. 1-18, doi: 10.1145/2741948.2741964.</w:t>
      </w:r>
    </w:p>
    <w:p w14:paraId="7D096A59"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[6] C. Carrión, "Kubernetes as a standard container orchestrator: A bibliometric analysis," Journal of Grid Computing, vol. 20, art. no. 42, 2022, doi: 10.1007/s10723-022-09629-8.</w:t>
      </w:r>
    </w:p>
    <w:p w14:paraId="6D41C8A6"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[7] G. Dalla Palma et al., "Through the looking-glass: An empirical study on blob infrastructure blueprints in the Topology and Orchestration Specification for Cloud Applications," Journal of Software: Evolution and Process, e2533, 2024, doi: 10.1002/smr.2533.</w:t>
      </w:r>
    </w:p>
    <w:p w14:paraId="0FBB6CF0"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[8] O. Jarkas, R. Ko, N. Dong, and R. Mahmud, "A container security survey: Exploits, attacks, and defenses," ACM Computing Surveys, vol. 57, no. 7, art. no. 170, pp. 1-36, 2025, doi: 10.1145/3715001.</w:t>
      </w:r>
    </w:p>
    <w:p w14:paraId="244EE491"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[9] R. C. Bautista Ramos et al., "Cybersecurity in DevOps environments: A systematic literature review," IEEE Access, vol. 13, pp. 191959-191979, 2025, doi: 10.1109/ACCESS.2025.3582892.</w:t>
      </w:r>
    </w:p>
    <w:p w14:paraId="01A35D0E" w14:textId="77777777" w:rsidR="00A47E71" w:rsidRPr="0011379A" w:rsidRDefault="00000000">
      <w:pPr>
        <w:spacing w:after="80"/>
        <w:ind w:left="317" w:hanging="317"/>
        <w:rPr>
          <w:rFonts w:asciiTheme="majorBidi" w:hAnsiTheme="majorBidi" w:cstheme="majorBidi"/>
        </w:rPr>
      </w:pPr>
      <w:r w:rsidRPr="0011379A">
        <w:rPr>
          <w:rFonts w:asciiTheme="majorBidi" w:hAnsiTheme="majorBidi" w:cstheme="majorBidi"/>
        </w:rPr>
        <w:t>[10] M. T. La Rosa et al., "Towards supporting the generation of infrastructure as code through modelling approaches: Systematic literature review," in 2022 IEEE 19th Int. Conf. Software Architecture Companion, 2022, doi: 10.1109/ICSA-C54293.2022.00048.</w:t>
      </w:r>
    </w:p>
    <w:sectPr w:rsidR="00A47E71" w:rsidRPr="0011379A" w:rsidSect="0011379A">
      <w:footerReference w:type="default" r:id="rId10"/>
      <w:pgSz w:w="12240" w:h="15840"/>
      <w:pgMar w:top="1037" w:right="1123" w:bottom="936" w:left="1123"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E9724" w14:textId="77777777" w:rsidR="00D55E2A" w:rsidRDefault="00D55E2A">
      <w:pPr>
        <w:spacing w:after="0" w:line="240" w:lineRule="auto"/>
      </w:pPr>
      <w:r>
        <w:separator/>
      </w:r>
    </w:p>
  </w:endnote>
  <w:endnote w:type="continuationSeparator" w:id="0">
    <w:p w14:paraId="0B707FBB" w14:textId="77777777" w:rsidR="00D55E2A" w:rsidRDefault="00D55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966B" w14:textId="77777777" w:rsidR="00A47E71" w:rsidRDefault="00000000">
    <w:pPr>
      <w:pStyle w:val="Footer"/>
      <w:jc w:val="center"/>
    </w:pPr>
    <w:r>
      <w:rPr>
        <w:color w:val="667085"/>
        <w:sz w:val="16"/>
      </w:rPr>
      <w:t xml:space="preserve">Intelligent Infrastructure Automation </w:t>
    </w:r>
    <w:proofErr w:type="gramStart"/>
    <w:r>
      <w:rPr>
        <w:color w:val="667085"/>
        <w:sz w:val="16"/>
      </w:rPr>
      <w:t>Platform  |</w:t>
    </w:r>
    <w:proofErr w:type="gramEnd"/>
    <w:r>
      <w:rPr>
        <w:color w:val="667085"/>
        <w:sz w:val="16"/>
      </w:rPr>
      <w:t xml:space="preserve">  Literature </w:t>
    </w:r>
    <w:proofErr w:type="gramStart"/>
    <w:r>
      <w:rPr>
        <w:color w:val="667085"/>
        <w:sz w:val="16"/>
      </w:rPr>
      <w:t>Review  |</w:t>
    </w:r>
    <w:proofErr w:type="gramEnd"/>
    <w:r>
      <w:rPr>
        <w:color w:val="667085"/>
        <w:sz w:val="16"/>
      </w:rPr>
      <w:t xml:space="preserve">  IEEE Style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CB0CA" w14:textId="77777777" w:rsidR="00D55E2A" w:rsidRDefault="00D55E2A">
      <w:pPr>
        <w:spacing w:after="0" w:line="240" w:lineRule="auto"/>
      </w:pPr>
      <w:r>
        <w:separator/>
      </w:r>
    </w:p>
  </w:footnote>
  <w:footnote w:type="continuationSeparator" w:id="0">
    <w:p w14:paraId="78A434F0" w14:textId="77777777" w:rsidR="00D55E2A" w:rsidRDefault="00D55E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519320">
    <w:abstractNumId w:val="8"/>
  </w:num>
  <w:num w:numId="2" w16cid:durableId="1434668233">
    <w:abstractNumId w:val="6"/>
  </w:num>
  <w:num w:numId="3" w16cid:durableId="1166356480">
    <w:abstractNumId w:val="5"/>
  </w:num>
  <w:num w:numId="4" w16cid:durableId="767458528">
    <w:abstractNumId w:val="4"/>
  </w:num>
  <w:num w:numId="5" w16cid:durableId="1621303722">
    <w:abstractNumId w:val="7"/>
  </w:num>
  <w:num w:numId="6" w16cid:durableId="541596632">
    <w:abstractNumId w:val="3"/>
  </w:num>
  <w:num w:numId="7" w16cid:durableId="2112040902">
    <w:abstractNumId w:val="2"/>
  </w:num>
  <w:num w:numId="8" w16cid:durableId="2120485971">
    <w:abstractNumId w:val="1"/>
  </w:num>
  <w:num w:numId="9" w16cid:durableId="170756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79A"/>
    <w:rsid w:val="0015074B"/>
    <w:rsid w:val="0029639D"/>
    <w:rsid w:val="00326F90"/>
    <w:rsid w:val="00877B2B"/>
    <w:rsid w:val="00A47E71"/>
    <w:rsid w:val="00AA1D8D"/>
    <w:rsid w:val="00B47730"/>
    <w:rsid w:val="00CB0664"/>
    <w:rsid w:val="00D55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55967"/>
  <w14:defaultImageDpi w14:val="300"/>
  <w15:docId w15:val="{9A07312E-A073-49AD-950E-E17A0256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Intelligent Infrastructure Automation Platform</dc:title>
  <dc:subject>IEEE style literature review</dc:subject>
  <dc:creator>AutoDevOps</dc:creator>
  <cp:keywords/>
  <dc:description>generated by python-docx</dc:description>
  <cp:lastModifiedBy>Mustafa Tamer Mohi Zahran</cp:lastModifiedBy>
  <cp:revision>2</cp:revision>
  <dcterms:created xsi:type="dcterms:W3CDTF">2013-12-23T23:15:00Z</dcterms:created>
  <dcterms:modified xsi:type="dcterms:W3CDTF">2026-10-19T17:32:00Z</dcterms:modified>
  <cp:category/>
</cp:coreProperties>
</file>