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75B6"/>
          <w:spacing w:val="40"/>
          <w:sz w:val="22"/>
          <w:szCs w:val="22"/>
        </w:rPr>
        <w:t xml:space="preserve">LITERATURE REVIEW &amp; CONCEPTUAL FRAMEWORK</w:t>
      </w:r>
    </w:p>
    <w:p>
      <w:pPr>
        <w:pStyle w:val="Title"/>
        <w:spacing w:after="140"/>
      </w:pPr>
      <w:r>
        <w:t xml:space="preserve">Employee Attrition Prediction &amp; Retention System</w:t>
      </w:r>
    </w:p>
    <w:p>
      <w:pPr>
        <w:pBdr>
          <w:bottom w:val="single" w:color="1F3A5F" w:sz="12" w:space="8"/>
        </w:pBdr>
        <w:spacing w:after="200"/>
      </w:pPr>
      <w:r>
        <w:rPr>
          <w:i/>
          <w:iCs/>
          <w:color w:val="595959"/>
          <w:sz w:val="21"/>
          <w:szCs w:val="21"/>
        </w:rPr>
        <w:t xml:space="preserve">IBM HR Analytics dataset  |  Python, Scikit-Learn, XGBoost, LightGBM, SMOTE, Power BI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24"/>
              <w:bottom w:val="none" w:color="FFFFFF" w:sz="0"/>
              <w:right w:val="none" w:color="FFFFFF" w:sz="0"/>
            </w:tcBorders>
            <w:shd w:fill="EAF1F8" w:color="auto" w:val="clear"/>
            <w:tcMar>
              <w:top w:type="dxa" w:w="120"/>
              <w:left w:type="dxa" w:w="200"/>
              <w:bottom w:type="dxa" w:w="120"/>
              <w:right w:type="dxa" w:w="200"/>
            </w:tcMar>
          </w:tcPr>
          <w:p>
            <w:pPr>
              <w:spacing w:after="0" w:line="290"/>
            </w:pPr>
            <w:r>
              <w:rPr>
                <w:b/>
                <w:bCs/>
                <w:sz w:val="20"/>
                <w:szCs w:val="20"/>
              </w:rPr>
              <w:t xml:space="preserve">A note on sources and scope.</w:t>
            </w:r>
            <w:r>
              <w:rPr>
                <w:sz w:val="20"/>
                <w:szCs w:val="20"/>
              </w:rPr>
              <w:t xml:space="preserve"> The proposal file is not a dataset, so this review frames the project around the IBM HR Analytics Employee Attrition &amp; Performance dataset it names and reports no empirical results. All references are real, widely cited works recalled from my knowledge; verify each (author, year, pages, DOI) before citing in the final report.</w:t>
            </w:r>
          </w:p>
        </w:tc>
      </w:tr>
    </w:tbl>
    <w:p>
      <w:pPr>
        <w:spacing w:after="100"/>
      </w:pPr>
    </w:p>
    <w:p>
      <w:pPr>
        <w:pStyle w:val="Heading1"/>
        <w:keepNext/>
        <w:pBdr>
          <w:bottom w:val="single" w:color="2E75B6" w:sz="8" w:space="4"/>
        </w:pBdr>
        <w:spacing w:after="160" w:before="360"/>
      </w:pPr>
      <w:r>
        <w:t xml:space="preserve">Abstract</w:t>
      </w:r>
    </w:p>
    <w:p>
      <w:pPr>
        <w:spacing w:after="120" w:line="300"/>
      </w:pPr>
      <w:r>
        <w:t xml:space="preserve">Voluntary employee turnover is costly, hard to anticipate, and one of the most studied outcomes in organizational research. A century of theory explains </w:t>
      </w:r>
      <w:r>
        <w:rPr>
          <w:i/>
          <w:iCs/>
        </w:rPr>
        <w:t xml:space="preserve">why</w:t>
      </w:r>
      <w:r>
        <w:t xml:space="preserve"> people leave, while a newer machine-learning literature tries to predict </w:t>
      </w:r>
      <w:r>
        <w:rPr>
          <w:i/>
          <w:iCs/>
        </w:rPr>
        <w:t xml:space="preserve">who</w:t>
      </w:r>
      <w:r>
        <w:t xml:space="preserve"> will leave. The two streams are rarely joined: predictive models often ignore theory, and theory-driven studies rarely deliver individual-level, actionable risk scores. This review (1) grounds the project in turnover theory and HR analytics, (2) maps what is known about attrition prediction and where it falls short, (3) justifies the proposed methodology (EDA, imbalance-aware gradient-boosted and ensemble classifiers, interpretability, and a Power BI decision layer), (4) separates settled baseline findings from open questions, and (5) derives a conceptual framework and variable map for analyzing the dataset.</w:t>
      </w:r>
    </w:p>
    <w:p>
      <w:pPr>
        <w:pStyle w:val="Heading1"/>
        <w:keepNext/>
        <w:pBdr>
          <w:bottom w:val="single" w:color="2E75B6" w:sz="8" w:space="4"/>
        </w:pBdr>
        <w:spacing w:after="160" w:before="360"/>
      </w:pPr>
      <w:r>
        <w:t xml:space="preserve">1. Establishing Context &amp; Foundational Knowledge</w:t>
      </w:r>
    </w:p>
    <w:p>
      <w:pPr>
        <w:pStyle w:val="Heading2"/>
        <w:keepNext/>
        <w:spacing w:after="100" w:before="240"/>
      </w:pPr>
      <w:r>
        <w:t xml:space="preserve">1.1 Why attrition matters</w:t>
      </w:r>
    </w:p>
    <w:p>
      <w:pPr>
        <w:spacing w:after="120" w:line="300"/>
      </w:pPr>
      <w:r>
        <w:t xml:space="preserve">Turnover is both a cost and a signal. Direct costs include recruitment, onboarding, and vacancy; indirect costs include lost institutional knowledge, lower team productivity, and effects on remaining staff. Collective turnover research shows that unit-level turnover can affect organizational performance, with the effect depending on who leaves and how critical their roles are (Hausknecht &amp; Trevor, 2011). Practitioners therefore treat attrition as a core workforce-analytics metric, and executives increasingly expect early-warning systems rather than after-the-fact exit reports.</w:t>
      </w:r>
    </w:p>
    <w:p>
      <w:pPr>
        <w:pStyle w:val="Heading2"/>
        <w:keepNext/>
        <w:spacing w:after="100" w:before="240"/>
      </w:pPr>
      <w:r>
        <w:t xml:space="preserve">1.2 Historical background: from satisfaction to embeddedness</w:t>
      </w:r>
    </w:p>
    <w:p>
      <w:pPr>
        <w:spacing w:after="120" w:line="300"/>
      </w:pPr>
      <w:r>
        <w:t xml:space="preserve">Turnover scholarship developed in recognizable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546"/>
        <w:gridCol w:w="370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Period</w:t>
            </w:r>
          </w:p>
        </w:tc>
        <w:tc>
          <w:tcPr>
            <w:tcW w:type="dxa" w:w="45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Dominant idea</w:t>
            </w:r>
          </w:p>
        </w:tc>
        <w:tc>
          <w:tcPr>
            <w:tcW w:type="dxa" w:w="3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Representative work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1950s–1970s</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Turnover as a balance of inducements and contributions; satisfaction as the main driver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March &amp; Simon (1958); Price (1977)</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1970s–1990s</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Intermediate linkages: dissatisfaction leads to thoughts of quitting, search, intention, then exit</w:t>
            </w:r>
          </w:p>
        </w:tc>
        <w:tc>
          <w:tcPr>
            <w:tcW w:type="dxa" w:w="37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Mobley (1977); Tett &amp; Meyer (1993)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1990s–2000s</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Unfolding model: “shocks” and image violations trigger decision paths, not just gradual dissatisfaction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Lee &amp; Mitchell (1994)</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2000s</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Job embeddedness: links, fit, and sacrifice explain why people </w:t>
            </w:r>
            <w:r>
              <w:rPr>
                <w:i/>
                <w:iCs/>
                <w:sz w:val="19"/>
                <w:szCs w:val="19"/>
              </w:rPr>
              <w:t xml:space="preserve">stay</w:t>
            </w:r>
          </w:p>
        </w:tc>
        <w:tc>
          <w:tcPr>
            <w:tcW w:type="dxa" w:w="37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Mitchell et al. (2001)</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2000s–present</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Stress and resources: burnout and job demands vs. resources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Maslach, Schaufeli &amp; Leiter (2001); Bakker &amp; Demerouti (2007)</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2010s–present</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Data-driven people analytics and ML-based prediction</w:t>
            </w:r>
          </w:p>
        </w:tc>
        <w:tc>
          <w:tcPr>
            <w:tcW w:type="dxa" w:w="37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Hom et al. (2017); Zhao et al. (2018)</w:t>
            </w:r>
          </w:p>
        </w:tc>
      </w:tr>
    </w:tbl>
    <w:p>
      <w:pPr>
        <w:spacing w:after="120"/>
      </w:pPr>
    </w:p>
    <w:p>
      <w:pPr>
        <w:spacing w:after="120" w:line="300"/>
      </w:pPr>
      <w:r>
        <w:t xml:space="preserve">A recurring lesson is that no single variable explains turnover. Meta-analyses find that job satisfaction, organizational commitment, and turnover intentions are consistently related to leaving, but with moderate effect sizes (Griffeth, Hom &amp; Gaertner, 2000; Tett &amp; Meyer, 1993). The century-long review by Hom et al. (2017) concludes that turnover is multi-causal, with diverse pathways that differ across people and contexts.</w:t>
      </w:r>
    </w:p>
    <w:p>
      <w:pPr>
        <w:pStyle w:val="Heading2"/>
        <w:keepNext/>
        <w:spacing w:after="100" w:before="240"/>
      </w:pPr>
      <w:r>
        <w:t xml:space="preserve">1.3 Key drivers of turnover</w:t>
      </w:r>
    </w:p>
    <w:p>
      <w:pPr>
        <w:pStyle w:val="ListParagraph"/>
        <w:numPr>
          <w:ilvl w:val="0"/>
          <w:numId w:val="2"/>
        </w:numPr>
        <w:spacing w:after="80" w:line="290"/>
      </w:pPr>
      <w:r>
        <w:rPr>
          <w:b/>
          <w:bCs/>
        </w:rPr>
        <w:t xml:space="preserve">Job satisfaction and commitment.</w:t>
      </w:r>
      <w:r>
        <w:t xml:space="preserve"> The most studied antecedents. Dissatisfaction raises withdrawal cognitions, which are the strongest proximal predictors of exit (Tett &amp; Meyer, 1993; Mobley, 1977). Herzberg’s (1959) distinction between hygiene factors and motivators is a classic reminder that pay alone does not create satisfaction.</w:t>
      </w:r>
    </w:p>
    <w:p>
      <w:pPr>
        <w:pStyle w:val="ListParagraph"/>
        <w:numPr>
          <w:ilvl w:val="0"/>
          <w:numId w:val="2"/>
        </w:numPr>
        <w:spacing w:after="80" w:line="290"/>
      </w:pPr>
      <w:r>
        <w:rPr>
          <w:b/>
          <w:bCs/>
        </w:rPr>
        <w:t xml:space="preserve">Burnout and workload.</w:t>
      </w:r>
      <w:r>
        <w:t xml:space="preserve"> Exhaustion and cynicism are linked to withdrawal (Maslach et al., 2001). In the Job Demands–Resources model, high demands (e.g., overtime, travel) erode energy, while resources (autonomy, support) buffer it (Bakker &amp; Demerouti, 2007).</w:t>
      </w:r>
    </w:p>
    <w:p>
      <w:pPr>
        <w:pStyle w:val="ListParagraph"/>
        <w:numPr>
          <w:ilvl w:val="0"/>
          <w:numId w:val="2"/>
        </w:numPr>
        <w:spacing w:after="80" w:line="290"/>
      </w:pPr>
      <w:r>
        <w:rPr>
          <w:b/>
          <w:bCs/>
        </w:rPr>
        <w:t xml:space="preserve">Compensation and rewards.</w:t>
      </w:r>
      <w:r>
        <w:t xml:space="preserve"> Pay matters but is usually a moderate predictor; its effect depends on comparison to peers, role, and career stage (Griffeth et al., 2000).</w:t>
      </w:r>
    </w:p>
    <w:p>
      <w:pPr>
        <w:pStyle w:val="ListParagraph"/>
        <w:numPr>
          <w:ilvl w:val="0"/>
          <w:numId w:val="2"/>
        </w:numPr>
        <w:spacing w:after="80" w:line="290"/>
      </w:pPr>
      <w:r>
        <w:rPr>
          <w:b/>
          <w:bCs/>
        </w:rPr>
        <w:t xml:space="preserve">Work–life balance and commuting burden.</w:t>
      </w:r>
      <w:r>
        <w:t xml:space="preserve"> Schedule strain, travel, and distance from home plausibly act as demands in the JD-R sense, and are commonly operationalized in HR datasets.</w:t>
      </w:r>
    </w:p>
    <w:p>
      <w:pPr>
        <w:pStyle w:val="ListParagraph"/>
        <w:numPr>
          <w:ilvl w:val="0"/>
          <w:numId w:val="2"/>
        </w:numPr>
        <w:spacing w:after="80" w:line="290"/>
      </w:pPr>
      <w:r>
        <w:rPr>
          <w:b/>
          <w:bCs/>
        </w:rPr>
        <w:t xml:space="preserve">Career progression and tenure.</w:t>
      </w:r>
      <w:r>
        <w:t xml:space="preserve"> Stagnation (e.g., long time since promotion) and early-tenure vulnerability are repeatedly implicated. Turnover hazards are typically highest in the early years and decline with tenure.</w:t>
      </w:r>
    </w:p>
    <w:p>
      <w:pPr>
        <w:pStyle w:val="ListParagraph"/>
        <w:numPr>
          <w:ilvl w:val="0"/>
          <w:numId w:val="2"/>
        </w:numPr>
        <w:spacing w:after="80" w:line="290"/>
      </w:pPr>
      <w:r>
        <w:rPr>
          <w:b/>
          <w:bCs/>
        </w:rPr>
        <w:t xml:space="preserve">Relationships and fit.</w:t>
      </w:r>
      <w:r>
        <w:t xml:space="preserve"> Manager quality, team ties, and person–organization fit are central to embeddedness (Mitchell et al., 2001).</w:t>
      </w:r>
    </w:p>
    <w:p>
      <w:pPr>
        <w:pStyle w:val="ListParagraph"/>
        <w:numPr>
          <w:ilvl w:val="0"/>
          <w:numId w:val="2"/>
        </w:numPr>
        <w:spacing w:after="80" w:line="290"/>
      </w:pPr>
      <w:r>
        <w:rPr>
          <w:b/>
          <w:bCs/>
        </w:rPr>
        <w:t xml:space="preserve">Demographics and life stage.</w:t>
      </w:r>
      <w:r>
        <w:t xml:space="preserve"> Age, marital status, and experience correlate with turnover, but they are better treated as context or control variables than as levers, and raise fairness concerns (see Section 5.5).</w:t>
      </w:r>
    </w:p>
    <w:p>
      <w:pPr>
        <w:pStyle w:val="Heading2"/>
        <w:keepNext/>
        <w:spacing w:after="100" w:before="240"/>
      </w:pPr>
      <w:r>
        <w:t xml:space="preserve">1.4 Current industry state</w:t>
      </w:r>
    </w:p>
    <w:p>
      <w:pPr>
        <w:spacing w:after="120" w:line="300"/>
      </w:pPr>
      <w:r>
        <w:t xml:space="preserve">Organizations now routinely collect HRIS, survey, performance, and compensation data, and “people analytics” teams use dashboards and models to monitor retention. Yet the typical practice remains descriptive (turnover rates by department) rather than predictive and prescriptive. The proposed project sits in this gap: it moves from </w:t>
      </w:r>
      <w:r>
        <w:rPr>
          <w:i/>
          <w:iCs/>
        </w:rPr>
        <w:t xml:space="preserve">describing</w:t>
      </w:r>
      <w:r>
        <w:t xml:space="preserve"> turnover to </w:t>
      </w:r>
      <w:r>
        <w:rPr>
          <w:i/>
          <w:iCs/>
        </w:rPr>
        <w:t xml:space="preserve">predicting</w:t>
      </w:r>
      <w:r>
        <w:t xml:space="preserve"> individual risk and </w:t>
      </w:r>
      <w:r>
        <w:rPr>
          <w:i/>
          <w:iCs/>
        </w:rPr>
        <w:t xml:space="preserve">prioritizing</w:t>
      </w:r>
      <w:r>
        <w:t xml:space="preserve"> interventions, while using a BI layer so non-technical HR stakeholders can act on it.</w:t>
      </w:r>
    </w:p>
    <w:p>
      <w:pPr>
        <w:pStyle w:val="Heading1"/>
        <w:keepNext/>
        <w:pBdr>
          <w:bottom w:val="single" w:color="2E75B6" w:sz="8" w:space="4"/>
        </w:pBdr>
        <w:spacing w:after="160" w:before="360"/>
      </w:pPr>
      <w:r>
        <w:t xml:space="preserve">2. Identifying the Research Gap</w:t>
      </w:r>
    </w:p>
    <w:p>
      <w:pPr>
        <w:pStyle w:val="Heading2"/>
        <w:keepNext/>
        <w:spacing w:after="100" w:before="240"/>
      </w:pPr>
      <w:r>
        <w:t xml:space="preserve">2.1 What is already known in attrition prediction</w:t>
      </w:r>
    </w:p>
    <w:p>
      <w:pPr>
        <w:spacing w:after="120" w:line="300"/>
      </w:pPr>
      <w:r>
        <w:t xml:space="preserve">Supervised classification of leavers vs. stayers on tabular HR data is well established. Early work applied neural networks to turnover prediction (Sexton et al., 2005), and later studies compare logistic regression, decision trees, random forests, boosted trees, SVMs, and neural networks on HRIS-style data. Reported results generally show that tree ensembles and boosting methods are competitive or superior on structured tabular data (Breiman, 2001; Chen &amp; Guestrin, 2016; Ke et al., 2017), consistent with broader benchmarks where tree-based models often match or outperform deep learning on medium-sized tabular datasets (Grinsztajn et al., 2022). Zhao et al. (2018) examine ML approaches for turnover prediction and emphasize reliability and practical use. The IBM HR Analytics dataset is a very common benchmark in this space.</w:t>
      </w:r>
    </w:p>
    <w:p>
      <w:pPr>
        <w:pStyle w:val="Heading2"/>
        <w:keepNext/>
        <w:spacing w:after="100" w:before="240"/>
      </w:pPr>
      <w:r>
        <w:t xml:space="preserve">2.2 Limitations of traditional HR approaches</w:t>
      </w:r>
    </w:p>
    <w:p>
      <w:pPr>
        <w:pStyle w:val="ListParagraph"/>
        <w:numPr>
          <w:ilvl w:val="0"/>
          <w:numId w:val="3"/>
        </w:numPr>
        <w:spacing w:after="80" w:line="290"/>
      </w:pPr>
      <w:r>
        <w:rPr>
          <w:b/>
          <w:bCs/>
        </w:rPr>
        <w:t xml:space="preserve">Descriptive and lagging.</w:t>
      </w:r>
      <w:r>
        <w:t xml:space="preserve"> Exit interviews and turnover-rate reports explain departures after the fact and are prone to response bias.</w:t>
      </w:r>
    </w:p>
    <w:p>
      <w:pPr>
        <w:pStyle w:val="ListParagraph"/>
        <w:numPr>
          <w:ilvl w:val="0"/>
          <w:numId w:val="3"/>
        </w:numPr>
        <w:spacing w:after="80" w:line="290"/>
      </w:pPr>
      <w:r>
        <w:rPr>
          <w:b/>
          <w:bCs/>
        </w:rPr>
        <w:t xml:space="preserve">Linear, variable-by-variable thinking.</w:t>
      </w:r>
      <w:r>
        <w:t xml:space="preserve"> Classical studies and Excel-style analysis examine drivers one at a time, missing interactions (e.g., low income </w:t>
      </w:r>
      <w:r>
        <w:rPr>
          <w:i/>
          <w:iCs/>
        </w:rPr>
        <w:t xml:space="preserve">combined with</w:t>
      </w:r>
      <w:r>
        <w:t xml:space="preserve"> overtime </w:t>
      </w:r>
      <w:r>
        <w:rPr>
          <w:i/>
          <w:iCs/>
        </w:rPr>
        <w:t xml:space="preserve">combined with</w:t>
      </w:r>
      <w:r>
        <w:t xml:space="preserve"> early tenure).</w:t>
      </w:r>
    </w:p>
    <w:p>
      <w:pPr>
        <w:pStyle w:val="ListParagraph"/>
        <w:numPr>
          <w:ilvl w:val="0"/>
          <w:numId w:val="3"/>
        </w:numPr>
        <w:spacing w:after="80" w:line="290"/>
      </w:pPr>
      <w:r>
        <w:rPr>
          <w:b/>
          <w:bCs/>
        </w:rPr>
        <w:t xml:space="preserve">Population-level inference.</w:t>
      </w:r>
      <w:r>
        <w:t xml:space="preserve"> Meta-analytic effect sizes tell you what matters on average, not which employee is at risk now.</w:t>
      </w:r>
    </w:p>
    <w:p>
      <w:pPr>
        <w:pStyle w:val="ListParagraph"/>
        <w:numPr>
          <w:ilvl w:val="0"/>
          <w:numId w:val="3"/>
        </w:numPr>
        <w:spacing w:after="80" w:line="290"/>
      </w:pPr>
      <w:r>
        <w:rPr>
          <w:b/>
          <w:bCs/>
        </w:rPr>
        <w:t xml:space="preserve">No prioritization.</w:t>
      </w:r>
      <w:r>
        <w:t xml:space="preserve"> Knowing a driver exists does not tell HR where to spend limited retention budget.</w:t>
      </w:r>
    </w:p>
    <w:p>
      <w:pPr>
        <w:pStyle w:val="Heading2"/>
        <w:keepNext/>
        <w:spacing w:after="100" w:before="240"/>
      </w:pPr>
      <w:r>
        <w:t xml:space="preserve">2.3 Limitations and open issues in existing predictive studies</w:t>
      </w:r>
    </w:p>
    <w:p>
      <w:pPr>
        <w:pStyle w:val="ListParagraph"/>
        <w:numPr>
          <w:ilvl w:val="0"/>
          <w:numId w:val="2"/>
        </w:numPr>
        <w:spacing w:after="80" w:line="290"/>
      </w:pPr>
      <w:r>
        <w:rPr>
          <w:b/>
          <w:bCs/>
        </w:rPr>
        <w:t xml:space="preserve">Class imbalance handled carelessly.</w:t>
      </w:r>
      <w:r>
        <w:t xml:space="preserve"> Attrition is the minority class (the IBM dataset has roughly one leaver in six). Accuracy is misleading under imbalance, and precision-recall evaluation is more informative than ROC alone for rare events (Saito &amp; Rehmsmeier, 2015). Many studies report accuracy or apply resampling in ways that inflate results.</w:t>
      </w:r>
    </w:p>
    <w:p>
      <w:pPr>
        <w:pStyle w:val="ListParagraph"/>
        <w:numPr>
          <w:ilvl w:val="0"/>
          <w:numId w:val="2"/>
        </w:numPr>
        <w:spacing w:after="80" w:line="290"/>
      </w:pPr>
      <w:r>
        <w:rPr>
          <w:b/>
          <w:bCs/>
        </w:rPr>
        <w:t xml:space="preserve">Data leakage.</w:t>
      </w:r>
      <w:r>
        <w:t xml:space="preserve"> Applying SMOTE or scaling </w:t>
      </w:r>
      <w:r>
        <w:rPr>
          <w:i/>
          <w:iCs/>
        </w:rPr>
        <w:t xml:space="preserve">before</w:t>
      </w:r>
      <w:r>
        <w:t xml:space="preserve"> the train/test split leaks information and overstates performance. Leakage is a documented source of irreproducible ML results (Kapoor &amp; Narayanan, 2023).</w:t>
      </w:r>
    </w:p>
    <w:p>
      <w:pPr>
        <w:pStyle w:val="ListParagraph"/>
        <w:numPr>
          <w:ilvl w:val="0"/>
          <w:numId w:val="2"/>
        </w:numPr>
        <w:spacing w:after="80" w:line="290"/>
      </w:pPr>
      <w:r>
        <w:rPr>
          <w:b/>
          <w:bCs/>
        </w:rPr>
        <w:t xml:space="preserve">Accuracy without explanation.</w:t>
      </w:r>
      <w:r>
        <w:t xml:space="preserve"> Highly accurate black-box models are hard for HR leaders to trust or act on. Interpretability matters in high-stakes decisions about people (Rudin, 2019).</w:t>
      </w:r>
    </w:p>
    <w:p>
      <w:pPr>
        <w:pStyle w:val="ListParagraph"/>
        <w:numPr>
          <w:ilvl w:val="0"/>
          <w:numId w:val="2"/>
        </w:numPr>
        <w:spacing w:after="80" w:line="290"/>
      </w:pPr>
      <w:r>
        <w:rPr>
          <w:b/>
          <w:bCs/>
        </w:rPr>
        <w:t xml:space="preserve">Prediction without action.</w:t>
      </w:r>
      <w:r>
        <w:t xml:space="preserve"> Importance rankings are rarely translated into prioritized, role-specific retention actions or a usable dashboard.</w:t>
      </w:r>
    </w:p>
    <w:p>
      <w:pPr>
        <w:pStyle w:val="ListParagraph"/>
        <w:numPr>
          <w:ilvl w:val="0"/>
          <w:numId w:val="2"/>
        </w:numPr>
        <w:spacing w:after="80" w:line="290"/>
      </w:pPr>
      <w:r>
        <w:rPr>
          <w:b/>
          <w:bCs/>
        </w:rPr>
        <w:t xml:space="preserve">Theory–model disconnect.</w:t>
      </w:r>
      <w:r>
        <w:t xml:space="preserve"> Features are often chosen by availability, not mapped to constructs from turnover theory, which weakens interpretation.</w:t>
      </w:r>
    </w:p>
    <w:p>
      <w:pPr>
        <w:pStyle w:val="ListParagraph"/>
        <w:numPr>
          <w:ilvl w:val="0"/>
          <w:numId w:val="2"/>
        </w:numPr>
        <w:spacing w:after="80" w:line="290"/>
      </w:pPr>
      <w:r>
        <w:rPr>
          <w:b/>
          <w:bCs/>
        </w:rPr>
        <w:t xml:space="preserve">Synthetic or single-snapshot data.</w:t>
      </w:r>
      <w:r>
        <w:t xml:space="preserve"> The IBM dataset is a fictional dataset created by IBM data scientists, not real employee records, and it is cross-sectional (no time dimension). Findings may not transfer to real organizations.</w:t>
      </w:r>
    </w:p>
    <w:p>
      <w:pPr>
        <w:pStyle w:val="ListParagraph"/>
        <w:numPr>
          <w:ilvl w:val="0"/>
          <w:numId w:val="2"/>
        </w:numPr>
        <w:spacing w:after="80" w:line="290"/>
      </w:pPr>
      <w:r>
        <w:rPr>
          <w:b/>
          <w:bCs/>
        </w:rPr>
        <w:t xml:space="preserve">Fairness rarely examined.</w:t>
      </w:r>
      <w:r>
        <w:t xml:space="preserve"> Models using age, gender, or marital status can encode discrimination, yet subgroup performance is seldom reported.</w:t>
      </w:r>
    </w:p>
    <w:p>
      <w:pPr>
        <w:pStyle w:val="Heading2"/>
        <w:keepNext/>
        <w:spacing w:after="100" w:before="240"/>
      </w:pPr>
      <w:r>
        <w:t xml:space="preserve">2.4 The gap this project addresses</w:t>
      </w:r>
    </w:p>
    <w:p>
      <w:pPr>
        <w:spacing w:after="120" w:line="300"/>
      </w:pPr>
      <w:r>
        <w:t xml:space="preserve">The project aims to contribute an </w:t>
      </w:r>
      <w:r>
        <w:rPr>
          <w:b/>
          <w:bCs/>
        </w:rPr>
        <w:t xml:space="preserve">end-to-end, leakage-safe, interpretable, and actionable</w:t>
      </w:r>
      <w:r>
        <w:t xml:space="preserve"> attrition pipeline on a standard benchmark: a rigorous imbalance-aware modeling workflow, explicit tie-in between model drivers and turnover theory, and a Power BI layer that converts predictions into HR decisions. The contribution is methodological and applied rather than a claim of a new algorithm.</w:t>
      </w:r>
    </w:p>
    <w:p>
      <w:pPr>
        <w:pStyle w:val="Heading1"/>
        <w:keepNext/>
        <w:pBdr>
          <w:bottom w:val="single" w:color="2E75B6" w:sz="8" w:space="4"/>
        </w:pBdr>
        <w:spacing w:after="160" w:before="360"/>
      </w:pPr>
      <w:r>
        <w:t xml:space="preserve">3. Justifying Research &amp; Methodology</w:t>
      </w:r>
    </w:p>
    <w:p>
      <w:pPr>
        <w:pStyle w:val="Heading2"/>
        <w:keepNext/>
        <w:spacing w:after="100" w:before="240"/>
      </w:pPr>
      <w:r>
        <w:t xml:space="preserve">3.1 Design rationale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Project component</w:t>
            </w:r>
          </w:p>
        </w:tc>
        <w:tc>
          <w:tcPr>
            <w:tcW w:type="dxa" w:w="45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Rationale</w:t>
            </w:r>
          </w:p>
        </w:tc>
        <w:tc>
          <w:tcPr>
            <w:tcW w:type="dxa" w:w="3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Gap addressed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b/>
                <w:bCs/>
                <w:sz w:val="19"/>
                <w:szCs w:val="19"/>
              </w:rPr>
              <w:t xml:space="preserve">EDA</w:t>
            </w:r>
            <w:r>
              <w:rPr>
                <w:sz w:val="19"/>
                <w:szCs w:val="19"/>
              </w:rPr>
              <w:t xml:space="preserve"> (Matplotlib, Seaborn)</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Reveals distributions, outliers, and driver patterns; a hypothesis-generating step that links to theory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Variable-by-variable thinking; theory–model disconnect</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b/>
                <w:bCs/>
                <w:sz w:val="19"/>
                <w:szCs w:val="19"/>
              </w:rPr>
              <w:t xml:space="preserve">Cleaning and encoding</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Removes non-informative fields and prepares categorical variables</w:t>
            </w:r>
          </w:p>
        </w:tc>
        <w:tc>
          <w:tcPr>
            <w:tcW w:type="dxa" w:w="30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Data quality; reproducibility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b/>
                <w:bCs/>
                <w:sz w:val="19"/>
                <w:szCs w:val="19"/>
              </w:rPr>
              <w:t xml:space="preserve">Imbalance handling</w:t>
            </w:r>
            <w:r>
              <w:rPr>
                <w:sz w:val="19"/>
                <w:szCs w:val="19"/>
              </w:rPr>
              <w:t xml:space="preserve"> (SMOTE, class weights)</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SMOTE synthesizes minority examples by interpolating between neighbors (Chawla et al., 2002); alternatives and cautions are well documented (Fernández et al., 2018)</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Careless imbalance handling</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b/>
                <w:bCs/>
                <w:sz w:val="19"/>
                <w:szCs w:val="19"/>
              </w:rPr>
              <w:t xml:space="preserve">Model family</w:t>
            </w:r>
            <w:r>
              <w:rPr>
                <w:sz w:val="19"/>
                <w:szCs w:val="19"/>
              </w:rPr>
              <w:t xml:space="preserve"> (logistic regression baseline; Random Forest, XGBoost, LightGBM)</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Logistic regression gives an interpretable benchmark; ensembles capture non-linearities and interactions on tabular data (Breiman, 2001; Chen &amp; Guestrin, 2016; Ke et al., 2017)</w:t>
            </w:r>
          </w:p>
        </w:tc>
        <w:tc>
          <w:tcPr>
            <w:tcW w:type="dxa" w:w="30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Linear thinking; accuracy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b/>
                <w:bCs/>
                <w:sz w:val="19"/>
                <w:szCs w:val="19"/>
              </w:rPr>
              <w:t xml:space="preserve">Tuning and evaluation</w:t>
            </w:r>
            <w:r>
              <w:rPr>
                <w:sz w:val="19"/>
                <w:szCs w:val="19"/>
              </w:rPr>
              <w:t xml:space="preserve"> (Precision, Recall, F1, plus PR-AUC)</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Metrics suited to the minority class; cross-validation guards against optimistic estimates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Misleading accuracy</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b/>
                <w:bCs/>
                <w:sz w:val="19"/>
                <w:szCs w:val="19"/>
              </w:rPr>
              <w:t xml:space="preserve">Feature importance and SHAP</w:t>
            </w:r>
          </w:p>
        </w:tc>
        <w:tc>
          <w:tcPr>
            <w:tcW w:type="dxa" w:w="45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Importance rankings plus SHAP values give global and per-employee explanations (Lundberg &amp; Lee, 2017)</w:t>
            </w:r>
          </w:p>
        </w:tc>
        <w:tc>
          <w:tcPr>
            <w:tcW w:type="dxa" w:w="30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Black-box models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b/>
                <w:bCs/>
                <w:sz w:val="19"/>
                <w:szCs w:val="19"/>
              </w:rPr>
              <w:t xml:space="preserve">Power BI dashboard</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Moves insight from notebook to decision-makers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Prediction without action</w:t>
            </w:r>
          </w:p>
        </w:tc>
      </w:tr>
    </w:tbl>
    <w:p>
      <w:pPr>
        <w:spacing w:after="120"/>
      </w:pPr>
    </w:p>
    <w:p>
      <w:pPr>
        <w:pStyle w:val="Heading2"/>
        <w:keepNext/>
        <w:spacing w:after="100" w:before="240"/>
      </w:pPr>
      <w:r>
        <w:t xml:space="preserve">3.2 Why this methodology bridges the gaps</w:t>
      </w:r>
    </w:p>
    <w:p>
      <w:pPr>
        <w:pStyle w:val="ListParagraph"/>
        <w:numPr>
          <w:ilvl w:val="0"/>
          <w:numId w:val="2"/>
        </w:numPr>
        <w:spacing w:after="80" w:line="290"/>
      </w:pPr>
      <w:r>
        <w:rPr>
          <w:b/>
          <w:bCs/>
        </w:rPr>
        <w:t xml:space="preserve">Nonlinear interactions:</w:t>
      </w:r>
      <w:r>
        <w:t xml:space="preserve"> Boosted and bagged trees model interaction effects (overtime × tenure × income) that regression-style HR analysis misses.</w:t>
      </w:r>
    </w:p>
    <w:p>
      <w:pPr>
        <w:pStyle w:val="ListParagraph"/>
        <w:numPr>
          <w:ilvl w:val="0"/>
          <w:numId w:val="2"/>
        </w:numPr>
        <w:spacing w:after="80" w:line="290"/>
      </w:pPr>
      <w:r>
        <w:rPr>
          <w:b/>
          <w:bCs/>
        </w:rPr>
        <w:t xml:space="preserve">Minority-class focus:</w:t>
      </w:r>
      <w:r>
        <w:t xml:space="preserve"> Optimizing recall and F1 on leavers, and reporting precision-recall behavior, aligns evaluation with the business cost of </w:t>
      </w:r>
      <w:r>
        <w:rPr>
          <w:i/>
          <w:iCs/>
        </w:rPr>
        <w:t xml:space="preserve">missing</w:t>
      </w:r>
      <w:r>
        <w:t xml:space="preserve"> a leaver while still limiting false alarms.</w:t>
      </w:r>
    </w:p>
    <w:p>
      <w:pPr>
        <w:pStyle w:val="ListParagraph"/>
        <w:numPr>
          <w:ilvl w:val="0"/>
          <w:numId w:val="2"/>
        </w:numPr>
        <w:spacing w:after="80" w:line="290"/>
      </w:pPr>
      <w:r>
        <w:rPr>
          <w:b/>
          <w:bCs/>
        </w:rPr>
        <w:t xml:space="preserve">Explainability:</w:t>
      </w:r>
      <w:r>
        <w:t xml:space="preserve"> Pairing a high-performing model with SHAP and a transparent baseline addresses the accuracy-versus-trust trade-off.</w:t>
      </w:r>
    </w:p>
    <w:p>
      <w:pPr>
        <w:pStyle w:val="ListParagraph"/>
        <w:numPr>
          <w:ilvl w:val="0"/>
          <w:numId w:val="2"/>
        </w:numPr>
        <w:spacing w:after="80" w:line="290"/>
      </w:pPr>
      <w:r>
        <w:rPr>
          <w:b/>
          <w:bCs/>
        </w:rPr>
        <w:t xml:space="preserve">Actionability:</w:t>
      </w:r>
      <w:r>
        <w:t xml:space="preserve"> Segmenting risk by department, role, and tenure in Power BI supports targeted retention rather than blanket policies.</w:t>
      </w:r>
    </w:p>
    <w:p>
      <w:pPr>
        <w:pStyle w:val="Heading2"/>
        <w:keepNext/>
        <w:spacing w:after="100" w:before="240"/>
      </w:pPr>
      <w:r>
        <w:t xml:space="preserve">3.3 Methodological safeguards recommended for the project</w:t>
      </w:r>
    </w:p>
    <w:p>
      <w:pPr>
        <w:spacing w:after="120" w:line="300"/>
      </w:pPr>
      <w:r>
        <w:t xml:space="preserve">The proposal plans SMOTE in Week 2 as a standalone preprocessing step. To keep results credible, I recommend:</w:t>
      </w:r>
    </w:p>
    <w:p>
      <w:pPr>
        <w:pStyle w:val="ListParagraph"/>
        <w:numPr>
          <w:ilvl w:val="0"/>
          <w:numId w:val="4"/>
        </w:numPr>
        <w:spacing w:after="80" w:line="290"/>
      </w:pPr>
      <w:r>
        <w:rPr>
          <w:b/>
          <w:bCs/>
        </w:rPr>
        <w:t xml:space="preserve">Split first.</w:t>
      </w:r>
      <w:r>
        <w:t xml:space="preserve"> Create the train/test split (stratified) before any resampling or scaling.</w:t>
      </w:r>
    </w:p>
    <w:p>
      <w:pPr>
        <w:pStyle w:val="ListParagraph"/>
        <w:numPr>
          <w:ilvl w:val="0"/>
          <w:numId w:val="4"/>
        </w:numPr>
        <w:spacing w:after="80" w:line="290"/>
      </w:pPr>
      <w:r>
        <w:rPr>
          <w:b/>
          <w:bCs/>
        </w:rPr>
        <w:t xml:space="preserve">Resample only inside training folds.</w:t>
      </w:r>
      <w:r>
        <w:t xml:space="preserve"> Use an imbalanced-learn </w:t>
      </w:r>
      <w:r>
        <w:rPr>
          <w:rFonts w:ascii="Consolas" w:cs="Consolas" w:eastAsia="Consolas" w:hAnsi="Consolas"/>
          <w:color w:val="8B1A1A"/>
          <w:sz w:val="20"/>
          <w:szCs w:val="20"/>
        </w:rPr>
        <w:t xml:space="preserve">Pipeline</w:t>
      </w:r>
      <w:r>
        <w:t xml:space="preserve"> so SMOTE is fit within each cross-validation fold; never touch the test set.</w:t>
      </w:r>
    </w:p>
    <w:p>
      <w:pPr>
        <w:pStyle w:val="ListParagraph"/>
        <w:numPr>
          <w:ilvl w:val="0"/>
          <w:numId w:val="4"/>
        </w:numPr>
        <w:spacing w:after="80" w:line="290"/>
      </w:pPr>
      <w:r>
        <w:rPr>
          <w:b/>
          <w:bCs/>
        </w:rPr>
        <w:t xml:space="preserve">Compare against class weights</w:t>
      </w:r>
      <w:r>
        <w:t xml:space="preserve"> (and no resampling) as baselines, since SMOTE does not always help tree ensembles.</w:t>
      </w:r>
    </w:p>
    <w:p>
      <w:pPr>
        <w:pStyle w:val="ListParagraph"/>
        <w:numPr>
          <w:ilvl w:val="0"/>
          <w:numId w:val="4"/>
        </w:numPr>
        <w:spacing w:after="80" w:line="290"/>
      </w:pPr>
      <w:r>
        <w:rPr>
          <w:b/>
          <w:bCs/>
        </w:rPr>
        <w:t xml:space="preserve">Report PR-AUC, recall, precision, F1, and a confusion matrix</w:t>
      </w:r>
      <w:r>
        <w:t xml:space="preserve">, and choose the decision threshold using business costs rather than the default 0.5.</w:t>
      </w:r>
    </w:p>
    <w:p>
      <w:pPr>
        <w:pStyle w:val="ListParagraph"/>
        <w:numPr>
          <w:ilvl w:val="0"/>
          <w:numId w:val="4"/>
        </w:numPr>
        <w:spacing w:after="80" w:line="290"/>
      </w:pPr>
      <w:r>
        <w:rPr>
          <w:b/>
          <w:bCs/>
        </w:rPr>
        <w:t xml:space="preserve">Calibrate probabilities</w:t>
      </w:r>
      <w:r>
        <w:t xml:space="preserve"> if risk scores will be shown on a dashboard.</w:t>
      </w:r>
    </w:p>
    <w:p>
      <w:pPr>
        <w:pStyle w:val="ListParagraph"/>
        <w:numPr>
          <w:ilvl w:val="0"/>
          <w:numId w:val="4"/>
        </w:numPr>
        <w:spacing w:after="80" w:line="290"/>
      </w:pPr>
      <w:r>
        <w:rPr>
          <w:b/>
          <w:bCs/>
        </w:rPr>
        <w:t xml:space="preserve">Document limitations</w:t>
      </w:r>
      <w:r>
        <w:t xml:space="preserve">, especially the synthetic, cross-sectional nature of the data.</w:t>
      </w:r>
    </w:p>
    <w:p>
      <w:pPr>
        <w:pStyle w:val="Heading1"/>
        <w:keepNext/>
        <w:pBdr>
          <w:bottom w:val="single" w:color="2E75B6" w:sz="8" w:space="4"/>
        </w:pBdr>
        <w:spacing w:after="160" w:before="360"/>
      </w:pPr>
      <w:r>
        <w:t xml:space="preserve">4. Avoiding Duplication of Effort</w:t>
      </w:r>
    </w:p>
    <w:p>
      <w:pPr>
        <w:pStyle w:val="Heading2"/>
        <w:keepNext/>
        <w:spacing w:after="100" w:before="240"/>
      </w:pPr>
      <w:r>
        <w:t xml:space="preserve">4.1 Baseline findings that are well established</w:t>
      </w:r>
    </w:p>
    <w:p>
      <w:pPr>
        <w:spacing w:after="120" w:line="300"/>
      </w:pPr>
      <w:r>
        <w:t xml:space="preserve">The following are consistent across decades of research and do not need re-proving; the project should </w:t>
      </w:r>
      <w:r>
        <w:rPr>
          <w:i/>
          <w:iCs/>
        </w:rPr>
        <w:t xml:space="preserve">confirm and cite</w:t>
      </w:r>
      <w:r>
        <w:t xml:space="preserve"> them rather than present them as discoveries:</w:t>
      </w:r>
    </w:p>
    <w:p>
      <w:pPr>
        <w:pStyle w:val="ListParagraph"/>
        <w:numPr>
          <w:ilvl w:val="0"/>
          <w:numId w:val="2"/>
        </w:numPr>
        <w:spacing w:after="80" w:line="290"/>
      </w:pPr>
      <w:r>
        <w:t xml:space="preserve">Job dissatisfaction, low commitment, and withdrawal cognitions predict voluntary turnover, with moderate effect sizes (Tett &amp; Meyer, 1993; Griffeth et al., 2000).</w:t>
      </w:r>
    </w:p>
    <w:p>
      <w:pPr>
        <w:pStyle w:val="ListParagraph"/>
        <w:numPr>
          <w:ilvl w:val="0"/>
          <w:numId w:val="2"/>
        </w:numPr>
        <w:spacing w:after="80" w:line="290"/>
      </w:pPr>
      <w:r>
        <w:t xml:space="preserve">Burnout and high job demands are associated with intent to leave (Maslach et al., 2001; Bakker &amp; Demerouti, 2007).</w:t>
      </w:r>
    </w:p>
    <w:p>
      <w:pPr>
        <w:pStyle w:val="ListParagraph"/>
        <w:numPr>
          <w:ilvl w:val="0"/>
          <w:numId w:val="2"/>
        </w:numPr>
        <w:spacing w:after="80" w:line="290"/>
      </w:pPr>
      <w:r>
        <w:t xml:space="preserve">Turnover risk is higher early in tenure and for employees with weaker organizational ties (Mitchell et al., 2001).</w:t>
      </w:r>
    </w:p>
    <w:p>
      <w:pPr>
        <w:pStyle w:val="ListParagraph"/>
        <w:numPr>
          <w:ilvl w:val="0"/>
          <w:numId w:val="2"/>
        </w:numPr>
        <w:spacing w:after="80" w:line="290"/>
      </w:pPr>
      <w:r>
        <w:t xml:space="preserve">Pay is related to turnover but is rarely the sole or dominant driver (Griffeth et al., 2000).</w:t>
      </w:r>
    </w:p>
    <w:p>
      <w:pPr>
        <w:pStyle w:val="ListParagraph"/>
        <w:numPr>
          <w:ilvl w:val="0"/>
          <w:numId w:val="2"/>
        </w:numPr>
        <w:spacing w:after="80" w:line="290"/>
      </w:pPr>
      <w:r>
        <w:t xml:space="preserve">Tree-ensemble and boosting models generally perform well on tabular HR attrition data, and accuracy alone is a poor metric under class imbalance (Saito &amp; Rehmsmeier, 2015).</w:t>
      </w:r>
    </w:p>
    <w:p>
      <w:pPr>
        <w:pStyle w:val="ListParagraph"/>
        <w:numPr>
          <w:ilvl w:val="0"/>
          <w:numId w:val="2"/>
        </w:numPr>
        <w:spacing w:after="80" w:line="290"/>
      </w:pPr>
      <w:r>
        <w:t xml:space="preserve">Popular benchmark data such as the IBM HR dataset has been analyzed extensively; reproducing a generic “Random Forest reaches X% accuracy” result adds little.</w:t>
      </w:r>
    </w:p>
    <w:p>
      <w:pPr>
        <w:pStyle w:val="Heading2"/>
        <w:keepNext/>
        <w:spacing w:after="100" w:before="240"/>
      </w:pPr>
      <w:r>
        <w:t xml:space="preserve">4.2 Where the project should focus instead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Novel or optimized angle</w:t>
            </w:r>
          </w:p>
        </w:tc>
        <w:tc>
          <w:tcPr>
            <w:tcW w:type="dxa" w:w="54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What it adds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Leakage-safe pipeline with documented evaluation</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Credible, reproducible performance estimates</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Threshold selection by business cost</w:t>
            </w:r>
          </w:p>
        </w:tc>
        <w:tc>
          <w:tcPr>
            <w:tcW w:type="dxa" w:w="54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Moves from accuracy to decision value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Theory-mapped feature groups and interaction analysis</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Connects drivers to JD-R, embeddedness, and satisfaction theory</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SHAP-based individual explanations and risk segments</w:t>
            </w:r>
          </w:p>
        </w:tc>
        <w:tc>
          <w:tcPr>
            <w:tcW w:type="dxa" w:w="54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Actionable, employee-level insight</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Subgroup performance checks</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Responsible, fairness-aware reporting</w:t>
            </w:r>
          </w:p>
        </w:tc>
      </w:tr>
      <w:tr>
        <w:trPr>
          <w:cantSplit/>
        </w:trPr>
        <w:tc>
          <w:tcPr>
            <w:tcW w:type="dxa" w:w="43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Power BI risk and retention dashboard</w:t>
            </w:r>
          </w:p>
        </w:tc>
        <w:tc>
          <w:tcPr>
            <w:tcW w:type="dxa" w:w="54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Delivered decision tool, not just a model</w:t>
            </w:r>
          </w:p>
        </w:tc>
      </w:tr>
    </w:tbl>
    <w:p>
      <w:pPr>
        <w:spacing w:after="120"/>
      </w:pPr>
    </w:p>
    <w:p>
      <w:pPr>
        <w:pStyle w:val="Heading1"/>
        <w:keepNext/>
        <w:pBdr>
          <w:bottom w:val="single" w:color="2E75B6" w:sz="8" w:space="4"/>
        </w:pBdr>
        <w:spacing w:after="160" w:before="360"/>
      </w:pPr>
      <w:r>
        <w:t xml:space="preserve">5. Conceptual Framework for Data Analysis</w:t>
      </w:r>
    </w:p>
    <w:p>
      <w:pPr>
        <w:pStyle w:val="Heading2"/>
        <w:keepNext/>
        <w:spacing w:after="100" w:before="240"/>
      </w:pPr>
      <w:r>
        <w:t xml:space="preserve">5.1 Core definitions</w:t>
      </w:r>
    </w:p>
    <w:p>
      <w:pPr>
        <w:pStyle w:val="ListParagraph"/>
        <w:numPr>
          <w:ilvl w:val="0"/>
          <w:numId w:val="2"/>
        </w:numPr>
        <w:spacing w:after="80" w:line="290"/>
      </w:pPr>
      <w:r>
        <w:rPr>
          <w:b/>
          <w:bCs/>
        </w:rPr>
        <w:t xml:space="preserve">Attrition (voluntary turnover):</w:t>
      </w:r>
      <w:r>
        <w:t xml:space="preserve"> an employee’s own decision to leave the organization. In the dataset this is the binary target </w:t>
      </w:r>
      <w:r>
        <w:rPr>
          <w:rFonts w:ascii="Consolas" w:cs="Consolas" w:eastAsia="Consolas" w:hAnsi="Consolas"/>
          <w:color w:val="8B1A1A"/>
          <w:sz w:val="20"/>
          <w:szCs w:val="20"/>
        </w:rPr>
        <w:t xml:space="preserve">Attrition</w:t>
      </w:r>
      <w:r>
        <w:t xml:space="preserve"> (Yes/No).</w:t>
      </w:r>
    </w:p>
    <w:p>
      <w:pPr>
        <w:pStyle w:val="ListParagraph"/>
        <w:numPr>
          <w:ilvl w:val="0"/>
          <w:numId w:val="2"/>
        </w:numPr>
        <w:spacing w:after="80" w:line="290"/>
      </w:pPr>
      <w:r>
        <w:rPr>
          <w:b/>
          <w:bCs/>
        </w:rPr>
        <w:t xml:space="preserve">Attrition risk:</w:t>
      </w:r>
      <w:r>
        <w:t xml:space="preserve"> the model’s estimated probability that an employee leaves within the observation period.</w:t>
      </w:r>
    </w:p>
    <w:p>
      <w:pPr>
        <w:pStyle w:val="ListParagraph"/>
        <w:numPr>
          <w:ilvl w:val="0"/>
          <w:numId w:val="2"/>
        </w:numPr>
        <w:spacing w:after="80" w:line="290"/>
      </w:pPr>
      <w:r>
        <w:rPr>
          <w:b/>
          <w:bCs/>
        </w:rPr>
        <w:t xml:space="preserve">Class imbalance:</w:t>
      </w:r>
      <w:r>
        <w:t xml:space="preserve"> unequal class frequencies; here, leavers are the minority.</w:t>
      </w:r>
    </w:p>
    <w:p>
      <w:pPr>
        <w:pStyle w:val="ListParagraph"/>
        <w:numPr>
          <w:ilvl w:val="0"/>
          <w:numId w:val="2"/>
        </w:numPr>
        <w:spacing w:after="80" w:line="290"/>
      </w:pPr>
      <w:r>
        <w:rPr>
          <w:b/>
          <w:bCs/>
        </w:rPr>
        <w:t xml:space="preserve">Recall (sensitivity):</w:t>
      </w:r>
      <w:r>
        <w:t xml:space="preserve"> share of actual leavers the model catches. </w:t>
      </w:r>
      <w:r>
        <w:rPr>
          <w:b/>
          <w:bCs/>
        </w:rPr>
        <w:t xml:space="preserve">Precision:</w:t>
      </w:r>
      <w:r>
        <w:t xml:space="preserve"> share of flagged employees who actually leave. </w:t>
      </w:r>
      <w:r>
        <w:rPr>
          <w:b/>
          <w:bCs/>
        </w:rPr>
        <w:t xml:space="preserve">F1:</w:t>
      </w:r>
      <w:r>
        <w:t xml:space="preserve"> their harmonic mean. </w:t>
      </w:r>
      <w:r>
        <w:rPr>
          <w:b/>
          <w:bCs/>
        </w:rPr>
        <w:t xml:space="preserve">PR-AUC:</w:t>
      </w:r>
      <w:r>
        <w:t xml:space="preserve"> area under the precision-recall curve.</w:t>
      </w:r>
    </w:p>
    <w:p>
      <w:pPr>
        <w:pStyle w:val="ListParagraph"/>
        <w:numPr>
          <w:ilvl w:val="0"/>
          <w:numId w:val="2"/>
        </w:numPr>
        <w:spacing w:after="80" w:line="290"/>
      </w:pPr>
      <w:r>
        <w:rPr>
          <w:b/>
          <w:bCs/>
        </w:rPr>
        <w:t xml:space="preserve">Feature importance / SHAP:</w:t>
      </w:r>
      <w:r>
        <w:t xml:space="preserve"> measures of how much each variable contributes to predictions, globally and per employee.</w:t>
      </w:r>
    </w:p>
    <w:p>
      <w:pPr>
        <w:pStyle w:val="Heading2"/>
        <w:keepNext/>
        <w:spacing w:after="100" w:before="240"/>
      </w:pPr>
      <w:r>
        <w:t xml:space="preserve">5.2 Conceptual architecture</w:t>
      </w:r>
    </w:p>
    <w:p>
      <w:pPr>
        <w:spacing w:after="120" w:line="300"/>
      </w:pPr>
      <w:r>
        <w:t xml:space="preserve">The framework links theory to data to decisions:</w:t>
      </w:r>
    </w:p>
    <w:p>
      <w:pPr>
        <w:pStyle w:val="ListParagraph"/>
        <w:numPr>
          <w:ilvl w:val="0"/>
          <w:numId w:val="5"/>
        </w:numPr>
        <w:spacing w:after="80" w:line="290"/>
      </w:pPr>
      <w:r>
        <w:rPr>
          <w:b/>
          <w:bCs/>
        </w:rPr>
        <w:t xml:space="preserve">Theoretical constructs</w:t>
      </w:r>
      <w:r>
        <w:t xml:space="preserve"> (satisfaction, burnout/demands, rewards, career progression, embeddedness, demographic context)</w:t>
      </w:r>
    </w:p>
    <w:p>
      <w:pPr>
        <w:pStyle w:val="ListParagraph"/>
        <w:numPr>
          <w:ilvl w:val="0"/>
          <w:numId w:val="5"/>
        </w:numPr>
        <w:spacing w:after="80" w:line="290"/>
      </w:pPr>
      <w:r>
        <w:rPr>
          <w:b/>
          <w:bCs/>
        </w:rPr>
        <w:t xml:space="preserve">Dataset variables</w:t>
      </w:r>
      <w:r>
        <w:t xml:space="preserve"> that operationalize each construct (Section 5.3)</w:t>
      </w:r>
    </w:p>
    <w:p>
      <w:pPr>
        <w:pStyle w:val="ListParagraph"/>
        <w:numPr>
          <w:ilvl w:val="0"/>
          <w:numId w:val="5"/>
        </w:numPr>
        <w:spacing w:after="80" w:line="290"/>
      </w:pPr>
      <w:r>
        <w:rPr>
          <w:b/>
          <w:bCs/>
        </w:rPr>
        <w:t xml:space="preserve">Analytical pipeline:</w:t>
      </w:r>
      <w:r>
        <w:t xml:space="preserve"> cleaning, EDA, encoding, stratified split, in-fold resampling, model training and tuning, evaluation</w:t>
      </w:r>
    </w:p>
    <w:p>
      <w:pPr>
        <w:pStyle w:val="ListParagraph"/>
        <w:numPr>
          <w:ilvl w:val="0"/>
          <w:numId w:val="5"/>
        </w:numPr>
        <w:spacing w:after="80" w:line="290"/>
      </w:pPr>
      <w:r>
        <w:rPr>
          <w:b/>
          <w:bCs/>
        </w:rPr>
        <w:t xml:space="preserve">Interpretation:</w:t>
      </w:r>
      <w:r>
        <w:t xml:space="preserve"> feature importance, SHAP, subgroup checks</w:t>
      </w:r>
    </w:p>
    <w:p>
      <w:pPr>
        <w:pStyle w:val="ListParagraph"/>
        <w:numPr>
          <w:ilvl w:val="0"/>
          <w:numId w:val="5"/>
        </w:numPr>
        <w:spacing w:after="80" w:line="290"/>
      </w:pPr>
      <w:r>
        <w:rPr>
          <w:b/>
          <w:bCs/>
        </w:rPr>
        <w:t xml:space="preserve">Decision layer:</w:t>
      </w:r>
      <w:r>
        <w:t xml:space="preserve"> Power BI risk segments and retention recommendations</w:t>
      </w:r>
    </w:p>
    <w:p>
      <w:pPr>
        <w:pStyle w:val="Heading2"/>
        <w:keepNext/>
        <w:spacing w:after="100" w:before="240"/>
      </w:pPr>
      <w:r>
        <w:t xml:space="preserve">5.3 Variable map for the IBM HR Analytics dataset</w:t>
      </w:r>
    </w:p>
    <w:p>
      <w:pPr>
        <w:spacing w:after="120" w:line="300"/>
      </w:pPr>
      <w:r>
        <w:t xml:space="preserve">The dataset is commonly distributed with 1,470 employee records and about 35 columns. Please confirm column names in your copy; the mapping below follows the standard 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246"/>
        <w:gridCol w:w="3400"/>
      </w:tblGrid>
      <w:tr>
        <w:trPr>
          <w:cantSplit/>
          <w:tblHeader/>
        </w:trPr>
        <w:tc>
          <w:tcPr>
            <w:tcW w:type="dxa" w:w="2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Construct (theory)</w:t>
            </w:r>
          </w:p>
        </w:tc>
        <w:tc>
          <w:tcPr>
            <w:tcW w:type="dxa" w:w="42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Candidate variables</w:t>
            </w:r>
          </w:p>
        </w:tc>
        <w:tc>
          <w:tcPr>
            <w:tcW w:type="dxa" w:w="3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Expected direction (hypothesis)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Job satisfaction and commitment</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JobSatisfaction</w:t>
            </w:r>
            <w:r>
              <w:rPr>
                <w:sz w:val="19"/>
                <w:szCs w:val="19"/>
              </w:rPr>
              <w:t xml:space="preserve">, </w:t>
            </w:r>
            <w:r>
              <w:rPr>
                <w:rFonts w:ascii="Consolas" w:cs="Consolas" w:eastAsia="Consolas" w:hAnsi="Consolas"/>
                <w:color w:val="8B1A1A"/>
                <w:sz w:val="17"/>
                <w:szCs w:val="17"/>
              </w:rPr>
              <w:t xml:space="preserve">EnvironmentSatisfaction</w:t>
            </w:r>
            <w:r>
              <w:rPr>
                <w:sz w:val="19"/>
                <w:szCs w:val="19"/>
              </w:rPr>
              <w:t xml:space="preserve">, </w:t>
            </w:r>
            <w:r>
              <w:rPr>
                <w:rFonts w:ascii="Consolas" w:cs="Consolas" w:eastAsia="Consolas" w:hAnsi="Consolas"/>
                <w:color w:val="8B1A1A"/>
                <w:sz w:val="17"/>
                <w:szCs w:val="17"/>
              </w:rPr>
              <w:t xml:space="preserve">RelationshipSatisfaction</w:t>
            </w:r>
            <w:r>
              <w:rPr>
                <w:sz w:val="19"/>
                <w:szCs w:val="19"/>
              </w:rPr>
              <w:t xml:space="preserve">, </w:t>
            </w:r>
            <w:r>
              <w:rPr>
                <w:rFonts w:ascii="Consolas" w:cs="Consolas" w:eastAsia="Consolas" w:hAnsi="Consolas"/>
                <w:color w:val="8B1A1A"/>
                <w:sz w:val="17"/>
                <w:szCs w:val="17"/>
              </w:rPr>
              <w:t xml:space="preserve">JobInvolvement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Lower satisfaction, higher attrition</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Demands and burnout (JD-R)</w:t>
            </w:r>
          </w:p>
        </w:tc>
        <w:tc>
          <w:tcPr>
            <w:tcW w:type="dxa" w:w="42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OverTime</w:t>
            </w:r>
            <w:r>
              <w:rPr>
                <w:sz w:val="19"/>
                <w:szCs w:val="19"/>
              </w:rPr>
              <w:t xml:space="preserve">, </w:t>
            </w:r>
            <w:r>
              <w:rPr>
                <w:rFonts w:ascii="Consolas" w:cs="Consolas" w:eastAsia="Consolas" w:hAnsi="Consolas"/>
                <w:color w:val="8B1A1A"/>
                <w:sz w:val="17"/>
                <w:szCs w:val="17"/>
              </w:rPr>
              <w:t xml:space="preserve">BusinessTravel</w:t>
            </w:r>
            <w:r>
              <w:rPr>
                <w:sz w:val="19"/>
                <w:szCs w:val="19"/>
              </w:rPr>
              <w:t xml:space="preserve">, </w:t>
            </w:r>
            <w:r>
              <w:rPr>
                <w:rFonts w:ascii="Consolas" w:cs="Consolas" w:eastAsia="Consolas" w:hAnsi="Consolas"/>
                <w:color w:val="8B1A1A"/>
                <w:sz w:val="17"/>
                <w:szCs w:val="17"/>
              </w:rPr>
              <w:t xml:space="preserve">DistanceFromHome</w:t>
            </w:r>
            <w:r>
              <w:rPr>
                <w:sz w:val="19"/>
                <w:szCs w:val="19"/>
              </w:rPr>
              <w:t xml:space="preserve">, </w:t>
            </w:r>
            <w:r>
              <w:rPr>
                <w:rFonts w:ascii="Consolas" w:cs="Consolas" w:eastAsia="Consolas" w:hAnsi="Consolas"/>
                <w:color w:val="8B1A1A"/>
                <w:sz w:val="17"/>
                <w:szCs w:val="17"/>
              </w:rPr>
              <w:t xml:space="preserve">WorkLifeBalance</w:t>
            </w:r>
          </w:p>
        </w:tc>
        <w:tc>
          <w:tcPr>
            <w:tcW w:type="dxa" w:w="34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Overtime, frequent travel, long commute, poor balance: higher attrition</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Rewards</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MonthlyIncome</w:t>
            </w:r>
            <w:r>
              <w:rPr>
                <w:sz w:val="19"/>
                <w:szCs w:val="19"/>
              </w:rPr>
              <w:t xml:space="preserve">, </w:t>
            </w:r>
            <w:r>
              <w:rPr>
                <w:rFonts w:ascii="Consolas" w:cs="Consolas" w:eastAsia="Consolas" w:hAnsi="Consolas"/>
                <w:color w:val="8B1A1A"/>
                <w:sz w:val="17"/>
                <w:szCs w:val="17"/>
              </w:rPr>
              <w:t xml:space="preserve">HourlyRate</w:t>
            </w:r>
            <w:r>
              <w:rPr>
                <w:sz w:val="19"/>
                <w:szCs w:val="19"/>
              </w:rPr>
              <w:t xml:space="preserve">, </w:t>
            </w:r>
            <w:r>
              <w:rPr>
                <w:rFonts w:ascii="Consolas" w:cs="Consolas" w:eastAsia="Consolas" w:hAnsi="Consolas"/>
                <w:color w:val="8B1A1A"/>
                <w:sz w:val="17"/>
                <w:szCs w:val="17"/>
              </w:rPr>
              <w:t xml:space="preserve">DailyRate</w:t>
            </w:r>
            <w:r>
              <w:rPr>
                <w:sz w:val="19"/>
                <w:szCs w:val="19"/>
              </w:rPr>
              <w:t xml:space="preserve">, </w:t>
            </w:r>
            <w:r>
              <w:rPr>
                <w:rFonts w:ascii="Consolas" w:cs="Consolas" w:eastAsia="Consolas" w:hAnsi="Consolas"/>
                <w:color w:val="8B1A1A"/>
                <w:sz w:val="17"/>
                <w:szCs w:val="17"/>
              </w:rPr>
              <w:t xml:space="preserve">MonthlyRate</w:t>
            </w:r>
            <w:r>
              <w:rPr>
                <w:sz w:val="19"/>
                <w:szCs w:val="19"/>
              </w:rPr>
              <w:t xml:space="preserve">, </w:t>
            </w:r>
            <w:r>
              <w:rPr>
                <w:rFonts w:ascii="Consolas" w:cs="Consolas" w:eastAsia="Consolas" w:hAnsi="Consolas"/>
                <w:color w:val="8B1A1A"/>
                <w:sz w:val="17"/>
                <w:szCs w:val="17"/>
              </w:rPr>
              <w:t xml:space="preserve">PercentSalaryHike</w:t>
            </w:r>
            <w:r>
              <w:rPr>
                <w:sz w:val="19"/>
                <w:szCs w:val="19"/>
              </w:rPr>
              <w:t xml:space="preserve">, </w:t>
            </w:r>
            <w:r>
              <w:rPr>
                <w:rFonts w:ascii="Consolas" w:cs="Consolas" w:eastAsia="Consolas" w:hAnsi="Consolas"/>
                <w:color w:val="8B1A1A"/>
                <w:sz w:val="17"/>
                <w:szCs w:val="17"/>
              </w:rPr>
              <w:t xml:space="preserve">StockOptionLevel</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Lower pay and stock options: higher attrition</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Career progression</w:t>
            </w:r>
          </w:p>
        </w:tc>
        <w:tc>
          <w:tcPr>
            <w:tcW w:type="dxa" w:w="42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JobLevel</w:t>
            </w:r>
            <w:r>
              <w:rPr>
                <w:sz w:val="19"/>
                <w:szCs w:val="19"/>
              </w:rPr>
              <w:t xml:space="preserve">, </w:t>
            </w:r>
            <w:r>
              <w:rPr>
                <w:rFonts w:ascii="Consolas" w:cs="Consolas" w:eastAsia="Consolas" w:hAnsi="Consolas"/>
                <w:color w:val="8B1A1A"/>
                <w:sz w:val="17"/>
                <w:szCs w:val="17"/>
              </w:rPr>
              <w:t xml:space="preserve">YearsSinceLastPromotion</w:t>
            </w:r>
            <w:r>
              <w:rPr>
                <w:sz w:val="19"/>
                <w:szCs w:val="19"/>
              </w:rPr>
              <w:t xml:space="preserve">, </w:t>
            </w:r>
            <w:r>
              <w:rPr>
                <w:rFonts w:ascii="Consolas" w:cs="Consolas" w:eastAsia="Consolas" w:hAnsi="Consolas"/>
                <w:color w:val="8B1A1A"/>
                <w:sz w:val="17"/>
                <w:szCs w:val="17"/>
              </w:rPr>
              <w:t xml:space="preserve">TrainingTimesLastYear</w:t>
            </w:r>
            <w:r>
              <w:rPr>
                <w:sz w:val="19"/>
                <w:szCs w:val="19"/>
              </w:rPr>
              <w:t xml:space="preserve">, </w:t>
            </w:r>
            <w:r>
              <w:rPr>
                <w:rFonts w:ascii="Consolas" w:cs="Consolas" w:eastAsia="Consolas" w:hAnsi="Consolas"/>
                <w:color w:val="8B1A1A"/>
                <w:sz w:val="17"/>
                <w:szCs w:val="17"/>
              </w:rPr>
              <w:t xml:space="preserve">PerformanceRating</w:t>
            </w:r>
          </w:p>
        </w:tc>
        <w:tc>
          <w:tcPr>
            <w:tcW w:type="dxa" w:w="34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Stagnation: higher attrition</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Tenure and embeddedness</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YearsAtCompany</w:t>
            </w:r>
            <w:r>
              <w:rPr>
                <w:sz w:val="19"/>
                <w:szCs w:val="19"/>
              </w:rPr>
              <w:t xml:space="preserve">, </w:t>
            </w:r>
            <w:r>
              <w:rPr>
                <w:rFonts w:ascii="Consolas" w:cs="Consolas" w:eastAsia="Consolas" w:hAnsi="Consolas"/>
                <w:color w:val="8B1A1A"/>
                <w:sz w:val="17"/>
                <w:szCs w:val="17"/>
              </w:rPr>
              <w:t xml:space="preserve">YearsInCurrentRole</w:t>
            </w:r>
            <w:r>
              <w:rPr>
                <w:sz w:val="19"/>
                <w:szCs w:val="19"/>
              </w:rPr>
              <w:t xml:space="preserve">, </w:t>
            </w:r>
            <w:r>
              <w:rPr>
                <w:rFonts w:ascii="Consolas" w:cs="Consolas" w:eastAsia="Consolas" w:hAnsi="Consolas"/>
                <w:color w:val="8B1A1A"/>
                <w:sz w:val="17"/>
                <w:szCs w:val="17"/>
              </w:rPr>
              <w:t xml:space="preserve">YearsWithCurrManager</w:t>
            </w:r>
            <w:r>
              <w:rPr>
                <w:sz w:val="19"/>
                <w:szCs w:val="19"/>
              </w:rPr>
              <w:t xml:space="preserve">, </w:t>
            </w:r>
            <w:r>
              <w:rPr>
                <w:rFonts w:ascii="Consolas" w:cs="Consolas" w:eastAsia="Consolas" w:hAnsi="Consolas"/>
                <w:color w:val="8B1A1A"/>
                <w:sz w:val="17"/>
                <w:szCs w:val="17"/>
              </w:rPr>
              <w:t xml:space="preserve">TotalWorkingYears</w:t>
            </w:r>
            <w:r>
              <w:rPr>
                <w:sz w:val="19"/>
                <w:szCs w:val="19"/>
              </w:rPr>
              <w:t xml:space="preserve">, </w:t>
            </w:r>
            <w:r>
              <w:rPr>
                <w:rFonts w:ascii="Consolas" w:cs="Consolas" w:eastAsia="Consolas" w:hAnsi="Consolas"/>
                <w:color w:val="8B1A1A"/>
                <w:sz w:val="17"/>
                <w:szCs w:val="17"/>
              </w:rPr>
              <w:t xml:space="preserve">NumCompaniesWorked</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Short tenure and job-hopping history: higher attrition</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Role and organization</w:t>
            </w:r>
          </w:p>
        </w:tc>
        <w:tc>
          <w:tcPr>
            <w:tcW w:type="dxa" w:w="42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Department</w:t>
            </w:r>
            <w:r>
              <w:rPr>
                <w:sz w:val="19"/>
                <w:szCs w:val="19"/>
              </w:rPr>
              <w:t xml:space="preserve">, </w:t>
            </w:r>
            <w:r>
              <w:rPr>
                <w:rFonts w:ascii="Consolas" w:cs="Consolas" w:eastAsia="Consolas" w:hAnsi="Consolas"/>
                <w:color w:val="8B1A1A"/>
                <w:sz w:val="17"/>
                <w:szCs w:val="17"/>
              </w:rPr>
              <w:t xml:space="preserve">JobRole</w:t>
            </w:r>
            <w:r>
              <w:rPr>
                <w:sz w:val="19"/>
                <w:szCs w:val="19"/>
              </w:rPr>
              <w:t xml:space="preserve">, </w:t>
            </w:r>
            <w:r>
              <w:rPr>
                <w:rFonts w:ascii="Consolas" w:cs="Consolas" w:eastAsia="Consolas" w:hAnsi="Consolas"/>
                <w:color w:val="8B1A1A"/>
                <w:sz w:val="17"/>
                <w:szCs w:val="17"/>
              </w:rPr>
              <w:t xml:space="preserve">Education</w:t>
            </w:r>
            <w:r>
              <w:rPr>
                <w:sz w:val="19"/>
                <w:szCs w:val="19"/>
              </w:rPr>
              <w:t xml:space="preserve">, </w:t>
            </w:r>
            <w:r>
              <w:rPr>
                <w:rFonts w:ascii="Consolas" w:cs="Consolas" w:eastAsia="Consolas" w:hAnsi="Consolas"/>
                <w:color w:val="8B1A1A"/>
                <w:sz w:val="17"/>
                <w:szCs w:val="17"/>
              </w:rPr>
              <w:t xml:space="preserve">EducationField</w:t>
            </w:r>
          </w:p>
        </w:tc>
        <w:tc>
          <w:tcPr>
            <w:tcW w:type="dxa" w:w="34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Varies by role; examine segment differences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Demographic context</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Age</w:t>
            </w:r>
            <w:r>
              <w:rPr>
                <w:sz w:val="19"/>
                <w:szCs w:val="19"/>
              </w:rPr>
              <w:t xml:space="preserve">, </w:t>
            </w:r>
            <w:r>
              <w:rPr>
                <w:rFonts w:ascii="Consolas" w:cs="Consolas" w:eastAsia="Consolas" w:hAnsi="Consolas"/>
                <w:color w:val="8B1A1A"/>
                <w:sz w:val="17"/>
                <w:szCs w:val="17"/>
              </w:rPr>
              <w:t xml:space="preserve">Gender</w:t>
            </w:r>
            <w:r>
              <w:rPr>
                <w:sz w:val="19"/>
                <w:szCs w:val="19"/>
              </w:rPr>
              <w:t xml:space="preserve">, </w:t>
            </w:r>
            <w:r>
              <w:rPr>
                <w:rFonts w:ascii="Consolas" w:cs="Consolas" w:eastAsia="Consolas" w:hAnsi="Consolas"/>
                <w:color w:val="8B1A1A"/>
                <w:sz w:val="17"/>
                <w:szCs w:val="17"/>
              </w:rPr>
              <w:t xml:space="preserve">MaritalStatus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Use as controls; handle with fairness caution</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Non-informative fields</w:t>
            </w:r>
          </w:p>
        </w:tc>
        <w:tc>
          <w:tcPr>
            <w:tcW w:type="dxa" w:w="42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rFonts w:ascii="Consolas" w:cs="Consolas" w:eastAsia="Consolas" w:hAnsi="Consolas"/>
                <w:color w:val="8B1A1A"/>
                <w:sz w:val="17"/>
                <w:szCs w:val="17"/>
              </w:rPr>
              <w:t xml:space="preserve">EmployeeCount</w:t>
            </w:r>
            <w:r>
              <w:rPr>
                <w:sz w:val="19"/>
                <w:szCs w:val="19"/>
              </w:rPr>
              <w:t xml:space="preserve">, </w:t>
            </w:r>
            <w:r>
              <w:rPr>
                <w:rFonts w:ascii="Consolas" w:cs="Consolas" w:eastAsia="Consolas" w:hAnsi="Consolas"/>
                <w:color w:val="8B1A1A"/>
                <w:sz w:val="17"/>
                <w:szCs w:val="17"/>
              </w:rPr>
              <w:t xml:space="preserve">Over18</w:t>
            </w:r>
            <w:r>
              <w:rPr>
                <w:sz w:val="19"/>
                <w:szCs w:val="19"/>
              </w:rPr>
              <w:t xml:space="preserve">, </w:t>
            </w:r>
            <w:r>
              <w:rPr>
                <w:rFonts w:ascii="Consolas" w:cs="Consolas" w:eastAsia="Consolas" w:hAnsi="Consolas"/>
                <w:color w:val="8B1A1A"/>
                <w:sz w:val="17"/>
                <w:szCs w:val="17"/>
              </w:rPr>
              <w:t xml:space="preserve">StandardHours</w:t>
            </w:r>
            <w:r>
              <w:rPr>
                <w:sz w:val="19"/>
                <w:szCs w:val="19"/>
              </w:rPr>
              <w:t xml:space="preserve"> (constants), </w:t>
            </w:r>
            <w:r>
              <w:rPr>
                <w:rFonts w:ascii="Consolas" w:cs="Consolas" w:eastAsia="Consolas" w:hAnsi="Consolas"/>
                <w:color w:val="8B1A1A"/>
                <w:sz w:val="17"/>
                <w:szCs w:val="17"/>
              </w:rPr>
              <w:t xml:space="preserve">EmployeeNumber</w:t>
            </w:r>
            <w:r>
              <w:rPr>
                <w:sz w:val="19"/>
                <w:szCs w:val="19"/>
              </w:rPr>
              <w:t xml:space="preserve"> (ID)</w:t>
            </w:r>
          </w:p>
        </w:tc>
        <w:tc>
          <w:tcPr>
            <w:tcW w:type="dxa" w:w="34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Drop before modeling</w:t>
            </w:r>
          </w:p>
        </w:tc>
      </w:tr>
    </w:tbl>
    <w:p>
      <w:pPr>
        <w:spacing w:after="120"/>
      </w:pPr>
    </w:p>
    <w:p>
      <w:pPr>
        <w:spacing w:after="120" w:line="300"/>
      </w:pPr>
      <w:r>
        <w:t xml:space="preserve">The directions above are theory-based hypotheses to be tested in EDA, not findings. Several pay-rate columns (</w:t>
      </w:r>
      <w:r>
        <w:rPr>
          <w:rFonts w:ascii="Consolas" w:cs="Consolas" w:eastAsia="Consolas" w:hAnsi="Consolas"/>
          <w:color w:val="8B1A1A"/>
          <w:sz w:val="20"/>
          <w:szCs w:val="20"/>
        </w:rPr>
        <w:t xml:space="preserve">HourlyRate</w:t>
      </w:r>
      <w:r>
        <w:t xml:space="preserve">, </w:t>
      </w:r>
      <w:r>
        <w:rPr>
          <w:rFonts w:ascii="Consolas" w:cs="Consolas" w:eastAsia="Consolas" w:hAnsi="Consolas"/>
          <w:color w:val="8B1A1A"/>
          <w:sz w:val="20"/>
          <w:szCs w:val="20"/>
        </w:rPr>
        <w:t xml:space="preserve">DailyRate</w:t>
      </w:r>
      <w:r>
        <w:t xml:space="preserve">, </w:t>
      </w:r>
      <w:r>
        <w:rPr>
          <w:rFonts w:ascii="Consolas" w:cs="Consolas" w:eastAsia="Consolas" w:hAnsi="Consolas"/>
          <w:color w:val="8B1A1A"/>
          <w:sz w:val="20"/>
          <w:szCs w:val="20"/>
        </w:rPr>
        <w:t xml:space="preserve">MonthlyRate</w:t>
      </w:r>
      <w:r>
        <w:t xml:space="preserve">) are widely reported to be weakly informative in this dataset, so check them rather than assume.</w:t>
      </w:r>
    </w:p>
    <w:p>
      <w:pPr>
        <w:pStyle w:val="Heading2"/>
        <w:keepNext/>
        <w:spacing w:after="100" w:before="240"/>
      </w:pPr>
      <w:r>
        <w:t xml:space="preserve">5.4 Analytical plan and research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RQ</w:t>
            </w:r>
          </w:p>
        </w:tc>
        <w:tc>
          <w:tcPr>
            <w:tcW w:type="dxa" w:w="88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0" w:line="260"/>
            </w:pPr>
            <w:r>
              <w:rPr>
                <w:b/>
                <w:bCs/>
                <w:color w:val="FFFFFF"/>
                <w:sz w:val="19"/>
                <w:szCs w:val="19"/>
              </w:rPr>
              <w:t xml:space="preserve">Research question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RQ1</w:t>
            </w:r>
          </w:p>
        </w:tc>
        <w:tc>
          <w:tcPr>
            <w:tcW w:type="dxa" w:w="8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Which employee, job, and work-environment factors are most strongly associated with attrition?</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RQ2</w:t>
            </w:r>
          </w:p>
        </w:tc>
        <w:tc>
          <w:tcPr>
            <w:tcW w:type="dxa" w:w="88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How well can imbalance-aware ensemble models predict attrition compared with a logistic regression baseline, using recall, precision, F1, and PR-AUC?</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RQ3</w:t>
            </w:r>
          </w:p>
        </w:tc>
        <w:tc>
          <w:tcPr>
            <w:tcW w:type="dxa" w:w="8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sz w:val="19"/>
                <w:szCs w:val="19"/>
              </w:rPr>
              <w:t xml:space="preserve">Which drivers matter most for model predictions, and do they align with turnover theory (JD-R, satisfaction, embeddedness)?</w:t>
            </w:r>
          </w:p>
        </w:tc>
      </w:tr>
      <w:tr>
        <w:trPr>
          <w:cantSplit/>
        </w:trPr>
        <w:tc>
          <w:tcPr>
            <w:tcW w:type="dxa" w:w="900"/>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RQ4</w:t>
            </w:r>
          </w:p>
        </w:tc>
        <w:tc>
          <w:tcPr>
            <w:tcW w:type="dxa" w:w="8846"/>
            <w:tcBorders>
              <w:top w:val="single" w:color="BFBFBF" w:sz="4"/>
              <w:left w:val="single" w:color="BFBFBF" w:sz="4"/>
              <w:bottom w:val="single" w:color="BFBFBF" w:sz="4"/>
              <w:right w:val="single" w:color="BFBFBF" w:sz="4"/>
            </w:tcBorders>
            <w:shd w:fill="F5F8FC" w:color="auto" w:val="clear"/>
            <w:tcMar>
              <w:top w:type="dxa" w:w="70"/>
              <w:left w:type="dxa" w:w="100"/>
              <w:bottom w:type="dxa" w:w="70"/>
              <w:right w:type="dxa" w:w="100"/>
            </w:tcMar>
          </w:tcPr>
          <w:p>
            <w:pPr>
              <w:spacing w:after="0" w:line="260"/>
            </w:pPr>
            <w:r>
              <w:rPr>
                <w:sz w:val="19"/>
                <w:szCs w:val="19"/>
              </w:rPr>
              <w:t xml:space="preserve">Which employee segments carry the highest risk, and what retention actions does that imply?</w:t>
            </w:r>
          </w:p>
        </w:tc>
      </w:tr>
    </w:tbl>
    <w:p>
      <w:pPr>
        <w:spacing w:after="120"/>
      </w:pPr>
    </w:p>
    <w:p>
      <w:pPr>
        <w:spacing w:after="120" w:line="300"/>
      </w:pPr>
      <w:r>
        <w:t xml:space="preserve">Suggested analysis stages:</w:t>
      </w:r>
    </w:p>
    <w:p>
      <w:pPr>
        <w:pStyle w:val="ListParagraph"/>
        <w:numPr>
          <w:ilvl w:val="0"/>
          <w:numId w:val="6"/>
        </w:numPr>
        <w:spacing w:after="80" w:line="290"/>
      </w:pPr>
      <w:r>
        <w:rPr>
          <w:b/>
          <w:bCs/>
        </w:rPr>
        <w:t xml:space="preserve">Data audit:</w:t>
      </w:r>
      <w:r>
        <w:t xml:space="preserve"> types, missing values, duplicates, constant columns, target distribution.</w:t>
      </w:r>
    </w:p>
    <w:p>
      <w:pPr>
        <w:pStyle w:val="ListParagraph"/>
        <w:numPr>
          <w:ilvl w:val="0"/>
          <w:numId w:val="6"/>
        </w:numPr>
        <w:spacing w:after="80" w:line="290"/>
      </w:pPr>
      <w:r>
        <w:rPr>
          <w:b/>
          <w:bCs/>
        </w:rPr>
        <w:t xml:space="preserve">EDA:</w:t>
      </w:r>
      <w:r>
        <w:t xml:space="preserve"> attrition rate by each construct group; interaction views (e.g., overtime by job level); correlation and association checks (point-biserial or chi-square, Cramér’s V for categoricals).</w:t>
      </w:r>
    </w:p>
    <w:p>
      <w:pPr>
        <w:pStyle w:val="ListParagraph"/>
        <w:numPr>
          <w:ilvl w:val="0"/>
          <w:numId w:val="6"/>
        </w:numPr>
        <w:spacing w:after="80" w:line="290"/>
      </w:pPr>
      <w:r>
        <w:rPr>
          <w:b/>
          <w:bCs/>
        </w:rPr>
        <w:t xml:space="preserve">Preprocessing:</w:t>
      </w:r>
      <w:r>
        <w:t xml:space="preserve"> one-hot or ordinal encoding as appropriate (several satisfaction scales are ordinal); scale where models need it; stratified split.</w:t>
      </w:r>
    </w:p>
    <w:p>
      <w:pPr>
        <w:pStyle w:val="ListParagraph"/>
        <w:numPr>
          <w:ilvl w:val="0"/>
          <w:numId w:val="6"/>
        </w:numPr>
        <w:spacing w:after="80" w:line="290"/>
      </w:pPr>
      <w:r>
        <w:rPr>
          <w:b/>
          <w:bCs/>
        </w:rPr>
        <w:t xml:space="preserve">Modeling:</w:t>
      </w:r>
      <w:r>
        <w:t xml:space="preserve"> logistic regression baseline; Random Forest, XGBoost, LightGBM; class weights vs. in-fold SMOTE; stratified k-fold cross-validation; hyperparameter search.</w:t>
      </w:r>
    </w:p>
    <w:p>
      <w:pPr>
        <w:pStyle w:val="ListParagraph"/>
        <w:numPr>
          <w:ilvl w:val="0"/>
          <w:numId w:val="6"/>
        </w:numPr>
        <w:spacing w:after="80" w:line="290"/>
      </w:pPr>
      <w:r>
        <w:rPr>
          <w:b/>
          <w:bCs/>
        </w:rPr>
        <w:t xml:space="preserve">Evaluation:</w:t>
      </w:r>
      <w:r>
        <w:t xml:space="preserve"> PR-AUC, recall, precision, F1, confusion matrix on a held-out test set; threshold tuned to a stated cost trade-off; calibration check.</w:t>
      </w:r>
    </w:p>
    <w:p>
      <w:pPr>
        <w:pStyle w:val="ListParagraph"/>
        <w:numPr>
          <w:ilvl w:val="0"/>
          <w:numId w:val="6"/>
        </w:numPr>
        <w:spacing w:after="80" w:line="290"/>
      </w:pPr>
      <w:r>
        <w:rPr>
          <w:b/>
          <w:bCs/>
        </w:rPr>
        <w:t xml:space="preserve">Interpretation:</w:t>
      </w:r>
      <w:r>
        <w:t xml:space="preserve"> permutation importance and SHAP; compare drivers with the theory map above.</w:t>
      </w:r>
    </w:p>
    <w:p>
      <w:pPr>
        <w:pStyle w:val="ListParagraph"/>
        <w:numPr>
          <w:ilvl w:val="0"/>
          <w:numId w:val="6"/>
        </w:numPr>
        <w:spacing w:after="80" w:line="290"/>
      </w:pPr>
      <w:r>
        <w:rPr>
          <w:b/>
          <w:bCs/>
        </w:rPr>
        <w:t xml:space="preserve">Fairness and robustness:</w:t>
      </w:r>
      <w:r>
        <w:t xml:space="preserve"> report performance by gender, age band, and marital status; run sensitivity checks with and without demographic features.</w:t>
      </w:r>
    </w:p>
    <w:p>
      <w:pPr>
        <w:pStyle w:val="ListParagraph"/>
        <w:numPr>
          <w:ilvl w:val="0"/>
          <w:numId w:val="6"/>
        </w:numPr>
        <w:spacing w:after="80" w:line="290"/>
      </w:pPr>
      <w:r>
        <w:rPr>
          <w:b/>
          <w:bCs/>
        </w:rPr>
        <w:t xml:space="preserve">Decision layer:</w:t>
      </w:r>
      <w:r>
        <w:t xml:space="preserve"> Power BI views for attrition by segment, top risk drivers, and a prioritized at-risk list with suggested actions.</w:t>
      </w:r>
    </w:p>
    <w:p>
      <w:pPr>
        <w:pStyle w:val="Heading2"/>
        <w:keepNext/>
        <w:spacing w:after="100" w:before="240"/>
      </w:pPr>
      <w:r>
        <w:t xml:space="preserve">5.5 Limitations and ethical considerations</w:t>
      </w:r>
    </w:p>
    <w:p>
      <w:pPr>
        <w:pStyle w:val="ListParagraph"/>
        <w:numPr>
          <w:ilvl w:val="0"/>
          <w:numId w:val="2"/>
        </w:numPr>
        <w:spacing w:after="80" w:line="290"/>
      </w:pPr>
      <w:r>
        <w:rPr>
          <w:b/>
          <w:bCs/>
        </w:rPr>
        <w:t xml:space="preserve">Synthetic, cross-sectional data.</w:t>
      </w:r>
      <w:r>
        <w:t xml:space="preserve"> Conclusions describe patterns in this dataset, not causal effects in real firms.</w:t>
      </w:r>
    </w:p>
    <w:p>
      <w:pPr>
        <w:pStyle w:val="ListParagraph"/>
        <w:numPr>
          <w:ilvl w:val="0"/>
          <w:numId w:val="2"/>
        </w:numPr>
        <w:spacing w:after="80" w:line="290"/>
      </w:pPr>
      <w:r>
        <w:rPr>
          <w:b/>
          <w:bCs/>
        </w:rPr>
        <w:t xml:space="preserve">Association is not causation.</w:t>
      </w:r>
      <w:r>
        <w:t xml:space="preserve"> Feature importance does not prove that changing a variable (e.g., reducing overtime) will reduce attrition; recommendations should be framed as hypotheses to pilot.</w:t>
      </w:r>
    </w:p>
    <w:p>
      <w:pPr>
        <w:pStyle w:val="ListParagraph"/>
        <w:numPr>
          <w:ilvl w:val="0"/>
          <w:numId w:val="2"/>
        </w:numPr>
        <w:spacing w:after="80" w:line="290"/>
      </w:pPr>
      <w:r>
        <w:rPr>
          <w:b/>
          <w:bCs/>
        </w:rPr>
        <w:t xml:space="preserve">Sensitive attributes.</w:t>
      </w:r>
      <w:r>
        <w:t xml:space="preserve"> Using age, gender, or marital status for individual decisions can be unfair or unlawful in many jurisdictions; model scores should support, not replace, human judgment.</w:t>
      </w:r>
    </w:p>
    <w:p>
      <w:pPr>
        <w:pStyle w:val="ListParagraph"/>
        <w:numPr>
          <w:ilvl w:val="0"/>
          <w:numId w:val="2"/>
        </w:numPr>
        <w:spacing w:after="80" w:line="290"/>
      </w:pPr>
      <w:r>
        <w:rPr>
          <w:b/>
          <w:bCs/>
        </w:rPr>
        <w:t xml:space="preserve">Privacy and consent.</w:t>
      </w:r>
      <w:r>
        <w:t xml:space="preserve"> In real deployments, individual risk scores require governance, transparency, and care to avoid stigmatizing employees.</w:t>
      </w:r>
    </w:p>
    <w:p>
      <w:pPr>
        <w:pStyle w:val="Heading1"/>
        <w:keepNext/>
        <w:pBdr>
          <w:bottom w:val="single" w:color="2E75B6" w:sz="8" w:space="4"/>
        </w:pBdr>
        <w:spacing w:after="160" w:before="360"/>
      </w:pPr>
      <w:r>
        <w:t xml:space="preserve">References</w:t>
      </w:r>
    </w:p>
    <w:p>
      <w:pPr>
        <w:spacing w:after="90" w:line="270"/>
        <w:ind w:left="540" w:hanging="540"/>
      </w:pPr>
      <w:r>
        <w:rPr>
          <w:sz w:val="20"/>
          <w:szCs w:val="20"/>
        </w:rPr>
        <w:t xml:space="preserve">Bakker, A. B., &amp; Demerouti, E. (2007). The Job Demands-Resources model: State of the art. </w:t>
      </w:r>
      <w:r>
        <w:rPr>
          <w:i/>
          <w:iCs/>
          <w:sz w:val="20"/>
          <w:szCs w:val="20"/>
        </w:rPr>
        <w:t xml:space="preserve">Journal of Managerial Psychology, 22</w:t>
      </w:r>
      <w:r>
        <w:rPr>
          <w:sz w:val="20"/>
          <w:szCs w:val="20"/>
        </w:rPr>
        <w:t xml:space="preserve">(3), 309–328.</w:t>
      </w:r>
    </w:p>
    <w:p>
      <w:pPr>
        <w:spacing w:after="90" w:line="270"/>
        <w:ind w:left="540" w:hanging="540"/>
      </w:pPr>
      <w:r>
        <w:rPr>
          <w:sz w:val="20"/>
          <w:szCs w:val="20"/>
        </w:rPr>
        <w:t xml:space="preserve">Breiman, L. (2001). Random forests. </w:t>
      </w:r>
      <w:r>
        <w:rPr>
          <w:i/>
          <w:iCs/>
          <w:sz w:val="20"/>
          <w:szCs w:val="20"/>
        </w:rPr>
        <w:t xml:space="preserve">Machine Learning, 45</w:t>
      </w:r>
      <w:r>
        <w:rPr>
          <w:sz w:val="20"/>
          <w:szCs w:val="20"/>
        </w:rPr>
        <w:t xml:space="preserve">(1), 5–32.</w:t>
      </w:r>
    </w:p>
    <w:p>
      <w:pPr>
        <w:spacing w:after="90" w:line="270"/>
        <w:ind w:left="540" w:hanging="540"/>
      </w:pPr>
      <w:r>
        <w:rPr>
          <w:sz w:val="20"/>
          <w:szCs w:val="20"/>
        </w:rPr>
        <w:t xml:space="preserve">Chawla, N. V., Bowyer, K. W., Hall, L. O., &amp; Kegelmeyer, W. P. (2002). SMOTE: Synthetic minority over-sampling technique. </w:t>
      </w:r>
      <w:r>
        <w:rPr>
          <w:i/>
          <w:iCs/>
          <w:sz w:val="20"/>
          <w:szCs w:val="20"/>
        </w:rPr>
        <w:t xml:space="preserve">Journal of Artificial Intelligence Research, 16</w:t>
      </w:r>
      <w:r>
        <w:rPr>
          <w:sz w:val="20"/>
          <w:szCs w:val="20"/>
        </w:rPr>
        <w:t xml:space="preserve">, 321–357.</w:t>
      </w:r>
    </w:p>
    <w:p>
      <w:pPr>
        <w:spacing w:after="90" w:line="270"/>
        <w:ind w:left="540" w:hanging="540"/>
      </w:pPr>
      <w:r>
        <w:rPr>
          <w:sz w:val="20"/>
          <w:szCs w:val="20"/>
        </w:rPr>
        <w:t xml:space="preserve">Chen, T., &amp; Guestrin, C. (2016). XGBoost: A scalable tree boosting system. </w:t>
      </w:r>
      <w:r>
        <w:rPr>
          <w:i/>
          <w:iCs/>
          <w:sz w:val="20"/>
          <w:szCs w:val="20"/>
        </w:rPr>
        <w:t xml:space="preserve">Proceedings of the 22nd ACM SIGKDD International Conference on Knowledge Discovery and Data Mining</w:t>
      </w:r>
      <w:r>
        <w:rPr>
          <w:sz w:val="20"/>
          <w:szCs w:val="20"/>
        </w:rPr>
        <w:t xml:space="preserve">, 785–794.</w:t>
      </w:r>
    </w:p>
    <w:p>
      <w:pPr>
        <w:spacing w:after="90" w:line="270"/>
        <w:ind w:left="540" w:hanging="540"/>
      </w:pPr>
      <w:r>
        <w:rPr>
          <w:sz w:val="20"/>
          <w:szCs w:val="20"/>
        </w:rPr>
        <w:t xml:space="preserve">Fernández, A., García, S., Herrera, F., &amp; Chawla, N. V. (2018). SMOTE for learning from imbalanced data: Progress and challenges, marking the 15-year anniversary. </w:t>
      </w:r>
      <w:r>
        <w:rPr>
          <w:i/>
          <w:iCs/>
          <w:sz w:val="20"/>
          <w:szCs w:val="20"/>
        </w:rPr>
        <w:t xml:space="preserve">Journal of Artificial Intelligence Research, 61</w:t>
      </w:r>
      <w:r>
        <w:rPr>
          <w:sz w:val="20"/>
          <w:szCs w:val="20"/>
        </w:rPr>
        <w:t xml:space="preserve">, 863–905.</w:t>
      </w:r>
    </w:p>
    <w:p>
      <w:pPr>
        <w:spacing w:after="90" w:line="270"/>
        <w:ind w:left="540" w:hanging="540"/>
      </w:pPr>
      <w:r>
        <w:rPr>
          <w:sz w:val="20"/>
          <w:szCs w:val="20"/>
        </w:rPr>
        <w:t xml:space="preserve">Griffeth, R. W., Hom, P. W., &amp; Gaertner, S. (2000). A meta-analysis of antecedents and correlates of employee turnover: Update, moderator tests, and research implications for the next millennium. </w:t>
      </w:r>
      <w:r>
        <w:rPr>
          <w:i/>
          <w:iCs/>
          <w:sz w:val="20"/>
          <w:szCs w:val="20"/>
        </w:rPr>
        <w:t xml:space="preserve">Journal of Management, 26</w:t>
      </w:r>
      <w:r>
        <w:rPr>
          <w:sz w:val="20"/>
          <w:szCs w:val="20"/>
        </w:rPr>
        <w:t xml:space="preserve">(3), 463–488.</w:t>
      </w:r>
    </w:p>
    <w:p>
      <w:pPr>
        <w:spacing w:after="90" w:line="270"/>
        <w:ind w:left="540" w:hanging="540"/>
      </w:pPr>
      <w:r>
        <w:rPr>
          <w:sz w:val="20"/>
          <w:szCs w:val="20"/>
        </w:rPr>
        <w:t xml:space="preserve">Grinsztajn, L., Oyallon, E., &amp; Varoquaux, G. (2022). Why do tree-based models still outperform deep learning on typical tabular data? </w:t>
      </w:r>
      <w:r>
        <w:rPr>
          <w:i/>
          <w:iCs/>
          <w:sz w:val="20"/>
          <w:szCs w:val="20"/>
        </w:rPr>
        <w:t xml:space="preserve">Advances in Neural Information Processing Systems (NeurIPS 2022), Datasets and Benchmarks Track</w:t>
      </w:r>
      <w:r>
        <w:rPr>
          <w:sz w:val="20"/>
          <w:szCs w:val="20"/>
        </w:rPr>
        <w:t xml:space="preserve">.</w:t>
      </w:r>
    </w:p>
    <w:p>
      <w:pPr>
        <w:spacing w:after="90" w:line="270"/>
        <w:ind w:left="540" w:hanging="540"/>
      </w:pPr>
      <w:r>
        <w:rPr>
          <w:sz w:val="20"/>
          <w:szCs w:val="20"/>
        </w:rPr>
        <w:t xml:space="preserve">Hausknecht, J. P., &amp; Trevor, C. O. (2011). Collective turnover at the group, unit, and organizational levels: Evidence, issues, and implications. </w:t>
      </w:r>
      <w:r>
        <w:rPr>
          <w:i/>
          <w:iCs/>
          <w:sz w:val="20"/>
          <w:szCs w:val="20"/>
        </w:rPr>
        <w:t xml:space="preserve">Journal of Management, 37</w:t>
      </w:r>
      <w:r>
        <w:rPr>
          <w:sz w:val="20"/>
          <w:szCs w:val="20"/>
        </w:rPr>
        <w:t xml:space="preserve">(1), 352–388.</w:t>
      </w:r>
    </w:p>
    <w:p>
      <w:pPr>
        <w:spacing w:after="90" w:line="270"/>
        <w:ind w:left="540" w:hanging="540"/>
      </w:pPr>
      <w:r>
        <w:rPr>
          <w:sz w:val="20"/>
          <w:szCs w:val="20"/>
        </w:rPr>
        <w:t xml:space="preserve">Herzberg, F., Mausner, B., &amp; Snyderman, B. B. (1959). </w:t>
      </w:r>
      <w:r>
        <w:rPr>
          <w:i/>
          <w:iCs/>
          <w:sz w:val="20"/>
          <w:szCs w:val="20"/>
        </w:rPr>
        <w:t xml:space="preserve">The motivation to work</w:t>
      </w:r>
      <w:r>
        <w:rPr>
          <w:sz w:val="20"/>
          <w:szCs w:val="20"/>
        </w:rPr>
        <w:t xml:space="preserve">. Wiley.</w:t>
      </w:r>
    </w:p>
    <w:p>
      <w:pPr>
        <w:spacing w:after="90" w:line="270"/>
        <w:ind w:left="540" w:hanging="540"/>
      </w:pPr>
      <w:r>
        <w:rPr>
          <w:sz w:val="20"/>
          <w:szCs w:val="20"/>
        </w:rPr>
        <w:t xml:space="preserve">Hom, P. W., Lee, T. W., Shaw, J. D., &amp; Hausknecht, J. P. (2017). One hundred years of employee turnover theory and research. </w:t>
      </w:r>
      <w:r>
        <w:rPr>
          <w:i/>
          <w:iCs/>
          <w:sz w:val="20"/>
          <w:szCs w:val="20"/>
        </w:rPr>
        <w:t xml:space="preserve">Journal of Applied Psychology, 102</w:t>
      </w:r>
      <w:r>
        <w:rPr>
          <w:sz w:val="20"/>
          <w:szCs w:val="20"/>
        </w:rPr>
        <w:t xml:space="preserve">(3), 530–545.</w:t>
      </w:r>
    </w:p>
    <w:p>
      <w:pPr>
        <w:spacing w:after="90" w:line="270"/>
        <w:ind w:left="540" w:hanging="540"/>
      </w:pPr>
      <w:r>
        <w:rPr>
          <w:sz w:val="20"/>
          <w:szCs w:val="20"/>
        </w:rPr>
        <w:t xml:space="preserve">Kapoor, S., &amp; Narayanan, A. (2023). Leakage and the reproducibility crisis in machine-learning-based science. </w:t>
      </w:r>
      <w:r>
        <w:rPr>
          <w:i/>
          <w:iCs/>
          <w:sz w:val="20"/>
          <w:szCs w:val="20"/>
        </w:rPr>
        <w:t xml:space="preserve">Patterns, 4</w:t>
      </w:r>
      <w:r>
        <w:rPr>
          <w:sz w:val="20"/>
          <w:szCs w:val="20"/>
        </w:rPr>
        <w:t xml:space="preserve">(9), 100804.</w:t>
      </w:r>
    </w:p>
    <w:p>
      <w:pPr>
        <w:spacing w:after="90" w:line="270"/>
        <w:ind w:left="540" w:hanging="540"/>
      </w:pPr>
      <w:r>
        <w:rPr>
          <w:sz w:val="20"/>
          <w:szCs w:val="20"/>
        </w:rPr>
        <w:t xml:space="preserve">Ke, G., Meng, Q., Finley, T., Wang, T., Chen, W., Ma, W., Ye, Q., &amp; Liu, T.-Y. (2017). LightGBM: A highly efficient gradient boosting decision tree. </w:t>
      </w:r>
      <w:r>
        <w:rPr>
          <w:i/>
          <w:iCs/>
          <w:sz w:val="20"/>
          <w:szCs w:val="20"/>
        </w:rPr>
        <w:t xml:space="preserve">Advances in Neural Information Processing Systems 30</w:t>
      </w:r>
      <w:r>
        <w:rPr>
          <w:sz w:val="20"/>
          <w:szCs w:val="20"/>
        </w:rPr>
        <w:t xml:space="preserve">.</w:t>
      </w:r>
    </w:p>
    <w:p>
      <w:pPr>
        <w:spacing w:after="90" w:line="270"/>
        <w:ind w:left="540" w:hanging="540"/>
      </w:pPr>
      <w:r>
        <w:rPr>
          <w:sz w:val="20"/>
          <w:szCs w:val="20"/>
        </w:rPr>
        <w:t xml:space="preserve">Lee, T. W., &amp; Mitchell, T. R. (1994). An alternative approach: The unfolding model of voluntary employee turnover. </w:t>
      </w:r>
      <w:r>
        <w:rPr>
          <w:i/>
          <w:iCs/>
          <w:sz w:val="20"/>
          <w:szCs w:val="20"/>
        </w:rPr>
        <w:t xml:space="preserve">Academy of Management Review, 19</w:t>
      </w:r>
      <w:r>
        <w:rPr>
          <w:sz w:val="20"/>
          <w:szCs w:val="20"/>
        </w:rPr>
        <w:t xml:space="preserve">(1), 51–89.</w:t>
      </w:r>
    </w:p>
    <w:p>
      <w:pPr>
        <w:spacing w:after="90" w:line="270"/>
        <w:ind w:left="540" w:hanging="540"/>
      </w:pPr>
      <w:r>
        <w:rPr>
          <w:sz w:val="20"/>
          <w:szCs w:val="20"/>
        </w:rPr>
        <w:t xml:space="preserve">Lundberg, S. M., &amp; Lee, S.-I. (2017). A unified approach to interpreting model predictions. </w:t>
      </w:r>
      <w:r>
        <w:rPr>
          <w:i/>
          <w:iCs/>
          <w:sz w:val="20"/>
          <w:szCs w:val="20"/>
        </w:rPr>
        <w:t xml:space="preserve">Advances in Neural Information Processing Systems 30</w:t>
      </w:r>
      <w:r>
        <w:rPr>
          <w:sz w:val="20"/>
          <w:szCs w:val="20"/>
        </w:rPr>
        <w:t xml:space="preserve">.</w:t>
      </w:r>
    </w:p>
    <w:p>
      <w:pPr>
        <w:spacing w:after="90" w:line="270"/>
        <w:ind w:left="540" w:hanging="540"/>
      </w:pPr>
      <w:r>
        <w:rPr>
          <w:sz w:val="20"/>
          <w:szCs w:val="20"/>
        </w:rPr>
        <w:t xml:space="preserve">March, J. G., &amp; Simon, H. A. (1958). </w:t>
      </w:r>
      <w:r>
        <w:rPr>
          <w:i/>
          <w:iCs/>
          <w:sz w:val="20"/>
          <w:szCs w:val="20"/>
        </w:rPr>
        <w:t xml:space="preserve">Organizations</w:t>
      </w:r>
      <w:r>
        <w:rPr>
          <w:sz w:val="20"/>
          <w:szCs w:val="20"/>
        </w:rPr>
        <w:t xml:space="preserve">. Wiley.</w:t>
      </w:r>
    </w:p>
    <w:p>
      <w:pPr>
        <w:spacing w:after="90" w:line="270"/>
        <w:ind w:left="540" w:hanging="540"/>
      </w:pPr>
      <w:r>
        <w:rPr>
          <w:sz w:val="20"/>
          <w:szCs w:val="20"/>
        </w:rPr>
        <w:t xml:space="preserve">Maslach, C., Schaufeli, W. B., &amp; Leiter, M. P. (2001). Job burnout. </w:t>
      </w:r>
      <w:r>
        <w:rPr>
          <w:i/>
          <w:iCs/>
          <w:sz w:val="20"/>
          <w:szCs w:val="20"/>
        </w:rPr>
        <w:t xml:space="preserve">Annual Review of Psychology, 52</w:t>
      </w:r>
      <w:r>
        <w:rPr>
          <w:sz w:val="20"/>
          <w:szCs w:val="20"/>
        </w:rPr>
        <w:t xml:space="preserve">, 397–422.</w:t>
      </w:r>
    </w:p>
    <w:p>
      <w:pPr>
        <w:spacing w:after="90" w:line="270"/>
        <w:ind w:left="540" w:hanging="540"/>
      </w:pPr>
      <w:r>
        <w:rPr>
          <w:sz w:val="20"/>
          <w:szCs w:val="20"/>
        </w:rPr>
        <w:t xml:space="preserve">Mitchell, T. R., Holtom, B. C., Lee, T. W., Sablynski, C. J., &amp; Erez, M. (2001). Why people stay: Using job embeddedness to predict voluntary turnover. </w:t>
      </w:r>
      <w:r>
        <w:rPr>
          <w:i/>
          <w:iCs/>
          <w:sz w:val="20"/>
          <w:szCs w:val="20"/>
        </w:rPr>
        <w:t xml:space="preserve">Academy of Management Journal, 44</w:t>
      </w:r>
      <w:r>
        <w:rPr>
          <w:sz w:val="20"/>
          <w:szCs w:val="20"/>
        </w:rPr>
        <w:t xml:space="preserve">(6), 1102–1121.</w:t>
      </w:r>
    </w:p>
    <w:p>
      <w:pPr>
        <w:spacing w:after="90" w:line="270"/>
        <w:ind w:left="540" w:hanging="540"/>
      </w:pPr>
      <w:r>
        <w:rPr>
          <w:sz w:val="20"/>
          <w:szCs w:val="20"/>
        </w:rPr>
        <w:t xml:space="preserve">Mobley, W. H. (1977). Intermediate linkages in the relationship between job satisfaction and employee turnover. </w:t>
      </w:r>
      <w:r>
        <w:rPr>
          <w:i/>
          <w:iCs/>
          <w:sz w:val="20"/>
          <w:szCs w:val="20"/>
        </w:rPr>
        <w:t xml:space="preserve">Journal of Applied Psychology, 62</w:t>
      </w:r>
      <w:r>
        <w:rPr>
          <w:sz w:val="20"/>
          <w:szCs w:val="20"/>
        </w:rPr>
        <w:t xml:space="preserve">(2), 237–240.</w:t>
      </w:r>
    </w:p>
    <w:p>
      <w:pPr>
        <w:spacing w:after="90" w:line="270"/>
        <w:ind w:left="540" w:hanging="540"/>
      </w:pPr>
      <w:r>
        <w:rPr>
          <w:sz w:val="20"/>
          <w:szCs w:val="20"/>
        </w:rPr>
        <w:t xml:space="preserve">Price, J. L. (1977). </w:t>
      </w:r>
      <w:r>
        <w:rPr>
          <w:i/>
          <w:iCs/>
          <w:sz w:val="20"/>
          <w:szCs w:val="20"/>
        </w:rPr>
        <w:t xml:space="preserve">The study of turnover</w:t>
      </w:r>
      <w:r>
        <w:rPr>
          <w:sz w:val="20"/>
          <w:szCs w:val="20"/>
        </w:rPr>
        <w:t xml:space="preserve">. Iowa State University Press.</w:t>
      </w:r>
    </w:p>
    <w:p>
      <w:pPr>
        <w:spacing w:after="90" w:line="270"/>
        <w:ind w:left="540" w:hanging="540"/>
      </w:pPr>
      <w:r>
        <w:rPr>
          <w:sz w:val="20"/>
          <w:szCs w:val="20"/>
        </w:rPr>
        <w:t xml:space="preserve">Rudin, C. (2019). Stop explaining black box machine learning models for high stakes decisions and use interpretable models instead. </w:t>
      </w:r>
      <w:r>
        <w:rPr>
          <w:i/>
          <w:iCs/>
          <w:sz w:val="20"/>
          <w:szCs w:val="20"/>
        </w:rPr>
        <w:t xml:space="preserve">Nature Machine Intelligence, 1</w:t>
      </w:r>
      <w:r>
        <w:rPr>
          <w:sz w:val="20"/>
          <w:szCs w:val="20"/>
        </w:rPr>
        <w:t xml:space="preserve">, 206–215.</w:t>
      </w:r>
    </w:p>
    <w:p>
      <w:pPr>
        <w:spacing w:after="90" w:line="270"/>
        <w:ind w:left="540" w:hanging="540"/>
      </w:pPr>
      <w:r>
        <w:rPr>
          <w:sz w:val="20"/>
          <w:szCs w:val="20"/>
        </w:rPr>
        <w:t xml:space="preserve">Saito, T., &amp; Rehmsmeier, M. (2015). The precision-recall plot is more informative than the ROC plot when evaluating binary classifiers on imbalanced datasets. </w:t>
      </w:r>
      <w:r>
        <w:rPr>
          <w:i/>
          <w:iCs/>
          <w:sz w:val="20"/>
          <w:szCs w:val="20"/>
        </w:rPr>
        <w:t xml:space="preserve">PLoS ONE, 10</w:t>
      </w:r>
      <w:r>
        <w:rPr>
          <w:sz w:val="20"/>
          <w:szCs w:val="20"/>
        </w:rPr>
        <w:t xml:space="preserve">(3), e0118432.</w:t>
      </w:r>
    </w:p>
    <w:p>
      <w:pPr>
        <w:spacing w:after="90" w:line="270"/>
        <w:ind w:left="540" w:hanging="540"/>
      </w:pPr>
      <w:r>
        <w:rPr>
          <w:sz w:val="20"/>
          <w:szCs w:val="20"/>
        </w:rPr>
        <w:t xml:space="preserve">Sexton, R. S., McMurtrey, S., Michalopoulos, J. O., &amp; Smith, A. M. (2005). Employee turnover: A neural network solution. </w:t>
      </w:r>
      <w:r>
        <w:rPr>
          <w:i/>
          <w:iCs/>
          <w:sz w:val="20"/>
          <w:szCs w:val="20"/>
        </w:rPr>
        <w:t xml:space="preserve">Computers &amp; Operations Research, 32</w:t>
      </w:r>
      <w:r>
        <w:rPr>
          <w:sz w:val="20"/>
          <w:szCs w:val="20"/>
        </w:rPr>
        <w:t xml:space="preserve">(10), 2635–2651.</w:t>
      </w:r>
    </w:p>
    <w:p>
      <w:pPr>
        <w:spacing w:after="90" w:line="270"/>
        <w:ind w:left="540" w:hanging="540"/>
      </w:pPr>
      <w:r>
        <w:rPr>
          <w:sz w:val="20"/>
          <w:szCs w:val="20"/>
        </w:rPr>
        <w:t xml:space="preserve">Tett, R. P., &amp; Meyer, J. P. (1993). Job satisfaction, organizational commitment, turnover intention, and turnover: Path analyses based on meta-analytic findings. </w:t>
      </w:r>
      <w:r>
        <w:rPr>
          <w:i/>
          <w:iCs/>
          <w:sz w:val="20"/>
          <w:szCs w:val="20"/>
        </w:rPr>
        <w:t xml:space="preserve">Personnel Psychology, 46</w:t>
      </w:r>
      <w:r>
        <w:rPr>
          <w:sz w:val="20"/>
          <w:szCs w:val="20"/>
        </w:rPr>
        <w:t xml:space="preserve">(2), 259–293.</w:t>
      </w:r>
    </w:p>
    <w:p>
      <w:pPr>
        <w:spacing w:after="90" w:line="270"/>
        <w:ind w:left="540" w:hanging="540"/>
      </w:pPr>
      <w:r>
        <w:rPr>
          <w:sz w:val="20"/>
          <w:szCs w:val="20"/>
        </w:rPr>
        <w:t xml:space="preserve">Zhao, Y., Hryniewicki, M. K., Cheng, F., Fu, B., &amp; Zhu, X. (2018). Employee turnover prediction with machine learning: A reliable approach. </w:t>
      </w:r>
      <w:r>
        <w:rPr>
          <w:i/>
          <w:iCs/>
          <w:sz w:val="20"/>
          <w:szCs w:val="20"/>
        </w:rPr>
        <w:t xml:space="preserve">Proceedings of SAI Intelligent Systems Conference (IntelliSys)</w:t>
      </w:r>
      <w:r>
        <w:rPr>
          <w:sz w:val="20"/>
          <w:szCs w:val="20"/>
        </w:rPr>
        <w:t xml:space="preserve">, 737–758.</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Employee Attrition: Literature Review &amp; Conceptual Framework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40"/>
    </w:pPr>
    <w:rPr>
      <w:rFonts w:ascii="Calibri" w:cs="Calibri" w:eastAsia="Calibri" w:hAnsi="Calibri"/>
      <w:b/>
      <w:bCs/>
      <w:color w:val="1F3A5F"/>
      <w:sz w:val="52"/>
      <w:szCs w:val="52"/>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2026-10-27T17:46:58.068Z</dcterms:created>
  <dcterms:modified xsi:type="dcterms:W3CDTF">2026-10-27T17:46:58.079Z</dcterms:modified>
</cp:coreProperties>
</file>

<file path=docProps/custom.xml><?xml version="1.0" encoding="utf-8"?>
<Properties xmlns="http://schemas.openxmlformats.org/officeDocument/2006/custom-properties" xmlns:vt="http://schemas.openxmlformats.org/officeDocument/2006/docPropsVTypes"/>
</file>