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B8A8F"/>
          <w:spacing w:val="60"/>
          <w:sz w:val="22"/>
          <w:szCs w:val="22"/>
        </w:rPr>
        <w:t xml:space="preserve">LITERATURE REVIEW &amp; CONCEPTUAL FRAMEWORK</w:t>
      </w:r>
    </w:p>
    <w:p>
      <w:pPr>
        <w:pBdr>
          <w:bottom w:val="single" w:color="1B8A8F" w:sz="18" w:space="8"/>
        </w:pBdr>
        <w:spacing w:after="200"/>
      </w:pPr>
      <w:r>
        <w:rPr>
          <w:rFonts w:ascii="Calibri" w:cs="Calibri" w:eastAsia="Calibri" w:hAnsi="Calibri"/>
          <w:b/>
          <w:bCs/>
          <w:color w:val="1F3A5F"/>
          <w:sz w:val="56"/>
          <w:szCs w:val="56"/>
        </w:rPr>
        <w:t xml:space="preserve">Employee Attrition Prediction &amp; Retention System</w:t>
      </w:r>
    </w:p>
    <w:p>
      <w:pPr>
        <w:spacing w:after="120" w:before="200"/>
      </w:pPr>
      <w:r>
        <w:rPr>
          <w:rFonts w:ascii="Calibri" w:cs="Calibri" w:eastAsia="Calibri" w:hAnsi="Calibri"/>
          <w:i/>
          <w:iCs/>
          <w:color w:val="5A6772"/>
          <w:sz w:val="26"/>
          <w:szCs w:val="26"/>
        </w:rPr>
        <w:t xml:space="preserve">From turnover theory to a leakage-safe, interpretable, and deployable prediction pipeline</w:t>
      </w:r>
    </w:p>
    <w:p>
      <w:pPr>
        <w:spacing w:after="120"/>
      </w:pPr>
    </w:p>
    <w:p>
      <w:pPr>
        <w:spacing w:after="120" w:line="300"/>
      </w:pPr>
      <w:r>
        <w:rPr>
          <w:rFonts w:ascii="Calibri" w:cs="Calibri" w:eastAsia="Calibri" w:hAnsi="Calibri"/>
          <w:b/>
          <w:bCs/>
          <w:sz w:val="22"/>
          <w:szCs w:val="22"/>
        </w:rPr>
        <w:t xml:space="preserve">Dataset:</w:t>
      </w:r>
      <w:r>
        <w:rPr>
          <w:rFonts w:ascii="Calibri" w:cs="Calibri" w:eastAsia="Calibri" w:hAnsi="Calibri"/>
          <w:sz w:val="22"/>
          <w:szCs w:val="22"/>
        </w:rPr>
        <w:t xml:space="preserve"> IBM HR Analytics Employee Attrition &amp; Performance</w:t>
      </w:r>
    </w:p>
    <w:p>
      <w:pPr>
        <w:spacing w:after="120" w:line="300"/>
      </w:pPr>
      <w:r>
        <w:rPr>
          <w:rFonts w:ascii="Calibri" w:cs="Calibri" w:eastAsia="Calibri" w:hAnsi="Calibri"/>
          <w:b/>
          <w:bCs/>
          <w:sz w:val="22"/>
          <w:szCs w:val="22"/>
        </w:rPr>
        <w:t xml:space="preserve">Tools:</w:t>
      </w:r>
      <w:r>
        <w:rPr>
          <w:rFonts w:ascii="Calibri" w:cs="Calibri" w:eastAsia="Calibri" w:hAnsi="Calibri"/>
          <w:sz w:val="22"/>
          <w:szCs w:val="22"/>
        </w:rPr>
        <w:t xml:space="preserve"> Python, scikit-learn, XGBoost, LightGBM, imbalanced-learn (SMOTE), Power BI</w:t>
      </w:r>
    </w:p>
    <w:p>
      <w:pPr>
        <w:spacing w:after="120" w:line="300"/>
      </w:pPr>
      <w:r>
        <w:rPr>
          <w:rFonts w:ascii="Calibri" w:cs="Calibri" w:eastAsia="Calibri" w:hAnsi="Calibri"/>
          <w:b/>
          <w:bCs/>
          <w:sz w:val="22"/>
          <w:szCs w:val="22"/>
        </w:rPr>
        <w:t xml:space="preserve">Programme:</w:t>
      </w:r>
      <w:r>
        <w:rPr>
          <w:rFonts w:ascii="Calibri" w:cs="Calibri" w:eastAsia="Calibri" w:hAnsi="Calibri"/>
          <w:sz w:val="22"/>
          <w:szCs w:val="22"/>
        </w:rPr>
        <w:t xml:space="preserve"> DEPI graduation project</w:t>
      </w:r>
    </w:p>
    <w:p>
      <w:r>
        <w:br w:type="page"/>
      </w:r>
    </w:p>
    <w:p>
      <w:pPr>
        <w:spacing w:after="200"/>
      </w:pPr>
      <w:r>
        <w:rPr>
          <w:rFonts w:ascii="Calibri" w:cs="Calibri" w:eastAsia="Calibri" w:hAnsi="Calibri"/>
          <w:b/>
          <w:bCs/>
          <w:color w:val="1F3A5F"/>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Abstract</w:t>
      </w:r>
    </w:p>
    <w:p>
      <w:pPr>
        <w:spacing w:after="120" w:line="300"/>
      </w:pPr>
      <w:r>
        <w:rPr>
          <w:rFonts w:ascii="Calibri" w:cs="Calibri" w:eastAsia="Calibri" w:hAnsi="Calibri"/>
        </w:rPr>
        <w:t xml:space="preserve">Employee attrition is costly, partly predictable, and still mostly handled reactively. Decades of organizational-behavior research explain </w:t>
      </w:r>
      <w:r>
        <w:rPr>
          <w:rFonts w:ascii="Calibri" w:cs="Calibri" w:eastAsia="Calibri" w:hAnsi="Calibri"/>
          <w:i/>
          <w:iCs/>
        </w:rPr>
        <w:t xml:space="preserve">why</w:t>
      </w:r>
      <w:r>
        <w:rPr>
          <w:rFonts w:ascii="Calibri" w:cs="Calibri" w:eastAsia="Calibri" w:hAnsi="Calibri"/>
        </w:rPr>
        <w:t xml:space="preserve"> people leave; a newer body of HR-analytics work shows that supervised machine learning can estimate </w:t>
      </w:r>
      <w:r>
        <w:rPr>
          <w:rFonts w:ascii="Calibri" w:cs="Calibri" w:eastAsia="Calibri" w:hAnsi="Calibri"/>
          <w:i/>
          <w:iCs/>
        </w:rPr>
        <w:t xml:space="preserve">who</w:t>
      </w:r>
      <w:r>
        <w:rPr>
          <w:rFonts w:ascii="Calibri" w:cs="Calibri" w:eastAsia="Calibri" w:hAnsi="Calibri"/>
        </w:rPr>
        <w:t xml:space="preserve"> is likely to leave. Most applied work on the IBM HR Analytics dataset, however, reports headline accuracy on an imbalanced 1,470-row sample, compares algorithms without a shared protocol, and stops at a model score.</w:t>
      </w:r>
    </w:p>
    <w:p>
      <w:pPr>
        <w:spacing w:after="120" w:line="300"/>
      </w:pPr>
      <w:r>
        <w:rPr>
          <w:rFonts w:ascii="Calibri" w:cs="Calibri" w:eastAsia="Calibri" w:hAnsi="Calibri"/>
        </w:rPr>
        <w:t xml:space="preserve">This review establishes the theoretical and empirical context for our project, identifies where the literature is thin, justifies a methodology designed to close those gaps, separates what is already settled from what is worth doing, and ends with a conceptual framework that maps theory to the dataset’s variables and to our modeling pipeline.</w:t>
      </w:r>
    </w:p>
    <w:p>
      <w:pPr>
        <w:pStyle w:val="Heading1"/>
      </w:pPr>
      <w:r>
        <w:rPr>
          <w:rFonts w:ascii="Calibri" w:cs="Calibri" w:eastAsia="Calibri" w:hAnsi="Calibri"/>
        </w:rPr>
        <w:t xml:space="preserve">1. Context and Foundational Knowledge</w:t>
      </w:r>
    </w:p>
    <w:p>
      <w:pPr>
        <w:pStyle w:val="Heading2"/>
      </w:pPr>
      <w:r>
        <w:rPr>
          <w:rFonts w:ascii="Calibri" w:cs="Calibri" w:eastAsia="Calibri" w:hAnsi="Calibri"/>
        </w:rPr>
        <w:t xml:space="preserve">1.1 Definitions</w:t>
      </w:r>
    </w:p>
    <w:p>
      <w:pPr>
        <w:pStyle w:val="ListParagraph"/>
        <w:numPr>
          <w:ilvl w:val="0"/>
          <w:numId w:val="2"/>
        </w:numPr>
        <w:spacing w:after="70" w:line="290"/>
      </w:pPr>
      <w:r>
        <w:rPr>
          <w:rFonts w:ascii="Calibri" w:cs="Calibri" w:eastAsia="Calibri" w:hAnsi="Calibri"/>
          <w:b/>
          <w:bCs/>
        </w:rPr>
        <w:t xml:space="preserve">Attrition (turnover):</w:t>
      </w:r>
      <w:r>
        <w:rPr>
          <w:rFonts w:ascii="Calibri" w:cs="Calibri" w:eastAsia="Calibri" w:hAnsi="Calibri"/>
        </w:rPr>
        <w:t xml:space="preserve"> an employee’s permanent exit from the organization. Research distinguishes </w:t>
      </w:r>
      <w:r>
        <w:rPr>
          <w:rFonts w:ascii="Calibri" w:cs="Calibri" w:eastAsia="Calibri" w:hAnsi="Calibri"/>
          <w:i/>
          <w:iCs/>
        </w:rPr>
        <w:t xml:space="preserve">voluntary</w:t>
      </w:r>
      <w:r>
        <w:rPr>
          <w:rFonts w:ascii="Calibri" w:cs="Calibri" w:eastAsia="Calibri" w:hAnsi="Calibri"/>
        </w:rPr>
        <w:t xml:space="preserve"> from </w:t>
      </w:r>
      <w:r>
        <w:rPr>
          <w:rFonts w:ascii="Calibri" w:cs="Calibri" w:eastAsia="Calibri" w:hAnsi="Calibri"/>
          <w:i/>
          <w:iCs/>
        </w:rPr>
        <w:t xml:space="preserve">involuntary</w:t>
      </w:r>
      <w:r>
        <w:rPr>
          <w:rFonts w:ascii="Calibri" w:cs="Calibri" w:eastAsia="Calibri" w:hAnsi="Calibri"/>
        </w:rPr>
        <w:t xml:space="preserve"> exits and </w:t>
      </w:r>
      <w:r>
        <w:rPr>
          <w:rFonts w:ascii="Calibri" w:cs="Calibri" w:eastAsia="Calibri" w:hAnsi="Calibri"/>
          <w:i/>
          <w:iCs/>
        </w:rPr>
        <w:t xml:space="preserve">functional</w:t>
      </w:r>
      <w:r>
        <w:rPr>
          <w:rFonts w:ascii="Calibri" w:cs="Calibri" w:eastAsia="Calibri" w:hAnsi="Calibri"/>
        </w:rPr>
        <w:t xml:space="preserve"> from </w:t>
      </w:r>
      <w:r>
        <w:rPr>
          <w:rFonts w:ascii="Calibri" w:cs="Calibri" w:eastAsia="Calibri" w:hAnsi="Calibri"/>
          <w:i/>
          <w:iCs/>
        </w:rPr>
        <w:t xml:space="preserve">dysfunctional</w:t>
      </w:r>
      <w:r>
        <w:rPr>
          <w:rFonts w:ascii="Calibri" w:cs="Calibri" w:eastAsia="Calibri" w:hAnsi="Calibri"/>
        </w:rPr>
        <w:t xml:space="preserve"> turnover. Our dataset records a single binary label (</w:t>
      </w:r>
      <w:r>
        <w:rPr>
          <w:rFonts w:ascii="Consolas" w:cs="Consolas" w:eastAsia="Consolas" w:hAnsi="Consolas"/>
          <w:color w:val="8A2D5B"/>
          <w:sz w:val="20"/>
          <w:szCs w:val="20"/>
        </w:rPr>
        <w:t xml:space="preserve">Attrition</w:t>
      </w:r>
      <w:r>
        <w:rPr>
          <w:rFonts w:ascii="Calibri" w:cs="Calibri" w:eastAsia="Calibri" w:hAnsi="Calibri"/>
        </w:rPr>
        <w:t xml:space="preserve"> = Yes/No) and does not distinguish these, which we treat as a limitation.</w:t>
      </w:r>
    </w:p>
    <w:p>
      <w:pPr>
        <w:pStyle w:val="ListParagraph"/>
        <w:numPr>
          <w:ilvl w:val="0"/>
          <w:numId w:val="2"/>
        </w:numPr>
        <w:spacing w:after="70" w:line="290"/>
      </w:pPr>
      <w:r>
        <w:rPr>
          <w:rFonts w:ascii="Calibri" w:cs="Calibri" w:eastAsia="Calibri" w:hAnsi="Calibri"/>
          <w:b/>
          <w:bCs/>
        </w:rPr>
        <w:t xml:space="preserve">Turnover intention:</w:t>
      </w:r>
      <w:r>
        <w:rPr>
          <w:rFonts w:ascii="Calibri" w:cs="Calibri" w:eastAsia="Calibri" w:hAnsi="Calibri"/>
        </w:rPr>
        <w:t xml:space="preserve"> the stated likelihood of leaving, a well-established proximal predictor of exit. It is not available in our data, so we predict observed exit directly.</w:t>
      </w:r>
    </w:p>
    <w:p>
      <w:pPr>
        <w:pStyle w:val="ListParagraph"/>
        <w:numPr>
          <w:ilvl w:val="0"/>
          <w:numId w:val="2"/>
        </w:numPr>
        <w:spacing w:after="70" w:line="290"/>
      </w:pPr>
      <w:r>
        <w:rPr>
          <w:rFonts w:ascii="Calibri" w:cs="Calibri" w:eastAsia="Calibri" w:hAnsi="Calibri"/>
          <w:b/>
          <w:bCs/>
        </w:rPr>
        <w:t xml:space="preserve">Attrition risk score:</w:t>
      </w:r>
      <w:r>
        <w:rPr>
          <w:rFonts w:ascii="Calibri" w:cs="Calibri" w:eastAsia="Calibri" w:hAnsi="Calibri"/>
        </w:rPr>
        <w:t xml:space="preserve"> the model’s predicted probability of exit for an active employee, used to prioritize retention conversations rather than to make adverse decisions.</w:t>
      </w:r>
    </w:p>
    <w:p>
      <w:pPr>
        <w:pStyle w:val="Heading2"/>
      </w:pPr>
      <w:r>
        <w:rPr>
          <w:rFonts w:ascii="Calibri" w:cs="Calibri" w:eastAsia="Calibri" w:hAnsi="Calibri"/>
        </w:rPr>
        <w:t xml:space="preserve">1.2 Why it matters</w:t>
      </w:r>
    </w:p>
    <w:p>
      <w:pPr>
        <w:spacing w:after="120" w:line="300"/>
      </w:pPr>
      <w:r>
        <w:rPr>
          <w:rFonts w:ascii="Calibri" w:cs="Calibri" w:eastAsia="Calibri" w:hAnsi="Calibri"/>
        </w:rPr>
        <w:t xml:space="preserve">Losing an employee brings direct costs (recruiting, onboarding, training) and indirect ones (lost knowledge, lower team productivity, reputational effects). Estimates of replacement cost vary widely by role and source, so we avoid committing to a single figure; the consistent point in the literature is that exits are expensive enough to justify early, targeted intervention (Fallucchi et al., 2020; Zhao et al., 2019).</w:t>
      </w:r>
    </w:p>
    <w:p>
      <w:pPr>
        <w:pStyle w:val="Heading2"/>
      </w:pPr>
      <w:r>
        <w:rPr>
          <w:rFonts w:ascii="Calibri" w:cs="Calibri" w:eastAsia="Calibri" w:hAnsi="Calibri"/>
        </w:rPr>
        <w:t xml:space="preserve">1.3 Historical background: from theory to prediction</w:t>
      </w:r>
    </w:p>
    <w:p>
      <w:pPr>
        <w:spacing w:after="120" w:line="300"/>
      </w:pPr>
      <w:r>
        <w:rPr>
          <w:rFonts w:ascii="Calibri" w:cs="Calibri" w:eastAsia="Calibri" w:hAnsi="Calibri"/>
          <w:b/>
          <w:bCs/>
        </w:rPr>
        <w:t xml:space="preserve">Classical process and need theories.</w:t>
      </w:r>
      <w:r>
        <w:rPr>
          <w:rFonts w:ascii="Calibri" w:cs="Calibri" w:eastAsia="Calibri" w:hAnsi="Calibri"/>
        </w:rPr>
        <w:t xml:space="preserve"> March and Simon (1958) framed exit as a balance between the </w:t>
      </w:r>
      <w:r>
        <w:rPr>
          <w:rFonts w:ascii="Calibri" w:cs="Calibri" w:eastAsia="Calibri" w:hAnsi="Calibri"/>
          <w:i/>
          <w:iCs/>
        </w:rPr>
        <w:t xml:space="preserve">perceived desirability</w:t>
      </w:r>
      <w:r>
        <w:rPr>
          <w:rFonts w:ascii="Calibri" w:cs="Calibri" w:eastAsia="Calibri" w:hAnsi="Calibri"/>
        </w:rPr>
        <w:t xml:space="preserve"> of leaving (largely dissatisfaction) and the </w:t>
      </w:r>
      <w:r>
        <w:rPr>
          <w:rFonts w:ascii="Calibri" w:cs="Calibri" w:eastAsia="Calibri" w:hAnsi="Calibri"/>
          <w:i/>
          <w:iCs/>
        </w:rPr>
        <w:t xml:space="preserve">ease of movement</w:t>
      </w:r>
      <w:r>
        <w:rPr>
          <w:rFonts w:ascii="Calibri" w:cs="Calibri" w:eastAsia="Calibri" w:hAnsi="Calibri"/>
        </w:rPr>
        <w:t xml:space="preserve"> (alternatives). Herzberg’s two-factor theory (1959) separated hygiene factors (pay, conditions) from motivators (achievement, growth). Mobley (1977) and Price (1977) turned these ideas into process models in which dissatisfaction leads to thoughts of quitting, search, intention, and finally exit.</w:t>
      </w:r>
    </w:p>
    <w:p>
      <w:pPr>
        <w:spacing w:after="120" w:line="300"/>
      </w:pPr>
      <w:r>
        <w:rPr>
          <w:rFonts w:ascii="Calibri" w:cs="Calibri" w:eastAsia="Calibri" w:hAnsi="Calibri"/>
          <w:b/>
          <w:bCs/>
        </w:rPr>
        <w:t xml:space="preserve">Unfolding and embeddedness.</w:t>
      </w:r>
      <w:r>
        <w:rPr>
          <w:rFonts w:ascii="Calibri" w:cs="Calibri" w:eastAsia="Calibri" w:hAnsi="Calibri"/>
        </w:rPr>
        <w:t xml:space="preserve"> Lee and Mitchell’s (1994) </w:t>
      </w:r>
      <w:r>
        <w:rPr>
          <w:rFonts w:ascii="Calibri" w:cs="Calibri" w:eastAsia="Calibri" w:hAnsi="Calibri"/>
          <w:i/>
          <w:iCs/>
        </w:rPr>
        <w:t xml:space="preserve">unfolding model</w:t>
      </w:r>
      <w:r>
        <w:rPr>
          <w:rFonts w:ascii="Calibri" w:cs="Calibri" w:eastAsia="Calibri" w:hAnsi="Calibri"/>
        </w:rPr>
        <w:t xml:space="preserve"> argued that many exits are triggered by “shocks” (a missed promotion, a manager change) rather than gradual dissatisfaction. Later work on job embeddedness showed that links, fit, and sacrifice keep people in place regardless of satisfaction (Holtom et al., 2008; Allen et al., 2010).</w:t>
      </w:r>
    </w:p>
    <w:p>
      <w:pPr>
        <w:spacing w:after="120" w:line="300"/>
      </w:pPr>
      <w:r>
        <w:rPr>
          <w:rFonts w:ascii="Calibri" w:cs="Calibri" w:eastAsia="Calibri" w:hAnsi="Calibri"/>
          <w:b/>
          <w:bCs/>
        </w:rPr>
        <w:t xml:space="preserve">Empirical consolidation.</w:t>
      </w:r>
      <w:r>
        <w:rPr>
          <w:rFonts w:ascii="Calibri" w:cs="Calibri" w:eastAsia="Calibri" w:hAnsi="Calibri"/>
        </w:rPr>
        <w:t xml:space="preserve"> Meta-analyses (Griffeth et al., 2000) and the century-long review by Hom et al. (2017) converge on a stable set of correlates: job satisfaction, commitment, tenure, age, pay, and relationships with supervisors. Individual effect sizes are modest, which is exactly why multivariate prediction is attractive.</w:t>
      </w:r>
    </w:p>
    <w:p>
      <w:pPr>
        <w:spacing w:after="120" w:line="300"/>
      </w:pPr>
      <w:r>
        <w:rPr>
          <w:rFonts w:ascii="Calibri" w:cs="Calibri" w:eastAsia="Calibri" w:hAnsi="Calibri"/>
          <w:b/>
          <w:bCs/>
        </w:rPr>
        <w:t xml:space="preserve">Burnout and workload.</w:t>
      </w:r>
      <w:r>
        <w:rPr>
          <w:rFonts w:ascii="Calibri" w:cs="Calibri" w:eastAsia="Calibri" w:hAnsi="Calibri"/>
        </w:rPr>
        <w:t xml:space="preserve"> The burnout literature (Maslach et al., 2001) links chronic overload, long hours, and low recovery to exhaustion, disengagement, and exit. In HR datasets burnout is rarely measured directly; overtime, travel, and work-life-balance ratings serve as proxies.</w:t>
      </w:r>
    </w:p>
    <w:p>
      <w:pPr>
        <w:spacing w:after="120" w:line="300"/>
      </w:pPr>
      <w:r>
        <w:rPr>
          <w:rFonts w:ascii="Calibri" w:cs="Calibri" w:eastAsia="Calibri" w:hAnsi="Calibri"/>
          <w:b/>
          <w:bCs/>
        </w:rPr>
        <w:t xml:space="preserve">The analytics turn.</w:t>
      </w:r>
      <w:r>
        <w:rPr>
          <w:rFonts w:ascii="Calibri" w:cs="Calibri" w:eastAsia="Calibri" w:hAnsi="Calibri"/>
        </w:rPr>
        <w:t xml:space="preserve"> As HR information systems accumulated records, researchers began applying supervised classifiers to turnover, from neural networks (Sexton et al., 2005) to tree ensembles and gradient boosting (Zhao et al., 2019; Fallucchi et al., 2020).</w:t>
      </w:r>
    </w:p>
    <w:p>
      <w:pPr>
        <w:pStyle w:val="Heading2"/>
      </w:pPr>
      <w:r>
        <w:rPr>
          <w:rFonts w:ascii="Calibri" w:cs="Calibri" w:eastAsia="Calibri" w:hAnsi="Calibri"/>
        </w:rPr>
        <w:t xml:space="preserve">1.4 Key drivers of turnover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tblHeader/>
        </w:trPr>
        <w:tc>
          <w:tcPr>
            <w:tcW w:type="dxa" w:w="2400"/>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Driver family</w:t>
            </w:r>
          </w:p>
        </w:tc>
        <w:tc>
          <w:tcPr>
            <w:tcW w:type="dxa" w:w="3000"/>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Core idea</w:t>
            </w:r>
          </w:p>
        </w:tc>
        <w:tc>
          <w:tcPr>
            <w:tcW w:type="dxa" w:w="4238"/>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Typical empirical signal</w:t>
            </w:r>
          </w:p>
        </w:tc>
      </w:tr>
      <w:tr>
        <w:trPr>
          <w:cantSplit/>
        </w:trPr>
        <w:tc>
          <w:tcPr>
            <w:tcW w:type="dxa" w:w="24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Job satisfaction &amp; engagement</w:t>
            </w:r>
          </w:p>
        </w:tc>
        <w:tc>
          <w:tcPr>
            <w:tcW w:type="dxa" w:w="30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Dissatisfaction raises intention to quit</w:t>
            </w:r>
          </w:p>
        </w:tc>
        <w:tc>
          <w:tcPr>
            <w:tcW w:type="dxa" w:w="42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Lower satisfaction, involvement and environment ratings among leavers</w:t>
            </w:r>
          </w:p>
        </w:tc>
      </w:tr>
      <w:tr>
        <w:trPr>
          <w:cantSplit/>
        </w:trPr>
        <w:tc>
          <w:tcPr>
            <w:tcW w:type="dxa" w:w="24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Compensation &amp; rewards</w:t>
            </w:r>
          </w:p>
        </w:tc>
        <w:tc>
          <w:tcPr>
            <w:tcW w:type="dxa" w:w="30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Pay relative to role, level and market</w:t>
            </w:r>
          </w:p>
        </w:tc>
        <w:tc>
          <w:tcPr>
            <w:tcW w:type="dxa" w:w="42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Lower income and stock-option level among leavers; interacts with level and tenure</w:t>
            </w:r>
          </w:p>
        </w:tc>
      </w:tr>
      <w:tr>
        <w:trPr>
          <w:cantSplit/>
        </w:trPr>
        <w:tc>
          <w:tcPr>
            <w:tcW w:type="dxa" w:w="24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Workload &amp; burnout</w:t>
            </w:r>
          </w:p>
        </w:tc>
        <w:tc>
          <w:tcPr>
            <w:tcW w:type="dxa" w:w="30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Sustained overload erodes well-being</w:t>
            </w:r>
          </w:p>
        </w:tc>
        <w:tc>
          <w:tcPr>
            <w:tcW w:type="dxa" w:w="42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Overtime and frequent travel associated with exit</w:t>
            </w:r>
          </w:p>
        </w:tc>
      </w:tr>
      <w:tr>
        <w:trPr>
          <w:cantSplit/>
        </w:trPr>
        <w:tc>
          <w:tcPr>
            <w:tcW w:type="dxa" w:w="24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Work-life balance</w:t>
            </w:r>
          </w:p>
        </w:tc>
        <w:tc>
          <w:tcPr>
            <w:tcW w:type="dxa" w:w="30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Conflict between work and personal life</w:t>
            </w:r>
          </w:p>
        </w:tc>
        <w:tc>
          <w:tcPr>
            <w:tcW w:type="dxa" w:w="42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Poor balance ratings, long commutes</w:t>
            </w:r>
          </w:p>
        </w:tc>
      </w:tr>
      <w:tr>
        <w:trPr>
          <w:cantSplit/>
        </w:trPr>
        <w:tc>
          <w:tcPr>
            <w:tcW w:type="dxa" w:w="24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Career progression</w:t>
            </w:r>
          </w:p>
        </w:tc>
        <w:tc>
          <w:tcPr>
            <w:tcW w:type="dxa" w:w="30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Stalled growth triggers search</w:t>
            </w:r>
          </w:p>
        </w:tc>
        <w:tc>
          <w:tcPr>
            <w:tcW w:type="dxa" w:w="42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Long time since last promotion, short time in role</w:t>
            </w:r>
          </w:p>
        </w:tc>
      </w:tr>
      <w:tr>
        <w:trPr>
          <w:cantSplit/>
        </w:trPr>
        <w:tc>
          <w:tcPr>
            <w:tcW w:type="dxa" w:w="24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Tenure &amp; embeddedness</w:t>
            </w:r>
          </w:p>
        </w:tc>
        <w:tc>
          <w:tcPr>
            <w:tcW w:type="dxa" w:w="30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Early-tenure fragility; later-tenure stickiness</w:t>
            </w:r>
          </w:p>
        </w:tc>
        <w:tc>
          <w:tcPr>
            <w:tcW w:type="dxa" w:w="42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Highest risk in the first years; lower with seniority</w:t>
            </w:r>
          </w:p>
        </w:tc>
      </w:tr>
      <w:tr>
        <w:trPr>
          <w:cantSplit/>
        </w:trPr>
        <w:tc>
          <w:tcPr>
            <w:tcW w:type="dxa" w:w="24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Manager &amp; relationships</w:t>
            </w:r>
          </w:p>
        </w:tc>
        <w:tc>
          <w:tcPr>
            <w:tcW w:type="dxa" w:w="30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Supervisor quality shapes retention</w:t>
            </w:r>
          </w:p>
        </w:tc>
        <w:tc>
          <w:tcPr>
            <w:tcW w:type="dxa" w:w="42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Short time with current manager, low relationship satisfaction</w:t>
            </w:r>
          </w:p>
        </w:tc>
      </w:tr>
      <w:tr>
        <w:trPr>
          <w:cantSplit/>
        </w:trPr>
        <w:tc>
          <w:tcPr>
            <w:tcW w:type="dxa" w:w="24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Demographics &amp; job history</w:t>
            </w:r>
          </w:p>
        </w:tc>
        <w:tc>
          <w:tcPr>
            <w:tcW w:type="dxa" w:w="30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Life stage, mobility</w:t>
            </w:r>
          </w:p>
        </w:tc>
        <w:tc>
          <w:tcPr>
            <w:tcW w:type="dxa" w:w="42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Younger age, more prior employers</w:t>
            </w:r>
          </w:p>
        </w:tc>
      </w:tr>
    </w:tbl>
    <w:p>
      <w:pPr>
        <w:spacing w:after="120"/>
      </w:pPr>
    </w:p>
    <w:p>
      <w:pPr>
        <w:spacing w:after="120" w:line="300"/>
      </w:pPr>
      <w:r>
        <w:rPr>
          <w:rFonts w:ascii="Calibri" w:cs="Calibri" w:eastAsia="Calibri" w:hAnsi="Calibri"/>
        </w:rPr>
        <w:t xml:space="preserve">Predictors reported most often in studies on the IBM data include overtime, monthly income, job satisfaction, and years at company, which is consistent with the theory above.</w:t>
      </w:r>
    </w:p>
    <w:p>
      <w:pPr>
        <w:pStyle w:val="Heading2"/>
      </w:pPr>
      <w:r>
        <w:rPr>
          <w:rFonts w:ascii="Calibri" w:cs="Calibri" w:eastAsia="Calibri" w:hAnsi="Calibri"/>
        </w:rPr>
        <w:t xml:space="preserve">1.5 Current state of practice</w:t>
      </w:r>
    </w:p>
    <w:p>
      <w:pPr>
        <w:spacing w:after="120" w:line="300"/>
      </w:pPr>
      <w:r>
        <w:rPr>
          <w:rFonts w:ascii="Calibri" w:cs="Calibri" w:eastAsia="Calibri" w:hAnsi="Calibri"/>
        </w:rPr>
        <w:t xml:space="preserve">Organizations increasingly use dashboards and predictive models to move from </w:t>
      </w:r>
      <w:r>
        <w:rPr>
          <w:rFonts w:ascii="Calibri" w:cs="Calibri" w:eastAsia="Calibri" w:hAnsi="Calibri"/>
          <w:i/>
          <w:iCs/>
        </w:rPr>
        <w:t xml:space="preserve">reactive</w:t>
      </w:r>
      <w:r>
        <w:rPr>
          <w:rFonts w:ascii="Calibri" w:cs="Calibri" w:eastAsia="Calibri" w:hAnsi="Calibri"/>
        </w:rPr>
        <w:t xml:space="preserve"> exit interviews to </w:t>
      </w:r>
      <w:r>
        <w:rPr>
          <w:rFonts w:ascii="Calibri" w:cs="Calibri" w:eastAsia="Calibri" w:hAnsi="Calibri"/>
          <w:i/>
          <w:iCs/>
        </w:rPr>
        <w:t xml:space="preserve">proactive</w:t>
      </w:r>
      <w:r>
        <w:rPr>
          <w:rFonts w:ascii="Calibri" w:cs="Calibri" w:eastAsia="Calibri" w:hAnsi="Calibri"/>
        </w:rPr>
        <w:t xml:space="preserve"> retention. Work on the IBM dataset follows a common recipe: clean and encode, resample the minority class (usually SMOTE), train Random Forest, XGBoost or logistic regression, report accuracy, recall and F1, and sometimes visualize results. Our project keeps this recipe’s strengths and tightens its weak points.</w:t>
      </w:r>
    </w:p>
    <w:p>
      <w:pPr>
        <w:pStyle w:val="Heading1"/>
      </w:pPr>
      <w:r>
        <w:rPr>
          <w:rFonts w:ascii="Calibri" w:cs="Calibri" w:eastAsia="Calibri" w:hAnsi="Calibri"/>
        </w:rPr>
        <w:t xml:space="preserve">2. The Research Gap</w:t>
      </w:r>
    </w:p>
    <w:p>
      <w:pPr>
        <w:pStyle w:val="Heading2"/>
      </w:pPr>
      <w:r>
        <w:rPr>
          <w:rFonts w:ascii="Calibri" w:cs="Calibri" w:eastAsia="Calibri" w:hAnsi="Calibri"/>
        </w:rPr>
        <w:t xml:space="preserve">2.1 What is known about attrition prediction models</w:t>
      </w:r>
    </w:p>
    <w:p>
      <w:pPr>
        <w:pStyle w:val="ListParagraph"/>
        <w:numPr>
          <w:ilvl w:val="0"/>
          <w:numId w:val="2"/>
        </w:numPr>
        <w:spacing w:after="70" w:line="290"/>
      </w:pPr>
      <w:r>
        <w:rPr>
          <w:rFonts w:ascii="Calibri" w:cs="Calibri" w:eastAsia="Calibri" w:hAnsi="Calibri"/>
          <w:b/>
          <w:bCs/>
        </w:rPr>
        <w:t xml:space="preserve">Many algorithms work reasonably well.</w:t>
      </w:r>
      <w:r>
        <w:rPr>
          <w:rFonts w:ascii="Calibri" w:cs="Calibri" w:eastAsia="Calibri" w:hAnsi="Calibri"/>
        </w:rPr>
        <w:t xml:space="preserve"> Studies on the IBM data have applied Naïve Bayes, SVM, k-NN, decision trees, Random Forest, AdaBoost, gradient boosting, XGBoost, stacking and neural networks (Fallucchi et al., 2020; Raza et al., 2022). The “winner” changes from study to study.</w:t>
      </w:r>
    </w:p>
    <w:p>
      <w:pPr>
        <w:pStyle w:val="ListParagraph"/>
        <w:numPr>
          <w:ilvl w:val="0"/>
          <w:numId w:val="2"/>
        </w:numPr>
        <w:spacing w:after="70" w:line="290"/>
      </w:pPr>
      <w:r>
        <w:rPr>
          <w:rFonts w:ascii="Calibri" w:cs="Calibri" w:eastAsia="Calibri" w:hAnsi="Calibri"/>
          <w:b/>
          <w:bCs/>
        </w:rPr>
        <w:t xml:space="preserve">Tree ensembles are a strong default.</w:t>
      </w:r>
      <w:r>
        <w:rPr>
          <w:rFonts w:ascii="Calibri" w:cs="Calibri" w:eastAsia="Calibri" w:hAnsi="Calibri"/>
        </w:rPr>
        <w:t xml:space="preserve"> Random Forest and boosted trees recur as top performers on this tabular data and provide feature importances.</w:t>
      </w:r>
    </w:p>
    <w:p>
      <w:pPr>
        <w:pStyle w:val="ListParagraph"/>
        <w:numPr>
          <w:ilvl w:val="0"/>
          <w:numId w:val="2"/>
        </w:numPr>
        <w:spacing w:after="70" w:line="290"/>
      </w:pPr>
      <w:r>
        <w:rPr>
          <w:rFonts w:ascii="Calibri" w:cs="Calibri" w:eastAsia="Calibri" w:hAnsi="Calibri"/>
          <w:b/>
          <w:bCs/>
        </w:rPr>
        <w:t xml:space="preserve">Class imbalance is the central technical problem.</w:t>
      </w:r>
      <w:r>
        <w:rPr>
          <w:rFonts w:ascii="Calibri" w:cs="Calibri" w:eastAsia="Calibri" w:hAnsi="Calibri"/>
        </w:rPr>
        <w:t xml:space="preserve"> Leavers are a small minority, and SMOTE is the standard remedy (Chawla et al., 2002).</w:t>
      </w:r>
    </w:p>
    <w:p>
      <w:pPr>
        <w:pStyle w:val="ListParagraph"/>
        <w:numPr>
          <w:ilvl w:val="0"/>
          <w:numId w:val="2"/>
        </w:numPr>
        <w:spacing w:after="70" w:line="290"/>
      </w:pPr>
      <w:r>
        <w:rPr>
          <w:rFonts w:ascii="Calibri" w:cs="Calibri" w:eastAsia="Calibri" w:hAnsi="Calibri"/>
          <w:b/>
          <w:bCs/>
        </w:rPr>
        <w:t xml:space="preserve">Complexity does not guarantee gains.</w:t>
      </w:r>
      <w:r>
        <w:rPr>
          <w:rFonts w:ascii="Calibri" w:cs="Calibri" w:eastAsia="Calibri" w:hAnsi="Calibri"/>
        </w:rPr>
        <w:t xml:space="preserve"> A Master’s thesis comparing neural networks with k-NN, SVM and Random Forest on this dataset concluded that neural networks did not reliably outperform traditional methods once the data were balanced.</w:t>
      </w:r>
    </w:p>
    <w:p>
      <w:pPr>
        <w:pStyle w:val="ListParagraph"/>
        <w:numPr>
          <w:ilvl w:val="0"/>
          <w:numId w:val="2"/>
        </w:numPr>
        <w:spacing w:after="70" w:line="290"/>
      </w:pPr>
      <w:r>
        <w:rPr>
          <w:rFonts w:ascii="Calibri" w:cs="Calibri" w:eastAsia="Calibri" w:hAnsi="Calibri"/>
          <w:b/>
          <w:bCs/>
        </w:rPr>
        <w:t xml:space="preserve">Recall matters more than accuracy.</w:t>
      </w:r>
      <w:r>
        <w:rPr>
          <w:rFonts w:ascii="Calibri" w:cs="Calibri" w:eastAsia="Calibri" w:hAnsi="Calibri"/>
        </w:rPr>
        <w:t xml:space="preserve"> Applied work increasingly argues that missing an at-risk employee costs more than a false alarm.</w:t>
      </w:r>
    </w:p>
    <w:p>
      <w:pPr>
        <w:pStyle w:val="Heading2"/>
      </w:pPr>
      <w:r>
        <w:rPr>
          <w:rFonts w:ascii="Calibri" w:cs="Calibri" w:eastAsia="Calibri" w:hAnsi="Calibri"/>
        </w:rPr>
        <w:t xml:space="preserve">2.2 Gaps and limitations we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4238"/>
      </w:tblGrid>
      <w:tr>
        <w:trPr>
          <w:tblHeader/>
        </w:trPr>
        <w:tc>
          <w:tcPr>
            <w:tcW w:type="dxa" w:w="600"/>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w:t>
            </w:r>
          </w:p>
        </w:tc>
        <w:tc>
          <w:tcPr>
            <w:tcW w:type="dxa" w:w="4800"/>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Gap in existing work</w:t>
            </w:r>
          </w:p>
        </w:tc>
        <w:tc>
          <w:tcPr>
            <w:tcW w:type="dxa" w:w="4238"/>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How this project responds</w:t>
            </w:r>
          </w:p>
        </w:tc>
      </w:tr>
      <w:tr>
        <w:trPr>
          <w:cantSplit/>
        </w:trPr>
        <w:tc>
          <w:tcPr>
            <w:tcW w:type="dxa" w:w="6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G1</w:t>
            </w:r>
          </w:p>
        </w:tc>
        <w:tc>
          <w:tcPr>
            <w:tcW w:type="dxa" w:w="48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b/>
                <w:bCs/>
                <w:sz w:val="19"/>
                <w:szCs w:val="19"/>
              </w:rPr>
              <w:t xml:space="preserve">Inconsistent evaluation protocols.</w:t>
            </w:r>
            <w:r>
              <w:rPr>
                <w:rFonts w:ascii="Calibri" w:cs="Calibri" w:eastAsia="Calibri" w:hAnsi="Calibri"/>
                <w:sz w:val="19"/>
                <w:szCs w:val="19"/>
              </w:rPr>
              <w:t xml:space="preserve"> Reported accuracies range from the mid-80s to above 99%, often without stating whether resampling preceded the split. Oversampling before splitting leaks synthetic neighbours into training and inflates scores.</w:t>
            </w:r>
          </w:p>
        </w:tc>
        <w:tc>
          <w:tcPr>
            <w:tcW w:type="dxa" w:w="42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Split first; apply SMOTE only inside training folds (pipeline-based); report stratified CV plus a held-out test set.</w:t>
            </w:r>
          </w:p>
        </w:tc>
      </w:tr>
      <w:tr>
        <w:trPr>
          <w:cantSplit/>
        </w:trPr>
        <w:tc>
          <w:tcPr>
            <w:tcW w:type="dxa" w:w="6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G2</w:t>
            </w:r>
          </w:p>
        </w:tc>
        <w:tc>
          <w:tcPr>
            <w:tcW w:type="dxa" w:w="48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Accuracy-centric reporting.</w:t>
            </w:r>
            <w:r>
              <w:rPr>
                <w:rFonts w:ascii="Calibri" w:cs="Calibri" w:eastAsia="Calibri" w:hAnsi="Calibri"/>
                <w:sz w:val="19"/>
                <w:szCs w:val="19"/>
              </w:rPr>
              <w:t xml:space="preserve"> With roughly one leaver in six, predicting “stays” for everyone is already about 84% accurate.</w:t>
            </w:r>
          </w:p>
        </w:tc>
        <w:tc>
          <w:tcPr>
            <w:tcW w:type="dxa" w:w="42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Primary metrics: recall, precision, F1, PR-AUC, ROC-AUC, with class-specific results and confusion matrix.</w:t>
            </w:r>
          </w:p>
        </w:tc>
      </w:tr>
      <w:tr>
        <w:trPr>
          <w:cantSplit/>
        </w:trPr>
        <w:tc>
          <w:tcPr>
            <w:tcW w:type="dxa" w:w="6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G3</w:t>
            </w:r>
          </w:p>
        </w:tc>
        <w:tc>
          <w:tcPr>
            <w:tcW w:type="dxa" w:w="48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b/>
                <w:bCs/>
                <w:sz w:val="19"/>
                <w:szCs w:val="19"/>
              </w:rPr>
              <w:t xml:space="preserve">Comparisons without tuning parity.</w:t>
            </w:r>
            <w:r>
              <w:rPr>
                <w:rFonts w:ascii="Calibri" w:cs="Calibri" w:eastAsia="Calibri" w:hAnsi="Calibri"/>
                <w:sz w:val="19"/>
                <w:szCs w:val="19"/>
              </w:rPr>
              <w:t xml:space="preserve"> Differences may reflect tuning effort rather than model quality.</w:t>
            </w:r>
          </w:p>
        </w:tc>
        <w:tc>
          <w:tcPr>
            <w:tcW w:type="dxa" w:w="42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Same CV scheme, search budget and resampling treatment for every candidate.</w:t>
            </w:r>
          </w:p>
        </w:tc>
      </w:tr>
      <w:tr>
        <w:trPr>
          <w:cantSplit/>
        </w:trPr>
        <w:tc>
          <w:tcPr>
            <w:tcW w:type="dxa" w:w="6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G4</w:t>
            </w:r>
          </w:p>
        </w:tc>
        <w:tc>
          <w:tcPr>
            <w:tcW w:type="dxa" w:w="48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Feature importance treated as explanation.</w:t>
            </w:r>
            <w:r>
              <w:rPr>
                <w:rFonts w:ascii="Calibri" w:cs="Calibri" w:eastAsia="Calibri" w:hAnsi="Calibri"/>
                <w:sz w:val="19"/>
                <w:szCs w:val="19"/>
              </w:rPr>
              <w:t xml:space="preserve"> Impurity-based importances are biased and give no direction of effect.</w:t>
            </w:r>
          </w:p>
        </w:tc>
        <w:tc>
          <w:tcPr>
            <w:tcW w:type="dxa" w:w="42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Add permutation importance and SHAP (Lundberg &amp; Lee, 2017) for global and per-employee explanations.</w:t>
            </w:r>
          </w:p>
        </w:tc>
      </w:tr>
      <w:tr>
        <w:trPr>
          <w:cantSplit/>
        </w:trPr>
        <w:tc>
          <w:tcPr>
            <w:tcW w:type="dxa" w:w="6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G5</w:t>
            </w:r>
          </w:p>
        </w:tc>
        <w:tc>
          <w:tcPr>
            <w:tcW w:type="dxa" w:w="48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b/>
                <w:bCs/>
                <w:sz w:val="19"/>
                <w:szCs w:val="19"/>
              </w:rPr>
              <w:t xml:space="preserve">Fixed 0.5 threshold.</w:t>
            </w:r>
            <w:r>
              <w:rPr>
                <w:rFonts w:ascii="Calibri" w:cs="Calibri" w:eastAsia="Calibri" w:hAnsi="Calibri"/>
                <w:sz w:val="19"/>
                <w:szCs w:val="19"/>
              </w:rPr>
              <w:t xml:space="preserve"> The cost of a missed leaver differs from the cost of a wasted outreach.</w:t>
            </w:r>
          </w:p>
        </w:tc>
        <w:tc>
          <w:tcPr>
            <w:tcW w:type="dxa" w:w="42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Choose the threshold from the PR curve and an explicit cost ratio; report calibration.</w:t>
            </w:r>
          </w:p>
        </w:tc>
      </w:tr>
      <w:tr>
        <w:trPr>
          <w:cantSplit/>
        </w:trPr>
        <w:tc>
          <w:tcPr>
            <w:tcW w:type="dxa" w:w="6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G6</w:t>
            </w:r>
          </w:p>
        </w:tc>
        <w:tc>
          <w:tcPr>
            <w:tcW w:type="dxa" w:w="48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Prediction stops at the notebook.</w:t>
            </w:r>
            <w:r>
              <w:rPr>
                <w:rFonts w:ascii="Calibri" w:cs="Calibri" w:eastAsia="Calibri" w:hAnsi="Calibri"/>
                <w:sz w:val="19"/>
                <w:szCs w:val="19"/>
              </w:rPr>
              <w:t xml:space="preserve"> Insights do not reach HR decision-makers.</w:t>
            </w:r>
          </w:p>
        </w:tc>
        <w:tc>
          <w:tcPr>
            <w:tcW w:type="dxa" w:w="42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Deliver a Power BI dashboard linking drivers, segments and risk scores to retention actions.</w:t>
            </w:r>
          </w:p>
        </w:tc>
      </w:tr>
      <w:tr>
        <w:trPr>
          <w:cantSplit/>
        </w:trPr>
        <w:tc>
          <w:tcPr>
            <w:tcW w:type="dxa" w:w="6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G7</w:t>
            </w:r>
          </w:p>
        </w:tc>
        <w:tc>
          <w:tcPr>
            <w:tcW w:type="dxa" w:w="48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b/>
                <w:bCs/>
                <w:sz w:val="19"/>
                <w:szCs w:val="19"/>
              </w:rPr>
              <w:t xml:space="preserve">Theory-to-feature disconnect.</w:t>
            </w:r>
            <w:r>
              <w:rPr>
                <w:rFonts w:ascii="Calibri" w:cs="Calibri" w:eastAsia="Calibri" w:hAnsi="Calibri"/>
                <w:sz w:val="19"/>
                <w:szCs w:val="19"/>
              </w:rPr>
              <w:t xml:space="preserve"> Feature sets are used as-is.</w:t>
            </w:r>
          </w:p>
        </w:tc>
        <w:tc>
          <w:tcPr>
            <w:tcW w:type="dxa" w:w="42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Engineer theory-grounded features such as promotion stagnation and tenure ratios.</w:t>
            </w:r>
          </w:p>
        </w:tc>
      </w:tr>
      <w:tr>
        <w:trPr>
          <w:cantSplit/>
        </w:trPr>
        <w:tc>
          <w:tcPr>
            <w:tcW w:type="dxa" w:w="6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G8</w:t>
            </w:r>
          </w:p>
        </w:tc>
        <w:tc>
          <w:tcPr>
            <w:tcW w:type="dxa" w:w="48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External validity and ethics rarely discussed.</w:t>
            </w:r>
          </w:p>
        </w:tc>
        <w:tc>
          <w:tcPr>
            <w:tcW w:type="dxa" w:w="42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State the synthetic-data limitation; audit for proxy bias; use scores for support, not sanction.</w:t>
            </w:r>
          </w:p>
        </w:tc>
      </w:tr>
    </w:tbl>
    <w:p>
      <w:pPr>
        <w:spacing w:after="120"/>
      </w:pPr>
    </w:p>
    <w:p>
      <w:pPr>
        <w:pStyle w:val="Heading2"/>
      </w:pPr>
      <w:r>
        <w:rPr>
          <w:rFonts w:ascii="Calibri" w:cs="Calibri" w:eastAsia="Calibri" w:hAnsi="Calibri"/>
        </w:rPr>
        <w:t xml:space="preserve">2.3 Boundary conditions of our data</w:t>
      </w:r>
    </w:p>
    <w:p>
      <w:pPr>
        <w:spacing w:after="120" w:line="300"/>
      </w:pPr>
      <w:r>
        <w:rPr>
          <w:rFonts w:ascii="Calibri" w:cs="Calibri" w:eastAsia="Calibri" w:hAnsi="Calibri"/>
        </w:rPr>
        <w:t xml:space="preserve">The IBM HR Analytics dataset is documented as a </w:t>
      </w:r>
      <w:r>
        <w:rPr>
          <w:rFonts w:ascii="Calibri" w:cs="Calibri" w:eastAsia="Calibri" w:hAnsi="Calibri"/>
          <w:b/>
          <w:bCs/>
        </w:rPr>
        <w:t xml:space="preserve">fictional dataset created by IBM data scientists</w:t>
      </w:r>
      <w:r>
        <w:rPr>
          <w:rFonts w:ascii="Calibri" w:cs="Calibri" w:eastAsia="Calibri" w:hAnsi="Calibri"/>
        </w:rPr>
        <w:t xml:space="preserve">, with 1,470 records and 35 attributes. We acknowledge the following up front:</w:t>
      </w:r>
    </w:p>
    <w:p>
      <w:pPr>
        <w:pStyle w:val="ListParagraph"/>
        <w:numPr>
          <w:ilvl w:val="0"/>
          <w:numId w:val="3"/>
        </w:numPr>
        <w:spacing w:after="70" w:line="290"/>
      </w:pPr>
      <w:r>
        <w:rPr>
          <w:rFonts w:ascii="Calibri" w:cs="Calibri" w:eastAsia="Calibri" w:hAnsi="Calibri"/>
        </w:rPr>
        <w:t xml:space="preserve">Findings describe patterns in a simulated workforce and cannot be claimed as empirical truths about real organizations.</w:t>
      </w:r>
    </w:p>
    <w:p>
      <w:pPr>
        <w:pStyle w:val="ListParagraph"/>
        <w:numPr>
          <w:ilvl w:val="0"/>
          <w:numId w:val="3"/>
        </w:numPr>
        <w:spacing w:after="70" w:line="290"/>
      </w:pPr>
      <w:r>
        <w:rPr>
          <w:rFonts w:ascii="Calibri" w:cs="Calibri" w:eastAsia="Calibri" w:hAnsi="Calibri"/>
        </w:rPr>
        <w:t xml:space="preserve">Some columns are constants (</w:t>
      </w:r>
      <w:r>
        <w:rPr>
          <w:rFonts w:ascii="Consolas" w:cs="Consolas" w:eastAsia="Consolas" w:hAnsi="Consolas"/>
          <w:color w:val="8A2D5B"/>
          <w:sz w:val="20"/>
          <w:szCs w:val="20"/>
        </w:rPr>
        <w:t xml:space="preserve">EmployeeCount</w:t>
      </w:r>
      <w:r>
        <w:rPr>
          <w:rFonts w:ascii="Calibri" w:cs="Calibri" w:eastAsia="Calibri" w:hAnsi="Calibri"/>
        </w:rPr>
        <w:t xml:space="preserve">, </w:t>
      </w:r>
      <w:r>
        <w:rPr>
          <w:rFonts w:ascii="Consolas" w:cs="Consolas" w:eastAsia="Consolas" w:hAnsi="Consolas"/>
          <w:color w:val="8A2D5B"/>
          <w:sz w:val="20"/>
          <w:szCs w:val="20"/>
        </w:rPr>
        <w:t xml:space="preserve">StandardHours</w:t>
      </w:r>
      <w:r>
        <w:rPr>
          <w:rFonts w:ascii="Calibri" w:cs="Calibri" w:eastAsia="Calibri" w:hAnsi="Calibri"/>
        </w:rPr>
        <w:t xml:space="preserve">, </w:t>
      </w:r>
      <w:r>
        <w:rPr>
          <w:rFonts w:ascii="Consolas" w:cs="Consolas" w:eastAsia="Consolas" w:hAnsi="Consolas"/>
          <w:color w:val="8A2D5B"/>
          <w:sz w:val="20"/>
          <w:szCs w:val="20"/>
        </w:rPr>
        <w:t xml:space="preserve">Over18</w:t>
      </w:r>
      <w:r>
        <w:rPr>
          <w:rFonts w:ascii="Calibri" w:cs="Calibri" w:eastAsia="Calibri" w:hAnsi="Calibri"/>
        </w:rPr>
        <w:t xml:space="preserve">) or identifiers (</w:t>
      </w:r>
      <w:r>
        <w:rPr>
          <w:rFonts w:ascii="Consolas" w:cs="Consolas" w:eastAsia="Consolas" w:hAnsi="Consolas"/>
          <w:color w:val="8A2D5B"/>
          <w:sz w:val="20"/>
          <w:szCs w:val="20"/>
        </w:rPr>
        <w:t xml:space="preserve">EmployeeNumber</w:t>
      </w:r>
      <w:r>
        <w:rPr>
          <w:rFonts w:ascii="Calibri" w:cs="Calibri" w:eastAsia="Calibri" w:hAnsi="Calibri"/>
        </w:rPr>
        <w:t xml:space="preserve">). </w:t>
      </w:r>
      <w:r>
        <w:rPr>
          <w:rFonts w:ascii="Consolas" w:cs="Consolas" w:eastAsia="Consolas" w:hAnsi="Consolas"/>
          <w:color w:val="8A2D5B"/>
          <w:sz w:val="20"/>
          <w:szCs w:val="20"/>
        </w:rPr>
        <w:t xml:space="preserve">PerformanceRating</w:t>
      </w:r>
      <w:r>
        <w:rPr>
          <w:rFonts w:ascii="Calibri" w:cs="Calibri" w:eastAsia="Calibri" w:hAnsi="Calibri"/>
        </w:rPr>
        <w:t xml:space="preserve"> appears to take only the values 3 and 4, which is unusually tidy and consistent with synthetic generation.</w:t>
      </w:r>
    </w:p>
    <w:p>
      <w:pPr>
        <w:pStyle w:val="ListParagraph"/>
        <w:numPr>
          <w:ilvl w:val="0"/>
          <w:numId w:val="3"/>
        </w:numPr>
        <w:spacing w:after="70" w:line="290"/>
      </w:pPr>
      <w:r>
        <w:rPr>
          <w:rFonts w:ascii="Calibri" w:cs="Calibri" w:eastAsia="Calibri" w:hAnsi="Calibri"/>
        </w:rPr>
        <w:t xml:space="preserve">The label does not separate voluntary from involuntary exits, and there is no time dimension, so we model cross-sectional classification rather than time-to-exit.</w:t>
      </w:r>
    </w:p>
    <w:p>
      <w:pPr>
        <w:pStyle w:val="ListParagraph"/>
        <w:numPr>
          <w:ilvl w:val="0"/>
          <w:numId w:val="3"/>
        </w:numPr>
        <w:spacing w:after="70" w:line="290"/>
      </w:pPr>
      <w:r>
        <w:rPr>
          <w:rFonts w:ascii="Calibri" w:cs="Calibri" w:eastAsia="Calibri" w:hAnsi="Calibri"/>
        </w:rPr>
        <w:t xml:space="preserve">A single employer, a small sample and a small minority class make results sensitive to the split, which is why repeated stratified CV and uncertainty estimates are part of the design.</w:t>
      </w:r>
    </w:p>
    <w:p>
      <w:pPr>
        <w:pStyle w:val="Heading1"/>
      </w:pPr>
      <w:r>
        <w:rPr>
          <w:rFonts w:ascii="Calibri" w:cs="Calibri" w:eastAsia="Calibri" w:hAnsi="Calibri"/>
        </w:rPr>
        <w:t xml:space="preserve">3. Justifying the Research and Methodology</w:t>
      </w:r>
    </w:p>
    <w:p>
      <w:pPr>
        <w:pStyle w:val="Heading2"/>
      </w:pPr>
      <w:r>
        <w:rPr>
          <w:rFonts w:ascii="Calibri" w:cs="Calibri" w:eastAsia="Calibri" w:hAnsi="Calibri"/>
        </w:rPr>
        <w:t xml:space="preserve">3.1 Problem formulation</w:t>
      </w:r>
    </w:p>
    <w:p>
      <w:pPr>
        <w:spacing w:after="120" w:line="300"/>
      </w:pPr>
      <w:r>
        <w:rPr>
          <w:rFonts w:ascii="Calibri" w:cs="Calibri" w:eastAsia="Calibri" w:hAnsi="Calibri"/>
        </w:rPr>
        <w:t xml:space="preserve">We frame attrition as </w:t>
      </w:r>
      <w:r>
        <w:rPr>
          <w:rFonts w:ascii="Calibri" w:cs="Calibri" w:eastAsia="Calibri" w:hAnsi="Calibri"/>
          <w:b/>
          <w:bCs/>
        </w:rPr>
        <w:t xml:space="preserve">supervised binary classification</w:t>
      </w:r>
      <w:r>
        <w:rPr>
          <w:rFonts w:ascii="Calibri" w:cs="Calibri" w:eastAsia="Calibri" w:hAnsi="Calibri"/>
        </w:rPr>
        <w:t xml:space="preserve"> (Attrition = Yes/No) with an emphasis on </w:t>
      </w:r>
      <w:r>
        <w:rPr>
          <w:rFonts w:ascii="Calibri" w:cs="Calibri" w:eastAsia="Calibri" w:hAnsi="Calibri"/>
          <w:b/>
          <w:bCs/>
        </w:rPr>
        <w:t xml:space="preserve">ranking and recall of the minority class</w:t>
      </w:r>
      <w:r>
        <w:rPr>
          <w:rFonts w:ascii="Calibri" w:cs="Calibri" w:eastAsia="Calibri" w:hAnsi="Calibri"/>
        </w:rPr>
        <w:t xml:space="preserve">, because the business use is to flag a manageable list of at-risk employees for retention outreach.</w:t>
      </w:r>
    </w:p>
    <w:p>
      <w:pPr>
        <w:pStyle w:val="Heading2"/>
      </w:pPr>
      <w:r>
        <w:rPr>
          <w:rFonts w:ascii="Calibri" w:cs="Calibri" w:eastAsia="Calibri" w:hAnsi="Calibri"/>
        </w:rPr>
        <w:t xml:space="preserve">3.2 Rationale for each design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938"/>
        <w:gridCol w:w="1000"/>
      </w:tblGrid>
      <w:tr>
        <w:trPr>
          <w:tblHeader/>
        </w:trPr>
        <w:tc>
          <w:tcPr>
            <w:tcW w:type="dxa" w:w="2700"/>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Choice</w:t>
            </w:r>
          </w:p>
        </w:tc>
        <w:tc>
          <w:tcPr>
            <w:tcW w:type="dxa" w:w="5938"/>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Justification</w:t>
            </w:r>
          </w:p>
        </w:tc>
        <w:tc>
          <w:tcPr>
            <w:tcW w:type="dxa" w:w="1000"/>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Gap</w:t>
            </w:r>
          </w:p>
        </w:tc>
      </w:tr>
      <w:tr>
        <w:trPr>
          <w:cantSplit/>
        </w:trPr>
        <w:tc>
          <w:tcPr>
            <w:tcW w:type="dxa" w:w="27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Exploratory Data Analysis first</w:t>
            </w:r>
          </w:p>
        </w:tc>
        <w:tc>
          <w:tcPr>
            <w:tcW w:type="dxa" w:w="59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Establishes distributions, class balance, correlations and effect directions; lets us check theory-driven hypotheses before modeling.</w:t>
            </w:r>
          </w:p>
        </w:tc>
        <w:tc>
          <w:tcPr>
            <w:tcW w:type="dxa" w:w="10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G4, G7</w:t>
            </w:r>
          </w:p>
        </w:tc>
      </w:tr>
      <w:tr>
        <w:trPr>
          <w:cantSplit/>
        </w:trPr>
        <w:tc>
          <w:tcPr>
            <w:tcW w:type="dxa" w:w="27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Logistic regression baseline</w:t>
            </w:r>
          </w:p>
        </w:tc>
        <w:tc>
          <w:tcPr>
            <w:tcW w:type="dxa" w:w="59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A transparent benchmark; any complex model must beat it to justify its complexity.</w:t>
            </w:r>
          </w:p>
        </w:tc>
        <w:tc>
          <w:tcPr>
            <w:tcW w:type="dxa" w:w="10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G3</w:t>
            </w:r>
          </w:p>
        </w:tc>
      </w:tr>
      <w:tr>
        <w:trPr>
          <w:cantSplit/>
        </w:trPr>
        <w:tc>
          <w:tcPr>
            <w:tcW w:type="dxa" w:w="27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Random Forest, XGBoost, LightGBM</w:t>
            </w:r>
          </w:p>
        </w:tc>
        <w:tc>
          <w:tcPr>
            <w:tcW w:type="dxa" w:w="59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Handle mixed features, nonlinearity and interactions (e.g., overtime × job level); strong record on tabular data (Chen &amp; Guestrin, 2016; Ke et al., 2017).</w:t>
            </w:r>
          </w:p>
        </w:tc>
        <w:tc>
          <w:tcPr>
            <w:tcW w:type="dxa" w:w="10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G3</w:t>
            </w:r>
          </w:p>
        </w:tc>
      </w:tr>
      <w:tr>
        <w:trPr>
          <w:cantSplit/>
        </w:trPr>
        <w:tc>
          <w:tcPr>
            <w:tcW w:type="dxa" w:w="27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SMOTE inside cross-validation</w:t>
            </w:r>
          </w:p>
        </w:tc>
        <w:tc>
          <w:tcPr>
            <w:tcW w:type="dxa" w:w="59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Synthesizes minority examples (Chawla et al., 2002) without leakage when applied to training folds only; class weighting runs as a comparison arm.</w:t>
            </w:r>
          </w:p>
        </w:tc>
        <w:tc>
          <w:tcPr>
            <w:tcW w:type="dxa" w:w="10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G1</w:t>
            </w:r>
          </w:p>
        </w:tc>
      </w:tr>
      <w:tr>
        <w:trPr>
          <w:cantSplit/>
        </w:trPr>
        <w:tc>
          <w:tcPr>
            <w:tcW w:type="dxa" w:w="27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Recall, F1, PR-AUC as primary metrics</w:t>
            </w:r>
          </w:p>
        </w:tc>
        <w:tc>
          <w:tcPr>
            <w:tcW w:type="dxa" w:w="59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Match the asymmetric cost of missing a leaver; PR curves are more informative under imbalance.</w:t>
            </w:r>
          </w:p>
        </w:tc>
        <w:tc>
          <w:tcPr>
            <w:tcW w:type="dxa" w:w="10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G2</w:t>
            </w:r>
          </w:p>
        </w:tc>
      </w:tr>
      <w:tr>
        <w:trPr>
          <w:cantSplit/>
        </w:trPr>
        <w:tc>
          <w:tcPr>
            <w:tcW w:type="dxa" w:w="27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Tuning with equal budget</w:t>
            </w:r>
          </w:p>
        </w:tc>
        <w:tc>
          <w:tcPr>
            <w:tcW w:type="dxa" w:w="59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Fair comparison across models.</w:t>
            </w:r>
          </w:p>
        </w:tc>
        <w:tc>
          <w:tcPr>
            <w:tcW w:type="dxa" w:w="10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G3</w:t>
            </w:r>
          </w:p>
        </w:tc>
      </w:tr>
      <w:tr>
        <w:trPr>
          <w:cantSplit/>
        </w:trPr>
        <w:tc>
          <w:tcPr>
            <w:tcW w:type="dxa" w:w="27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Threshold selection and calibration</w:t>
            </w:r>
          </w:p>
        </w:tc>
        <w:tc>
          <w:tcPr>
            <w:tcW w:type="dxa" w:w="59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Aligns the model with HR capacity and cost trade-offs.</w:t>
            </w:r>
          </w:p>
        </w:tc>
        <w:tc>
          <w:tcPr>
            <w:tcW w:type="dxa" w:w="10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G5</w:t>
            </w:r>
          </w:p>
        </w:tc>
      </w:tr>
      <w:tr>
        <w:trPr>
          <w:cantSplit/>
        </w:trPr>
        <w:tc>
          <w:tcPr>
            <w:tcW w:type="dxa" w:w="27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Permutation importance + SHAP</w:t>
            </w:r>
          </w:p>
        </w:tc>
        <w:tc>
          <w:tcPr>
            <w:tcW w:type="dxa" w:w="59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Turns predictions into drivers with direction and per-employee reasons.</w:t>
            </w:r>
          </w:p>
        </w:tc>
        <w:tc>
          <w:tcPr>
            <w:tcW w:type="dxa" w:w="10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G4</w:t>
            </w:r>
          </w:p>
        </w:tc>
      </w:tr>
      <w:tr>
        <w:trPr>
          <w:cantSplit/>
        </w:trPr>
        <w:tc>
          <w:tcPr>
            <w:tcW w:type="dxa" w:w="27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Power BI dashboard</w:t>
            </w:r>
          </w:p>
        </w:tc>
        <w:tc>
          <w:tcPr>
            <w:tcW w:type="dxa" w:w="59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Puts findings in the hands of HR: trends, segment risk, top drivers.</w:t>
            </w:r>
          </w:p>
        </w:tc>
        <w:tc>
          <w:tcPr>
            <w:tcW w:type="dxa" w:w="10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G6</w:t>
            </w:r>
          </w:p>
        </w:tc>
      </w:tr>
    </w:tbl>
    <w:p>
      <w:pPr>
        <w:spacing w:after="120"/>
      </w:pPr>
    </w:p>
    <w:p>
      <w:pPr>
        <w:pStyle w:val="Heading2"/>
      </w:pPr>
      <w:r>
        <w:rPr>
          <w:rFonts w:ascii="Calibri" w:cs="Calibri" w:eastAsia="Calibri" w:hAnsi="Calibri"/>
        </w:rPr>
        <w:t xml:space="preserve">3.3 Why this bridges the gaps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8A8F" w:sz="24"/>
              <w:bottom w:val="none" w:color="FFFFFF" w:sz="0"/>
              <w:right w:val="none" w:color="FFFFFF" w:sz="0"/>
            </w:tcBorders>
            <w:shd w:fill="E8F1F5" w:color="auto" w:val="clear"/>
            <w:tcMar>
              <w:top w:type="dxa" w:w="120"/>
              <w:left w:type="dxa" w:w="200"/>
              <w:bottom w:type="dxa" w:w="120"/>
              <w:right w:type="dxa" w:w="160"/>
            </w:tcMar>
          </w:tcPr>
          <w:p>
            <w:pPr>
              <w:spacing w:after="0" w:line="290"/>
            </w:pPr>
            <w:r>
              <w:rPr>
                <w:rFonts w:ascii="Calibri" w:cs="Calibri" w:eastAsia="Calibri" w:hAnsi="Calibri"/>
                <w:sz w:val="21"/>
                <w:szCs w:val="21"/>
              </w:rPr>
              <w:t xml:space="preserve">The project’s contribution is not a new algorithm; the literature already has plenty. It is a </w:t>
            </w:r>
            <w:r>
              <w:rPr>
                <w:rFonts w:ascii="Calibri" w:cs="Calibri" w:eastAsia="Calibri" w:hAnsi="Calibri"/>
                <w:b/>
                <w:bCs/>
                <w:sz w:val="21"/>
                <w:szCs w:val="21"/>
              </w:rPr>
              <w:t xml:space="preserve">methodologically careful, interpretable, and deployable</w:t>
            </w:r>
            <w:r>
              <w:rPr>
                <w:rFonts w:ascii="Calibri" w:cs="Calibri" w:eastAsia="Calibri" w:hAnsi="Calibri"/>
                <w:sz w:val="21"/>
                <w:szCs w:val="21"/>
              </w:rPr>
              <w:t xml:space="preserve"> implementation: leakage-safe resampling, metrics that fit the cost structure, explanations with direction, and delivery through a dashboard. That combination addresses G1 to G6 together, which most single studies do not.</w:t>
            </w:r>
          </w:p>
        </w:tc>
      </w:tr>
    </w:tbl>
    <w:p>
      <w:pPr>
        <w:spacing w:after="120"/>
      </w:pPr>
    </w:p>
    <w:p>
      <w:pPr>
        <w:pStyle w:val="Heading1"/>
      </w:pPr>
      <w:r>
        <w:rPr>
          <w:rFonts w:ascii="Calibri" w:cs="Calibri" w:eastAsia="Calibri" w:hAnsi="Calibri"/>
        </w:rPr>
        <w:t xml:space="preserve">4. Avoiding Duplication of Effort</w:t>
      </w:r>
    </w:p>
    <w:p>
      <w:pPr>
        <w:pStyle w:val="Heading2"/>
      </w:pPr>
      <w:r>
        <w:rPr>
          <w:rFonts w:ascii="Calibri" w:cs="Calibri" w:eastAsia="Calibri" w:hAnsi="Calibri"/>
        </w:rPr>
        <w:t xml:space="preserve">4.1 Findings we treat as established</w:t>
      </w:r>
    </w:p>
    <w:p>
      <w:pPr>
        <w:pStyle w:val="ListParagraph"/>
        <w:numPr>
          <w:ilvl w:val="0"/>
          <w:numId w:val="4"/>
        </w:numPr>
        <w:spacing w:after="70" w:line="290"/>
      </w:pPr>
      <w:r>
        <w:rPr>
          <w:rFonts w:ascii="Calibri" w:cs="Calibri" w:eastAsia="Calibri" w:hAnsi="Calibri"/>
          <w:b/>
          <w:bCs/>
        </w:rPr>
        <w:t xml:space="preserve">Attrition is imbalanced</w:t>
      </w:r>
      <w:r>
        <w:rPr>
          <w:rFonts w:ascii="Calibri" w:cs="Calibri" w:eastAsia="Calibri" w:hAnsi="Calibri"/>
        </w:rPr>
        <w:t xml:space="preserve"> in this dataset (roughly 16% leavers), so naive accuracy is misleading.</w:t>
      </w:r>
    </w:p>
    <w:p>
      <w:pPr>
        <w:pStyle w:val="ListParagraph"/>
        <w:numPr>
          <w:ilvl w:val="0"/>
          <w:numId w:val="4"/>
        </w:numPr>
        <w:spacing w:after="70" w:line="290"/>
      </w:pPr>
      <w:r>
        <w:rPr>
          <w:rFonts w:ascii="Calibri" w:cs="Calibri" w:eastAsia="Calibri" w:hAnsi="Calibri"/>
          <w:b/>
          <w:bCs/>
        </w:rPr>
        <w:t xml:space="preserve">Tree-based ensembles</w:t>
      </w:r>
      <w:r>
        <w:rPr>
          <w:rFonts w:ascii="Calibri" w:cs="Calibri" w:eastAsia="Calibri" w:hAnsi="Calibri"/>
        </w:rPr>
        <w:t xml:space="preserve"> are strong, competitive baselines; no algorithm dominates across studies.</w:t>
      </w:r>
    </w:p>
    <w:p>
      <w:pPr>
        <w:pStyle w:val="ListParagraph"/>
        <w:numPr>
          <w:ilvl w:val="0"/>
          <w:numId w:val="4"/>
        </w:numPr>
        <w:spacing w:after="70" w:line="290"/>
      </w:pPr>
      <w:r>
        <w:rPr>
          <w:rFonts w:ascii="Calibri" w:cs="Calibri" w:eastAsia="Calibri" w:hAnsi="Calibri"/>
          <w:b/>
          <w:bCs/>
        </w:rPr>
        <w:t xml:space="preserve">Common predictors</w:t>
      </w:r>
      <w:r>
        <w:rPr>
          <w:rFonts w:ascii="Calibri" w:cs="Calibri" w:eastAsia="Calibri" w:hAnsi="Calibri"/>
        </w:rPr>
        <w:t xml:space="preserve"> (overtime, income, satisfaction, tenure, age, job level, work-life balance) align with decades of turnover theory (Griffeth et al., 2000; Hom et al., 2017).</w:t>
      </w:r>
    </w:p>
    <w:p>
      <w:pPr>
        <w:pStyle w:val="ListParagraph"/>
        <w:numPr>
          <w:ilvl w:val="0"/>
          <w:numId w:val="4"/>
        </w:numPr>
        <w:spacing w:after="70" w:line="290"/>
      </w:pPr>
      <w:r>
        <w:rPr>
          <w:rFonts w:ascii="Calibri" w:cs="Calibri" w:eastAsia="Calibri" w:hAnsi="Calibri"/>
          <w:b/>
          <w:bCs/>
        </w:rPr>
        <w:t xml:space="preserve">Resampling helps minority-class recall</w:t>
      </w:r>
      <w:r>
        <w:rPr>
          <w:rFonts w:ascii="Calibri" w:cs="Calibri" w:eastAsia="Calibri" w:hAnsi="Calibri"/>
        </w:rPr>
        <w:t xml:space="preserve"> compared with raw imbalanced data, though gains depend on how it is applied.</w:t>
      </w:r>
    </w:p>
    <w:p>
      <w:pPr>
        <w:pStyle w:val="ListParagraph"/>
        <w:numPr>
          <w:ilvl w:val="0"/>
          <w:numId w:val="4"/>
        </w:numPr>
        <w:spacing w:after="70" w:line="290"/>
      </w:pPr>
      <w:r>
        <w:rPr>
          <w:rFonts w:ascii="Calibri" w:cs="Calibri" w:eastAsia="Calibri" w:hAnsi="Calibri"/>
          <w:b/>
          <w:bCs/>
        </w:rPr>
        <w:t xml:space="preserve">Neural networks are not automatically superior</w:t>
      </w:r>
      <w:r>
        <w:rPr>
          <w:rFonts w:ascii="Calibri" w:cs="Calibri" w:eastAsia="Calibri" w:hAnsi="Calibri"/>
        </w:rPr>
        <w:t xml:space="preserve"> on small tabular HR data.</w:t>
      </w:r>
    </w:p>
    <w:p>
      <w:pPr>
        <w:spacing w:after="120" w:line="300"/>
      </w:pPr>
      <w:r>
        <w:rPr>
          <w:rFonts w:ascii="Calibri" w:cs="Calibri" w:eastAsia="Calibri" w:hAnsi="Calibri"/>
        </w:rPr>
        <w:t xml:space="preserve">We confirm these briefly in EDA and baselines rather than presenting them as discoveries.</w:t>
      </w:r>
    </w:p>
    <w:p>
      <w:pPr>
        <w:pStyle w:val="Heading2"/>
      </w:pPr>
      <w:r>
        <w:rPr>
          <w:rFonts w:ascii="Calibri" w:cs="Calibri" w:eastAsia="Calibri" w:hAnsi="Calibri"/>
        </w:rPr>
        <w:t xml:space="preserve">4.2 Where we invest effort instead</w:t>
      </w:r>
    </w:p>
    <w:p>
      <w:pPr>
        <w:pStyle w:val="ListParagraph"/>
        <w:numPr>
          <w:ilvl w:val="0"/>
          <w:numId w:val="2"/>
        </w:numPr>
        <w:spacing w:after="70" w:line="290"/>
      </w:pPr>
      <w:r>
        <w:rPr>
          <w:rFonts w:ascii="Calibri" w:cs="Calibri" w:eastAsia="Calibri" w:hAnsi="Calibri"/>
        </w:rPr>
        <w:t xml:space="preserve">Protocol rigor: leakage-safe pipeline, repeated stratified CV, uncertainty on metrics.</w:t>
      </w:r>
    </w:p>
    <w:p>
      <w:pPr>
        <w:pStyle w:val="ListParagraph"/>
        <w:numPr>
          <w:ilvl w:val="0"/>
          <w:numId w:val="2"/>
        </w:numPr>
        <w:spacing w:after="70" w:line="290"/>
      </w:pPr>
      <w:r>
        <w:rPr>
          <w:rFonts w:ascii="Calibri" w:cs="Calibri" w:eastAsia="Calibri" w:hAnsi="Calibri"/>
        </w:rPr>
        <w:t xml:space="preserve">Explanation quality: direction, interactions, segment-level drivers.</w:t>
      </w:r>
    </w:p>
    <w:p>
      <w:pPr>
        <w:pStyle w:val="ListParagraph"/>
        <w:numPr>
          <w:ilvl w:val="0"/>
          <w:numId w:val="2"/>
        </w:numPr>
        <w:spacing w:after="70" w:line="290"/>
      </w:pPr>
      <w:r>
        <w:rPr>
          <w:rFonts w:ascii="Calibri" w:cs="Calibri" w:eastAsia="Calibri" w:hAnsi="Calibri"/>
        </w:rPr>
        <w:t xml:space="preserve">Decision support: thresholds tied to cost, risk tiers, dashboard actions.</w:t>
      </w:r>
    </w:p>
    <w:p>
      <w:pPr>
        <w:pStyle w:val="ListParagraph"/>
        <w:numPr>
          <w:ilvl w:val="0"/>
          <w:numId w:val="2"/>
        </w:numPr>
        <w:spacing w:after="70" w:line="290"/>
      </w:pPr>
      <w:r>
        <w:rPr>
          <w:rFonts w:ascii="Calibri" w:cs="Calibri" w:eastAsia="Calibri" w:hAnsi="Calibri"/>
        </w:rPr>
        <w:t xml:space="preserve">Transparent limitations: synthetic data, fairness.</w:t>
      </w:r>
    </w:p>
    <w:p>
      <w:pPr>
        <w:pStyle w:val="Heading1"/>
      </w:pPr>
      <w:r>
        <w:rPr>
          <w:rFonts w:ascii="Calibri" w:cs="Calibri" w:eastAsia="Calibri" w:hAnsi="Calibri"/>
        </w:rPr>
        <w:t xml:space="preserve">5. Conceptual Framework for Data Analysis</w:t>
      </w:r>
    </w:p>
    <w:p>
      <w:pPr>
        <w:pStyle w:val="Heading2"/>
      </w:pPr>
      <w:r>
        <w:rPr>
          <w:rFonts w:ascii="Calibri" w:cs="Calibri" w:eastAsia="Calibri" w:hAnsi="Calibri"/>
        </w:rPr>
        <w:t xml:space="preserve">5.1 Framework overview</w:t>
      </w:r>
    </w:p>
    <w:p>
      <w:pPr>
        <w:spacing w:after="120" w:line="300"/>
      </w:pPr>
      <w:r>
        <w:rPr>
          <w:rFonts w:ascii="Calibri" w:cs="Calibri" w:eastAsia="Calibri" w:hAnsi="Calibri"/>
        </w:rPr>
        <w:t xml:space="preserve">Turnover theory suggests that exit arises from </w:t>
      </w:r>
      <w:r>
        <w:rPr>
          <w:rFonts w:ascii="Calibri" w:cs="Calibri" w:eastAsia="Calibri" w:hAnsi="Calibri"/>
          <w:b/>
          <w:bCs/>
        </w:rPr>
        <w:t xml:space="preserve">push factors</w:t>
      </w:r>
      <w:r>
        <w:rPr>
          <w:rFonts w:ascii="Calibri" w:cs="Calibri" w:eastAsia="Calibri" w:hAnsi="Calibri"/>
        </w:rPr>
        <w:t xml:space="preserve"> (dissatisfaction, overload, stalled growth), moderated by </w:t>
      </w:r>
      <w:r>
        <w:rPr>
          <w:rFonts w:ascii="Calibri" w:cs="Calibri" w:eastAsia="Calibri" w:hAnsi="Calibri"/>
          <w:b/>
          <w:bCs/>
        </w:rPr>
        <w:t xml:space="preserve">embeddedness</w:t>
      </w:r>
      <w:r>
        <w:rPr>
          <w:rFonts w:ascii="Calibri" w:cs="Calibri" w:eastAsia="Calibri" w:hAnsi="Calibri"/>
        </w:rPr>
        <w:t xml:space="preserve"> (tenure, ties, rewards), and sometimes triggered by </w:t>
      </w:r>
      <w:r>
        <w:rPr>
          <w:rFonts w:ascii="Calibri" w:cs="Calibri" w:eastAsia="Calibri" w:hAnsi="Calibri"/>
          <w:b/>
          <w:bCs/>
        </w:rPr>
        <w:t xml:space="preserve">shocks</w:t>
      </w:r>
      <w:r>
        <w:rPr>
          <w:rFonts w:ascii="Calibri" w:cs="Calibri" w:eastAsia="Calibri" w:hAnsi="Calibri"/>
        </w:rPr>
        <w:t xml:space="preserve">. We translate these constructs into measurable variables and test them with EDA and predictive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8A8F" w:sz="24"/>
              <w:bottom w:val="none" w:color="FFFFFF" w:sz="0"/>
              <w:right w:val="none" w:color="FFFFFF" w:sz="0"/>
            </w:tcBorders>
            <w:shd w:fill="E8F1F5" w:color="auto" w:val="clear"/>
            <w:tcMar>
              <w:top w:type="dxa" w:w="120"/>
              <w:left w:type="dxa" w:w="200"/>
              <w:bottom w:type="dxa" w:w="120"/>
              <w:right w:type="dxa" w:w="160"/>
            </w:tcMar>
          </w:tcPr>
          <w:p>
            <w:pPr>
              <w:spacing w:after="0" w:line="290"/>
            </w:pPr>
            <w:r>
              <w:rPr>
                <w:rFonts w:ascii="Calibri" w:cs="Calibri" w:eastAsia="Calibri" w:hAnsi="Calibri"/>
                <w:b/>
                <w:bCs/>
                <w:sz w:val="21"/>
                <w:szCs w:val="21"/>
              </w:rPr>
              <w:t xml:space="preserve">Dependent variable:</w:t>
            </w:r>
            <w:r>
              <w:rPr>
                <w:rFonts w:ascii="Calibri" w:cs="Calibri" w:eastAsia="Calibri" w:hAnsi="Calibri"/>
                <w:sz w:val="21"/>
                <w:szCs w:val="21"/>
              </w:rPr>
              <w:t xml:space="preserve"> </w:t>
            </w:r>
            <w:r>
              <w:rPr>
                <w:rFonts w:ascii="Consolas" w:cs="Consolas" w:eastAsia="Consolas" w:hAnsi="Consolas"/>
                <w:color w:val="8A2D5B"/>
                <w:sz w:val="21"/>
                <w:szCs w:val="21"/>
              </w:rPr>
              <w:t xml:space="preserve">Attrition</w:t>
            </w:r>
            <w:r>
              <w:rPr>
                <w:rFonts w:ascii="Calibri" w:cs="Calibri" w:eastAsia="Calibri" w:hAnsi="Calibri"/>
                <w:sz w:val="21"/>
                <w:szCs w:val="21"/>
              </w:rPr>
              <w:t xml:space="preserve"> (1 = left, 0 = stayed)</w:t>
            </w:r>
          </w:p>
        </w:tc>
      </w:tr>
    </w:tbl>
    <w:p>
      <w:pPr>
        <w:spacing w:after="120"/>
      </w:pPr>
    </w:p>
    <w:p>
      <w:pPr>
        <w:pStyle w:val="Heading2"/>
      </w:pPr>
      <w:r>
        <w:rPr>
          <w:rFonts w:ascii="Calibri" w:cs="Calibri" w:eastAsia="Calibri" w:hAnsi="Calibri"/>
        </w:rPr>
        <w:t xml:space="preserve">5.2 Construct-to-variable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538"/>
        <w:gridCol w:w="2800"/>
      </w:tblGrid>
      <w:tr>
        <w:trPr>
          <w:tblHeader/>
        </w:trPr>
        <w:tc>
          <w:tcPr>
            <w:tcW w:type="dxa" w:w="2300"/>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Construct (theory)</w:t>
            </w:r>
          </w:p>
        </w:tc>
        <w:tc>
          <w:tcPr>
            <w:tcW w:type="dxa" w:w="4538"/>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Dataset variables</w:t>
            </w:r>
          </w:p>
        </w:tc>
        <w:tc>
          <w:tcPr>
            <w:tcW w:type="dxa" w:w="2800"/>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Expected direction</w:t>
            </w:r>
          </w:p>
        </w:tc>
      </w:tr>
      <w:tr>
        <w:trPr>
          <w:cantSplit/>
        </w:trPr>
        <w:tc>
          <w:tcPr>
            <w:tcW w:type="dxa" w:w="23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Job attitudes</w:t>
            </w:r>
          </w:p>
        </w:tc>
        <w:tc>
          <w:tcPr>
            <w:tcW w:type="dxa" w:w="45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onsolas" w:cs="Consolas" w:eastAsia="Consolas" w:hAnsi="Consolas"/>
                <w:color w:val="8A2D5B"/>
                <w:sz w:val="19"/>
                <w:szCs w:val="19"/>
              </w:rPr>
              <w:t xml:space="preserve">JobSatisfaction</w:t>
            </w:r>
            <w:r>
              <w:rPr>
                <w:rFonts w:ascii="Calibri" w:cs="Calibri" w:eastAsia="Calibri" w:hAnsi="Calibri"/>
                <w:sz w:val="19"/>
                <w:szCs w:val="19"/>
              </w:rPr>
              <w:t xml:space="preserve">, </w:t>
            </w:r>
            <w:r>
              <w:rPr>
                <w:rFonts w:ascii="Consolas" w:cs="Consolas" w:eastAsia="Consolas" w:hAnsi="Consolas"/>
                <w:color w:val="8A2D5B"/>
                <w:sz w:val="19"/>
                <w:szCs w:val="19"/>
              </w:rPr>
              <w:t xml:space="preserve">EnvironmentSatisfaction</w:t>
            </w:r>
            <w:r>
              <w:rPr>
                <w:rFonts w:ascii="Calibri" w:cs="Calibri" w:eastAsia="Calibri" w:hAnsi="Calibri"/>
                <w:sz w:val="19"/>
                <w:szCs w:val="19"/>
              </w:rPr>
              <w:t xml:space="preserve">, </w:t>
            </w:r>
            <w:r>
              <w:rPr>
                <w:rFonts w:ascii="Consolas" w:cs="Consolas" w:eastAsia="Consolas" w:hAnsi="Consolas"/>
                <w:color w:val="8A2D5B"/>
                <w:sz w:val="19"/>
                <w:szCs w:val="19"/>
              </w:rPr>
              <w:t xml:space="preserve">JobInvolvement</w:t>
            </w:r>
            <w:r>
              <w:rPr>
                <w:rFonts w:ascii="Calibri" w:cs="Calibri" w:eastAsia="Calibri" w:hAnsi="Calibri"/>
                <w:sz w:val="19"/>
                <w:szCs w:val="19"/>
              </w:rPr>
              <w:t xml:space="preserve">, </w:t>
            </w:r>
            <w:r>
              <w:rPr>
                <w:rFonts w:ascii="Consolas" w:cs="Consolas" w:eastAsia="Consolas" w:hAnsi="Consolas"/>
                <w:color w:val="8A2D5B"/>
                <w:sz w:val="19"/>
                <w:szCs w:val="19"/>
              </w:rPr>
              <w:t xml:space="preserve">RelationshipSatisfaction</w:t>
            </w:r>
          </w:p>
        </w:tc>
        <w:tc>
          <w:tcPr>
            <w:tcW w:type="dxa" w:w="28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Higher values reduce risk</w:t>
            </w:r>
          </w:p>
        </w:tc>
      </w:tr>
      <w:tr>
        <w:trPr>
          <w:cantSplit/>
        </w:trPr>
        <w:tc>
          <w:tcPr>
            <w:tcW w:type="dxa" w:w="23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Compensation &amp; rewards</w:t>
            </w:r>
          </w:p>
        </w:tc>
        <w:tc>
          <w:tcPr>
            <w:tcW w:type="dxa" w:w="45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onsolas" w:cs="Consolas" w:eastAsia="Consolas" w:hAnsi="Consolas"/>
                <w:color w:val="8A2D5B"/>
                <w:sz w:val="19"/>
                <w:szCs w:val="19"/>
              </w:rPr>
              <w:t xml:space="preserve">MonthlyIncome</w:t>
            </w:r>
            <w:r>
              <w:rPr>
                <w:rFonts w:ascii="Calibri" w:cs="Calibri" w:eastAsia="Calibri" w:hAnsi="Calibri"/>
                <w:sz w:val="19"/>
                <w:szCs w:val="19"/>
              </w:rPr>
              <w:t xml:space="preserve">, </w:t>
            </w:r>
            <w:r>
              <w:rPr>
                <w:rFonts w:ascii="Consolas" w:cs="Consolas" w:eastAsia="Consolas" w:hAnsi="Consolas"/>
                <w:color w:val="8A2D5B"/>
                <w:sz w:val="19"/>
                <w:szCs w:val="19"/>
              </w:rPr>
              <w:t xml:space="preserve">PercentSalaryHike</w:t>
            </w:r>
            <w:r>
              <w:rPr>
                <w:rFonts w:ascii="Calibri" w:cs="Calibri" w:eastAsia="Calibri" w:hAnsi="Calibri"/>
                <w:sz w:val="19"/>
                <w:szCs w:val="19"/>
              </w:rPr>
              <w:t xml:space="preserve">, </w:t>
            </w:r>
            <w:r>
              <w:rPr>
                <w:rFonts w:ascii="Consolas" w:cs="Consolas" w:eastAsia="Consolas" w:hAnsi="Consolas"/>
                <w:color w:val="8A2D5B"/>
                <w:sz w:val="19"/>
                <w:szCs w:val="19"/>
              </w:rPr>
              <w:t xml:space="preserve">StockOptionLevel</w:t>
            </w:r>
            <w:r>
              <w:rPr>
                <w:rFonts w:ascii="Calibri" w:cs="Calibri" w:eastAsia="Calibri" w:hAnsi="Calibri"/>
                <w:sz w:val="19"/>
                <w:szCs w:val="19"/>
              </w:rPr>
              <w:t xml:space="preserve">, </w:t>
            </w:r>
            <w:r>
              <w:rPr>
                <w:rFonts w:ascii="Consolas" w:cs="Consolas" w:eastAsia="Consolas" w:hAnsi="Consolas"/>
                <w:color w:val="8A2D5B"/>
                <w:sz w:val="19"/>
                <w:szCs w:val="19"/>
              </w:rPr>
              <w:t xml:space="preserve">DailyRate</w:t>
            </w:r>
            <w:r>
              <w:rPr>
                <w:rFonts w:ascii="Calibri" w:cs="Calibri" w:eastAsia="Calibri" w:hAnsi="Calibri"/>
                <w:sz w:val="19"/>
                <w:szCs w:val="19"/>
              </w:rPr>
              <w:t xml:space="preserve">, </w:t>
            </w:r>
            <w:r>
              <w:rPr>
                <w:rFonts w:ascii="Consolas" w:cs="Consolas" w:eastAsia="Consolas" w:hAnsi="Consolas"/>
                <w:color w:val="8A2D5B"/>
                <w:sz w:val="19"/>
                <w:szCs w:val="19"/>
              </w:rPr>
              <w:t xml:space="preserve">HourlyRate</w:t>
            </w:r>
            <w:r>
              <w:rPr>
                <w:rFonts w:ascii="Calibri" w:cs="Calibri" w:eastAsia="Calibri" w:hAnsi="Calibri"/>
                <w:sz w:val="19"/>
                <w:szCs w:val="19"/>
              </w:rPr>
              <w:t xml:space="preserve">, </w:t>
            </w:r>
            <w:r>
              <w:rPr>
                <w:rFonts w:ascii="Consolas" w:cs="Consolas" w:eastAsia="Consolas" w:hAnsi="Consolas"/>
                <w:color w:val="8A2D5B"/>
                <w:sz w:val="19"/>
                <w:szCs w:val="19"/>
              </w:rPr>
              <w:t xml:space="preserve">MonthlyRate</w:t>
            </w:r>
          </w:p>
        </w:tc>
        <w:tc>
          <w:tcPr>
            <w:tcW w:type="dxa" w:w="28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Higher pay and equity reduce risk (rate columns may be noisy)</w:t>
            </w:r>
          </w:p>
        </w:tc>
      </w:tr>
      <w:tr>
        <w:trPr>
          <w:cantSplit/>
        </w:trPr>
        <w:tc>
          <w:tcPr>
            <w:tcW w:type="dxa" w:w="23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Workload / burnout proxies</w:t>
            </w:r>
          </w:p>
        </w:tc>
        <w:tc>
          <w:tcPr>
            <w:tcW w:type="dxa" w:w="45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onsolas" w:cs="Consolas" w:eastAsia="Consolas" w:hAnsi="Consolas"/>
                <w:color w:val="8A2D5B"/>
                <w:sz w:val="19"/>
                <w:szCs w:val="19"/>
              </w:rPr>
              <w:t xml:space="preserve">OverTime</w:t>
            </w:r>
            <w:r>
              <w:rPr>
                <w:rFonts w:ascii="Calibri" w:cs="Calibri" w:eastAsia="Calibri" w:hAnsi="Calibri"/>
                <w:sz w:val="19"/>
                <w:szCs w:val="19"/>
              </w:rPr>
              <w:t xml:space="preserve">, </w:t>
            </w:r>
            <w:r>
              <w:rPr>
                <w:rFonts w:ascii="Consolas" w:cs="Consolas" w:eastAsia="Consolas" w:hAnsi="Consolas"/>
                <w:color w:val="8A2D5B"/>
                <w:sz w:val="19"/>
                <w:szCs w:val="19"/>
              </w:rPr>
              <w:t xml:space="preserve">BusinessTravel</w:t>
            </w:r>
            <w:r>
              <w:rPr>
                <w:rFonts w:ascii="Calibri" w:cs="Calibri" w:eastAsia="Calibri" w:hAnsi="Calibri"/>
                <w:sz w:val="19"/>
                <w:szCs w:val="19"/>
              </w:rPr>
              <w:t xml:space="preserve">, </w:t>
            </w:r>
            <w:r>
              <w:rPr>
                <w:rFonts w:ascii="Consolas" w:cs="Consolas" w:eastAsia="Consolas" w:hAnsi="Consolas"/>
                <w:color w:val="8A2D5B"/>
                <w:sz w:val="19"/>
                <w:szCs w:val="19"/>
              </w:rPr>
              <w:t xml:space="preserve">WorkLifeBalance</w:t>
            </w:r>
          </w:p>
        </w:tc>
        <w:tc>
          <w:tcPr>
            <w:tcW w:type="dxa" w:w="28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Overtime and frequent travel raise risk</w:t>
            </w:r>
          </w:p>
        </w:tc>
      </w:tr>
      <w:tr>
        <w:trPr>
          <w:cantSplit/>
        </w:trPr>
        <w:tc>
          <w:tcPr>
            <w:tcW w:type="dxa" w:w="23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Commute / life interface</w:t>
            </w:r>
          </w:p>
        </w:tc>
        <w:tc>
          <w:tcPr>
            <w:tcW w:type="dxa" w:w="45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onsolas" w:cs="Consolas" w:eastAsia="Consolas" w:hAnsi="Consolas"/>
                <w:color w:val="8A2D5B"/>
                <w:sz w:val="19"/>
                <w:szCs w:val="19"/>
              </w:rPr>
              <w:t xml:space="preserve">DistanceFromHome</w:t>
            </w:r>
          </w:p>
        </w:tc>
        <w:tc>
          <w:tcPr>
            <w:tcW w:type="dxa" w:w="28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Longer distance raises risk</w:t>
            </w:r>
          </w:p>
        </w:tc>
      </w:tr>
      <w:tr>
        <w:trPr>
          <w:cantSplit/>
        </w:trPr>
        <w:tc>
          <w:tcPr>
            <w:tcW w:type="dxa" w:w="23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Career progression</w:t>
            </w:r>
          </w:p>
        </w:tc>
        <w:tc>
          <w:tcPr>
            <w:tcW w:type="dxa" w:w="45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onsolas" w:cs="Consolas" w:eastAsia="Consolas" w:hAnsi="Consolas"/>
                <w:color w:val="8A2D5B"/>
                <w:sz w:val="19"/>
                <w:szCs w:val="19"/>
              </w:rPr>
              <w:t xml:space="preserve">JobLevel</w:t>
            </w:r>
            <w:r>
              <w:rPr>
                <w:rFonts w:ascii="Calibri" w:cs="Calibri" w:eastAsia="Calibri" w:hAnsi="Calibri"/>
                <w:sz w:val="19"/>
                <w:szCs w:val="19"/>
              </w:rPr>
              <w:t xml:space="preserve">, </w:t>
            </w:r>
            <w:r>
              <w:rPr>
                <w:rFonts w:ascii="Consolas" w:cs="Consolas" w:eastAsia="Consolas" w:hAnsi="Consolas"/>
                <w:color w:val="8A2D5B"/>
                <w:sz w:val="19"/>
                <w:szCs w:val="19"/>
              </w:rPr>
              <w:t xml:space="preserve">YearsSinceLastPromotion</w:t>
            </w:r>
            <w:r>
              <w:rPr>
                <w:rFonts w:ascii="Calibri" w:cs="Calibri" w:eastAsia="Calibri" w:hAnsi="Calibri"/>
                <w:sz w:val="19"/>
                <w:szCs w:val="19"/>
              </w:rPr>
              <w:t xml:space="preserve">, </w:t>
            </w:r>
            <w:r>
              <w:rPr>
                <w:rFonts w:ascii="Consolas" w:cs="Consolas" w:eastAsia="Consolas" w:hAnsi="Consolas"/>
                <w:color w:val="8A2D5B"/>
                <w:sz w:val="19"/>
                <w:szCs w:val="19"/>
              </w:rPr>
              <w:t xml:space="preserve">YearsInCurrentRole</w:t>
            </w:r>
            <w:r>
              <w:rPr>
                <w:rFonts w:ascii="Calibri" w:cs="Calibri" w:eastAsia="Calibri" w:hAnsi="Calibri"/>
                <w:sz w:val="19"/>
                <w:szCs w:val="19"/>
              </w:rPr>
              <w:t xml:space="preserve">, </w:t>
            </w:r>
            <w:r>
              <w:rPr>
                <w:rFonts w:ascii="Consolas" w:cs="Consolas" w:eastAsia="Consolas" w:hAnsi="Consolas"/>
                <w:color w:val="8A2D5B"/>
                <w:sz w:val="19"/>
                <w:szCs w:val="19"/>
              </w:rPr>
              <w:t xml:space="preserve">TrainingTimesLastYear</w:t>
            </w:r>
          </w:p>
        </w:tc>
        <w:tc>
          <w:tcPr>
            <w:tcW w:type="dxa" w:w="28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Stagnation raises risk</w:t>
            </w:r>
          </w:p>
        </w:tc>
      </w:tr>
      <w:tr>
        <w:trPr>
          <w:cantSplit/>
        </w:trPr>
        <w:tc>
          <w:tcPr>
            <w:tcW w:type="dxa" w:w="23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Tenure &amp; embeddedness</w:t>
            </w:r>
          </w:p>
        </w:tc>
        <w:tc>
          <w:tcPr>
            <w:tcW w:type="dxa" w:w="45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onsolas" w:cs="Consolas" w:eastAsia="Consolas" w:hAnsi="Consolas"/>
                <w:color w:val="8A2D5B"/>
                <w:sz w:val="19"/>
                <w:szCs w:val="19"/>
              </w:rPr>
              <w:t xml:space="preserve">YearsAtCompany</w:t>
            </w:r>
            <w:r>
              <w:rPr>
                <w:rFonts w:ascii="Calibri" w:cs="Calibri" w:eastAsia="Calibri" w:hAnsi="Calibri"/>
                <w:sz w:val="19"/>
                <w:szCs w:val="19"/>
              </w:rPr>
              <w:t xml:space="preserve">, </w:t>
            </w:r>
            <w:r>
              <w:rPr>
                <w:rFonts w:ascii="Consolas" w:cs="Consolas" w:eastAsia="Consolas" w:hAnsi="Consolas"/>
                <w:color w:val="8A2D5B"/>
                <w:sz w:val="19"/>
                <w:szCs w:val="19"/>
              </w:rPr>
              <w:t xml:space="preserve">TotalWorkingYears</w:t>
            </w:r>
            <w:r>
              <w:rPr>
                <w:rFonts w:ascii="Calibri" w:cs="Calibri" w:eastAsia="Calibri" w:hAnsi="Calibri"/>
                <w:sz w:val="19"/>
                <w:szCs w:val="19"/>
              </w:rPr>
              <w:t xml:space="preserve">, </w:t>
            </w:r>
            <w:r>
              <w:rPr>
                <w:rFonts w:ascii="Consolas" w:cs="Consolas" w:eastAsia="Consolas" w:hAnsi="Consolas"/>
                <w:color w:val="8A2D5B"/>
                <w:sz w:val="19"/>
                <w:szCs w:val="19"/>
              </w:rPr>
              <w:t xml:space="preserve">YearsWithCurrManager</w:t>
            </w:r>
          </w:p>
        </w:tc>
        <w:tc>
          <w:tcPr>
            <w:tcW w:type="dxa" w:w="28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Shorter tenure raises risk</w:t>
            </w:r>
          </w:p>
        </w:tc>
      </w:tr>
      <w:tr>
        <w:trPr>
          <w:cantSplit/>
        </w:trPr>
        <w:tc>
          <w:tcPr>
            <w:tcW w:type="dxa" w:w="23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Mobility / job history</w:t>
            </w:r>
          </w:p>
        </w:tc>
        <w:tc>
          <w:tcPr>
            <w:tcW w:type="dxa" w:w="45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onsolas" w:cs="Consolas" w:eastAsia="Consolas" w:hAnsi="Consolas"/>
                <w:color w:val="8A2D5B"/>
                <w:sz w:val="19"/>
                <w:szCs w:val="19"/>
              </w:rPr>
              <w:t xml:space="preserve">NumCompaniesWorked</w:t>
            </w:r>
            <w:r>
              <w:rPr>
                <w:rFonts w:ascii="Calibri" w:cs="Calibri" w:eastAsia="Calibri" w:hAnsi="Calibri"/>
                <w:sz w:val="19"/>
                <w:szCs w:val="19"/>
              </w:rPr>
              <w:t xml:space="preserve">, </w:t>
            </w:r>
            <w:r>
              <w:rPr>
                <w:rFonts w:ascii="Consolas" w:cs="Consolas" w:eastAsia="Consolas" w:hAnsi="Consolas"/>
                <w:color w:val="8A2D5B"/>
                <w:sz w:val="19"/>
                <w:szCs w:val="19"/>
              </w:rPr>
              <w:t xml:space="preserve">Age</w:t>
            </w:r>
          </w:p>
        </w:tc>
        <w:tc>
          <w:tcPr>
            <w:tcW w:type="dxa" w:w="28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More prior employers, younger age raise risk</w:t>
            </w:r>
          </w:p>
        </w:tc>
      </w:tr>
      <w:tr>
        <w:trPr>
          <w:cantSplit/>
        </w:trPr>
        <w:tc>
          <w:tcPr>
            <w:tcW w:type="dxa" w:w="23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Organizational context</w:t>
            </w:r>
          </w:p>
        </w:tc>
        <w:tc>
          <w:tcPr>
            <w:tcW w:type="dxa" w:w="45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onsolas" w:cs="Consolas" w:eastAsia="Consolas" w:hAnsi="Consolas"/>
                <w:color w:val="8A2D5B"/>
                <w:sz w:val="19"/>
                <w:szCs w:val="19"/>
              </w:rPr>
              <w:t xml:space="preserve">Department</w:t>
            </w:r>
            <w:r>
              <w:rPr>
                <w:rFonts w:ascii="Calibri" w:cs="Calibri" w:eastAsia="Calibri" w:hAnsi="Calibri"/>
                <w:sz w:val="19"/>
                <w:szCs w:val="19"/>
              </w:rPr>
              <w:t xml:space="preserve">, </w:t>
            </w:r>
            <w:r>
              <w:rPr>
                <w:rFonts w:ascii="Consolas" w:cs="Consolas" w:eastAsia="Consolas" w:hAnsi="Consolas"/>
                <w:color w:val="8A2D5B"/>
                <w:sz w:val="19"/>
                <w:szCs w:val="19"/>
              </w:rPr>
              <w:t xml:space="preserve">JobRole</w:t>
            </w:r>
            <w:r>
              <w:rPr>
                <w:rFonts w:ascii="Calibri" w:cs="Calibri" w:eastAsia="Calibri" w:hAnsi="Calibri"/>
                <w:sz w:val="19"/>
                <w:szCs w:val="19"/>
              </w:rPr>
              <w:t xml:space="preserve">, </w:t>
            </w:r>
            <w:r>
              <w:rPr>
                <w:rFonts w:ascii="Consolas" w:cs="Consolas" w:eastAsia="Consolas" w:hAnsi="Consolas"/>
                <w:color w:val="8A2D5B"/>
                <w:sz w:val="19"/>
                <w:szCs w:val="19"/>
              </w:rPr>
              <w:t xml:space="preserve">EducationField</w:t>
            </w:r>
            <w:r>
              <w:rPr>
                <w:rFonts w:ascii="Calibri" w:cs="Calibri" w:eastAsia="Calibri" w:hAnsi="Calibri"/>
                <w:sz w:val="19"/>
                <w:szCs w:val="19"/>
              </w:rPr>
              <w:t xml:space="preserve">, </w:t>
            </w:r>
            <w:r>
              <w:rPr>
                <w:rFonts w:ascii="Consolas" w:cs="Consolas" w:eastAsia="Consolas" w:hAnsi="Consolas"/>
                <w:color w:val="8A2D5B"/>
                <w:sz w:val="19"/>
                <w:szCs w:val="19"/>
              </w:rPr>
              <w:t xml:space="preserve">Education</w:t>
            </w:r>
          </w:p>
        </w:tc>
        <w:tc>
          <w:tcPr>
            <w:tcW w:type="dxa" w:w="28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Segment-specific differences</w:t>
            </w:r>
          </w:p>
        </w:tc>
      </w:tr>
      <w:tr>
        <w:trPr>
          <w:cantSplit/>
        </w:trPr>
        <w:tc>
          <w:tcPr>
            <w:tcW w:type="dxa" w:w="23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Demographics (fairness-sensitive)</w:t>
            </w:r>
          </w:p>
        </w:tc>
        <w:tc>
          <w:tcPr>
            <w:tcW w:type="dxa" w:w="45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onsolas" w:cs="Consolas" w:eastAsia="Consolas" w:hAnsi="Consolas"/>
                <w:color w:val="8A2D5B"/>
                <w:sz w:val="19"/>
                <w:szCs w:val="19"/>
              </w:rPr>
              <w:t xml:space="preserve">Gender</w:t>
            </w:r>
            <w:r>
              <w:rPr>
                <w:rFonts w:ascii="Calibri" w:cs="Calibri" w:eastAsia="Calibri" w:hAnsi="Calibri"/>
                <w:sz w:val="19"/>
                <w:szCs w:val="19"/>
              </w:rPr>
              <w:t xml:space="preserve">, </w:t>
            </w:r>
            <w:r>
              <w:rPr>
                <w:rFonts w:ascii="Consolas" w:cs="Consolas" w:eastAsia="Consolas" w:hAnsi="Consolas"/>
                <w:color w:val="8A2D5B"/>
                <w:sz w:val="19"/>
                <w:szCs w:val="19"/>
              </w:rPr>
              <w:t xml:space="preserve">MaritalStatus</w:t>
            </w:r>
            <w:r>
              <w:rPr>
                <w:rFonts w:ascii="Calibri" w:cs="Calibri" w:eastAsia="Calibri" w:hAnsi="Calibri"/>
                <w:sz w:val="19"/>
                <w:szCs w:val="19"/>
              </w:rPr>
              <w:t xml:space="preserve">, </w:t>
            </w:r>
            <w:r>
              <w:rPr>
                <w:rFonts w:ascii="Consolas" w:cs="Consolas" w:eastAsia="Consolas" w:hAnsi="Consolas"/>
                <w:color w:val="8A2D5B"/>
                <w:sz w:val="19"/>
                <w:szCs w:val="19"/>
              </w:rPr>
              <w:t xml:space="preserve">Age</w:t>
            </w:r>
          </w:p>
        </w:tc>
        <w:tc>
          <w:tcPr>
            <w:tcW w:type="dxa" w:w="28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Audited, not used to justify decisions</w:t>
            </w:r>
          </w:p>
        </w:tc>
      </w:tr>
      <w:tr>
        <w:trPr>
          <w:cantSplit/>
        </w:trPr>
        <w:tc>
          <w:tcPr>
            <w:tcW w:type="dxa" w:w="23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Outcome quality</w:t>
            </w:r>
          </w:p>
        </w:tc>
        <w:tc>
          <w:tcPr>
            <w:tcW w:type="dxa" w:w="45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onsolas" w:cs="Consolas" w:eastAsia="Consolas" w:hAnsi="Consolas"/>
                <w:color w:val="8A2D5B"/>
                <w:sz w:val="19"/>
                <w:szCs w:val="19"/>
              </w:rPr>
              <w:t xml:space="preserve">PerformanceRating</w:t>
            </w:r>
          </w:p>
        </w:tc>
        <w:tc>
          <w:tcPr>
            <w:tcW w:type="dxa" w:w="28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Retained for functional-turnover analysis</w:t>
            </w:r>
          </w:p>
        </w:tc>
      </w:tr>
      <w:tr>
        <w:trPr>
          <w:cantSplit/>
        </w:trPr>
        <w:tc>
          <w:tcPr>
            <w:tcW w:type="dxa" w:w="23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Non-informative</w:t>
            </w:r>
          </w:p>
        </w:tc>
        <w:tc>
          <w:tcPr>
            <w:tcW w:type="dxa" w:w="45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onsolas" w:cs="Consolas" w:eastAsia="Consolas" w:hAnsi="Consolas"/>
                <w:color w:val="8A2D5B"/>
                <w:sz w:val="19"/>
                <w:szCs w:val="19"/>
              </w:rPr>
              <w:t xml:space="preserve">EmployeeCount</w:t>
            </w:r>
            <w:r>
              <w:rPr>
                <w:rFonts w:ascii="Calibri" w:cs="Calibri" w:eastAsia="Calibri" w:hAnsi="Calibri"/>
                <w:sz w:val="19"/>
                <w:szCs w:val="19"/>
              </w:rPr>
              <w:t xml:space="preserve">, </w:t>
            </w:r>
            <w:r>
              <w:rPr>
                <w:rFonts w:ascii="Consolas" w:cs="Consolas" w:eastAsia="Consolas" w:hAnsi="Consolas"/>
                <w:color w:val="8A2D5B"/>
                <w:sz w:val="19"/>
                <w:szCs w:val="19"/>
              </w:rPr>
              <w:t xml:space="preserve">StandardHours</w:t>
            </w:r>
            <w:r>
              <w:rPr>
                <w:rFonts w:ascii="Calibri" w:cs="Calibri" w:eastAsia="Calibri" w:hAnsi="Calibri"/>
                <w:sz w:val="19"/>
                <w:szCs w:val="19"/>
              </w:rPr>
              <w:t xml:space="preserve">, </w:t>
            </w:r>
            <w:r>
              <w:rPr>
                <w:rFonts w:ascii="Consolas" w:cs="Consolas" w:eastAsia="Consolas" w:hAnsi="Consolas"/>
                <w:color w:val="8A2D5B"/>
                <w:sz w:val="19"/>
                <w:szCs w:val="19"/>
              </w:rPr>
              <w:t xml:space="preserve">Over18</w:t>
            </w:r>
            <w:r>
              <w:rPr>
                <w:rFonts w:ascii="Calibri" w:cs="Calibri" w:eastAsia="Calibri" w:hAnsi="Calibri"/>
                <w:sz w:val="19"/>
                <w:szCs w:val="19"/>
              </w:rPr>
              <w:t xml:space="preserve">, </w:t>
            </w:r>
            <w:r>
              <w:rPr>
                <w:rFonts w:ascii="Consolas" w:cs="Consolas" w:eastAsia="Consolas" w:hAnsi="Consolas"/>
                <w:color w:val="8A2D5B"/>
                <w:sz w:val="19"/>
                <w:szCs w:val="19"/>
              </w:rPr>
              <w:t xml:space="preserve">EmployeeNumber</w:t>
            </w:r>
          </w:p>
        </w:tc>
        <w:tc>
          <w:tcPr>
            <w:tcW w:type="dxa" w:w="28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Dropped</w:t>
            </w:r>
          </w:p>
        </w:tc>
      </w:tr>
    </w:tbl>
    <w:p>
      <w:pPr>
        <w:spacing w:after="120"/>
      </w:pPr>
    </w:p>
    <w:p>
      <w:pPr>
        <w:pStyle w:val="Heading2"/>
      </w:pPr>
      <w:r>
        <w:rPr>
          <w:rFonts w:ascii="Calibri" w:cs="Calibri" w:eastAsia="Calibri" w:hAnsi="Calibri"/>
        </w:rPr>
        <w:t xml:space="preserve">5.3 Theory-driven feature engineering</w:t>
      </w:r>
    </w:p>
    <w:p>
      <w:pPr>
        <w:pStyle w:val="ListParagraph"/>
        <w:numPr>
          <w:ilvl w:val="0"/>
          <w:numId w:val="2"/>
        </w:numPr>
        <w:spacing w:after="70" w:line="290"/>
      </w:pPr>
      <w:r>
        <w:rPr>
          <w:rFonts w:ascii="Calibri" w:cs="Calibri" w:eastAsia="Calibri" w:hAnsi="Calibri"/>
          <w:b/>
          <w:bCs/>
        </w:rPr>
        <w:t xml:space="preserve">Promotion stagnation:</w:t>
      </w:r>
      <w:r>
        <w:rPr>
          <w:rFonts w:ascii="Calibri" w:cs="Calibri" w:eastAsia="Calibri" w:hAnsi="Calibri"/>
        </w:rPr>
        <w:t xml:space="preserve"> </w:t>
      </w:r>
      <w:r>
        <w:rPr>
          <w:rFonts w:ascii="Consolas" w:cs="Consolas" w:eastAsia="Consolas" w:hAnsi="Consolas"/>
          <w:color w:val="8A2D5B"/>
          <w:sz w:val="20"/>
          <w:szCs w:val="20"/>
        </w:rPr>
        <w:t xml:space="preserve">YearsSinceLastPromotion / YearsAtCompany</w:t>
      </w:r>
    </w:p>
    <w:p>
      <w:pPr>
        <w:pStyle w:val="ListParagraph"/>
        <w:numPr>
          <w:ilvl w:val="0"/>
          <w:numId w:val="2"/>
        </w:numPr>
        <w:spacing w:after="70" w:line="290"/>
      </w:pPr>
      <w:r>
        <w:rPr>
          <w:rFonts w:ascii="Calibri" w:cs="Calibri" w:eastAsia="Calibri" w:hAnsi="Calibri"/>
          <w:b/>
          <w:bCs/>
        </w:rPr>
        <w:t xml:space="preserve">Role stability:</w:t>
      </w:r>
      <w:r>
        <w:rPr>
          <w:rFonts w:ascii="Calibri" w:cs="Calibri" w:eastAsia="Calibri" w:hAnsi="Calibri"/>
        </w:rPr>
        <w:t xml:space="preserve"> </w:t>
      </w:r>
      <w:r>
        <w:rPr>
          <w:rFonts w:ascii="Consolas" w:cs="Consolas" w:eastAsia="Consolas" w:hAnsi="Consolas"/>
          <w:color w:val="8A2D5B"/>
          <w:sz w:val="20"/>
          <w:szCs w:val="20"/>
        </w:rPr>
        <w:t xml:space="preserve">YearsInCurrentRole / YearsAtCompany</w:t>
      </w:r>
    </w:p>
    <w:p>
      <w:pPr>
        <w:pStyle w:val="ListParagraph"/>
        <w:numPr>
          <w:ilvl w:val="0"/>
          <w:numId w:val="2"/>
        </w:numPr>
        <w:spacing w:after="70" w:line="290"/>
      </w:pPr>
      <w:r>
        <w:rPr>
          <w:rFonts w:ascii="Calibri" w:cs="Calibri" w:eastAsia="Calibri" w:hAnsi="Calibri"/>
          <w:b/>
          <w:bCs/>
        </w:rPr>
        <w:t xml:space="preserve">Manager tenure share:</w:t>
      </w:r>
      <w:r>
        <w:rPr>
          <w:rFonts w:ascii="Calibri" w:cs="Calibri" w:eastAsia="Calibri" w:hAnsi="Calibri"/>
        </w:rPr>
        <w:t xml:space="preserve"> </w:t>
      </w:r>
      <w:r>
        <w:rPr>
          <w:rFonts w:ascii="Consolas" w:cs="Consolas" w:eastAsia="Consolas" w:hAnsi="Consolas"/>
          <w:color w:val="8A2D5B"/>
          <w:sz w:val="20"/>
          <w:szCs w:val="20"/>
        </w:rPr>
        <w:t xml:space="preserve">YearsWithCurrManager / YearsAtCompany</w:t>
      </w:r>
    </w:p>
    <w:p>
      <w:pPr>
        <w:pStyle w:val="ListParagraph"/>
        <w:numPr>
          <w:ilvl w:val="0"/>
          <w:numId w:val="2"/>
        </w:numPr>
        <w:spacing w:after="70" w:line="290"/>
      </w:pPr>
      <w:r>
        <w:rPr>
          <w:rFonts w:ascii="Calibri" w:cs="Calibri" w:eastAsia="Calibri" w:hAnsi="Calibri"/>
          <w:b/>
          <w:bCs/>
        </w:rPr>
        <w:t xml:space="preserve">Job-hopping index:</w:t>
      </w:r>
      <w:r>
        <w:rPr>
          <w:rFonts w:ascii="Calibri" w:cs="Calibri" w:eastAsia="Calibri" w:hAnsi="Calibri"/>
        </w:rPr>
        <w:t xml:space="preserve"> </w:t>
      </w:r>
      <w:r>
        <w:rPr>
          <w:rFonts w:ascii="Consolas" w:cs="Consolas" w:eastAsia="Consolas" w:hAnsi="Consolas"/>
          <w:color w:val="8A2D5B"/>
          <w:sz w:val="20"/>
          <w:szCs w:val="20"/>
        </w:rPr>
        <w:t xml:space="preserve">NumCompaniesWorked / max(TotalWorkingYears, 1)</w:t>
      </w:r>
    </w:p>
    <w:p>
      <w:pPr>
        <w:pStyle w:val="ListParagraph"/>
        <w:numPr>
          <w:ilvl w:val="0"/>
          <w:numId w:val="2"/>
        </w:numPr>
        <w:spacing w:after="70" w:line="290"/>
      </w:pPr>
      <w:r>
        <w:rPr>
          <w:rFonts w:ascii="Calibri" w:cs="Calibri" w:eastAsia="Calibri" w:hAnsi="Calibri"/>
          <w:b/>
          <w:bCs/>
        </w:rPr>
        <w:t xml:space="preserve">Satisfaction composite:</w:t>
      </w:r>
      <w:r>
        <w:rPr>
          <w:rFonts w:ascii="Calibri" w:cs="Calibri" w:eastAsia="Calibri" w:hAnsi="Calibri"/>
        </w:rPr>
        <w:t xml:space="preserve"> mean of the four satisfaction and involvement ratings</w:t>
      </w:r>
    </w:p>
    <w:p>
      <w:pPr>
        <w:pStyle w:val="ListParagraph"/>
        <w:numPr>
          <w:ilvl w:val="0"/>
          <w:numId w:val="2"/>
        </w:numPr>
        <w:spacing w:after="70" w:line="290"/>
      </w:pPr>
      <w:r>
        <w:rPr>
          <w:rFonts w:ascii="Calibri" w:cs="Calibri" w:eastAsia="Calibri" w:hAnsi="Calibri"/>
          <w:b/>
          <w:bCs/>
        </w:rPr>
        <w:t xml:space="preserve">Pay-versus-level gap:</w:t>
      </w:r>
      <w:r>
        <w:rPr>
          <w:rFonts w:ascii="Calibri" w:cs="Calibri" w:eastAsia="Calibri" w:hAnsi="Calibri"/>
        </w:rPr>
        <w:t xml:space="preserve"> </w:t>
      </w:r>
      <w:r>
        <w:rPr>
          <w:rFonts w:ascii="Consolas" w:cs="Consolas" w:eastAsia="Consolas" w:hAnsi="Consolas"/>
          <w:color w:val="8A2D5B"/>
          <w:sz w:val="20"/>
          <w:szCs w:val="20"/>
        </w:rPr>
        <w:t xml:space="preserve">MonthlyIncome</w:t>
      </w:r>
      <w:r>
        <w:rPr>
          <w:rFonts w:ascii="Calibri" w:cs="Calibri" w:eastAsia="Calibri" w:hAnsi="Calibri"/>
        </w:rPr>
        <w:t xml:space="preserve"> relative to the median income of the employee’s </w:t>
      </w:r>
      <w:r>
        <w:rPr>
          <w:rFonts w:ascii="Consolas" w:cs="Consolas" w:eastAsia="Consolas" w:hAnsi="Consolas"/>
          <w:color w:val="8A2D5B"/>
          <w:sz w:val="20"/>
          <w:szCs w:val="20"/>
        </w:rPr>
        <w:t xml:space="preserve">JobLevel</w:t>
      </w:r>
    </w:p>
    <w:p>
      <w:pPr>
        <w:pStyle w:val="ListParagraph"/>
        <w:numPr>
          <w:ilvl w:val="0"/>
          <w:numId w:val="2"/>
        </w:numPr>
        <w:spacing w:after="70" w:line="290"/>
      </w:pPr>
      <w:r>
        <w:rPr>
          <w:rFonts w:ascii="Calibri" w:cs="Calibri" w:eastAsia="Calibri" w:hAnsi="Calibri"/>
          <w:b/>
          <w:bCs/>
        </w:rPr>
        <w:t xml:space="preserve">Workload strain flag:</w:t>
      </w:r>
      <w:r>
        <w:rPr>
          <w:rFonts w:ascii="Calibri" w:cs="Calibri" w:eastAsia="Calibri" w:hAnsi="Calibri"/>
        </w:rPr>
        <w:t xml:space="preserve"> </w:t>
      </w:r>
      <w:r>
        <w:rPr>
          <w:rFonts w:ascii="Consolas" w:cs="Consolas" w:eastAsia="Consolas" w:hAnsi="Consolas"/>
          <w:color w:val="8A2D5B"/>
          <w:sz w:val="20"/>
          <w:szCs w:val="20"/>
        </w:rPr>
        <w:t xml:space="preserve">OverTime</w:t>
      </w:r>
      <w:r>
        <w:rPr>
          <w:rFonts w:ascii="Calibri" w:cs="Calibri" w:eastAsia="Calibri" w:hAnsi="Calibri"/>
        </w:rPr>
        <w:t xml:space="preserve"> combined with frequent travel and low work-life balance</w:t>
      </w:r>
    </w:p>
    <w:p>
      <w:pPr>
        <w:spacing w:after="120" w:line="300"/>
      </w:pPr>
      <w:r>
        <w:rPr>
          <w:rFonts w:ascii="Calibri" w:cs="Calibri" w:eastAsia="Calibri" w:hAnsi="Calibri"/>
        </w:rPr>
        <w:t xml:space="preserve">Each engineered feature is checked for redundancy (correlation, VIF) and evaluated in an ablation against the raw feature set.</w:t>
      </w:r>
    </w:p>
    <w:p>
      <w:pPr>
        <w:pStyle w:val="Heading2"/>
      </w:pPr>
      <w:r>
        <w:rPr>
          <w:rFonts w:ascii="Calibri" w:cs="Calibri" w:eastAsia="Calibri" w:hAnsi="Calibri"/>
        </w:rPr>
        <w:t xml:space="preserve">5.4 Hypotheses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2400"/>
        <w:gridCol w:w="2838"/>
      </w:tblGrid>
      <w:tr>
        <w:trPr>
          <w:tblHeader/>
        </w:trPr>
        <w:tc>
          <w:tcPr>
            <w:tcW w:type="dxa" w:w="700"/>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ID</w:t>
            </w:r>
          </w:p>
        </w:tc>
        <w:tc>
          <w:tcPr>
            <w:tcW w:type="dxa" w:w="3700"/>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Hypothesis</w:t>
            </w:r>
          </w:p>
        </w:tc>
        <w:tc>
          <w:tcPr>
            <w:tcW w:type="dxa" w:w="2400"/>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Theory</w:t>
            </w:r>
          </w:p>
        </w:tc>
        <w:tc>
          <w:tcPr>
            <w:tcW w:type="dxa" w:w="2838"/>
            <w:tcBorders>
              <w:top w:val="single" w:color="C9D6DF" w:sz="4"/>
              <w:left w:val="single" w:color="C9D6DF" w:sz="4"/>
              <w:bottom w:val="single" w:color="C9D6DF" w:sz="4"/>
              <w:right w:val="single" w:color="C9D6DF" w:sz="4"/>
            </w:tcBorders>
            <w:shd w:fill="1F3A5F"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Test</w:t>
            </w:r>
          </w:p>
        </w:tc>
      </w:tr>
      <w:tr>
        <w:trPr>
          <w:cantSplit/>
        </w:trPr>
        <w:tc>
          <w:tcPr>
            <w:tcW w:type="dxa" w:w="7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H1</w:t>
            </w:r>
          </w:p>
        </w:tc>
        <w:tc>
          <w:tcPr>
            <w:tcW w:type="dxa" w:w="37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Employees working overtime are more likely to leave.</w:t>
            </w:r>
          </w:p>
        </w:tc>
        <w:tc>
          <w:tcPr>
            <w:tcW w:type="dxa" w:w="24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Burnout / job demands</w:t>
            </w:r>
          </w:p>
        </w:tc>
        <w:tc>
          <w:tcPr>
            <w:tcW w:type="dxa" w:w="28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Chi-square or odds ratio; SHAP direction</w:t>
            </w:r>
          </w:p>
        </w:tc>
      </w:tr>
      <w:tr>
        <w:trPr>
          <w:cantSplit/>
        </w:trPr>
        <w:tc>
          <w:tcPr>
            <w:tcW w:type="dxa" w:w="7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H2</w:t>
            </w:r>
          </w:p>
        </w:tc>
        <w:tc>
          <w:tcPr>
            <w:tcW w:type="dxa" w:w="37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Lower income relative to job level raises risk.</w:t>
            </w:r>
          </w:p>
        </w:tc>
        <w:tc>
          <w:tcPr>
            <w:tcW w:type="dxa" w:w="24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Equity, hygiene factors</w:t>
            </w:r>
          </w:p>
        </w:tc>
        <w:tc>
          <w:tcPr>
            <w:tcW w:type="dxa" w:w="28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Within-level comparison; SHAP dependence</w:t>
            </w:r>
          </w:p>
        </w:tc>
      </w:tr>
      <w:tr>
        <w:trPr>
          <w:cantSplit/>
        </w:trPr>
        <w:tc>
          <w:tcPr>
            <w:tcW w:type="dxa" w:w="7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H3</w:t>
            </w:r>
          </w:p>
        </w:tc>
        <w:tc>
          <w:tcPr>
            <w:tcW w:type="dxa" w:w="37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Higher satisfaction and involvement lower risk.</w:t>
            </w:r>
          </w:p>
        </w:tc>
        <w:tc>
          <w:tcPr>
            <w:tcW w:type="dxa" w:w="24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Process models (Mobley, Price)</w:t>
            </w:r>
          </w:p>
        </w:tc>
        <w:tc>
          <w:tcPr>
            <w:tcW w:type="dxa" w:w="28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Group comparisons; model importance</w:t>
            </w:r>
          </w:p>
        </w:tc>
      </w:tr>
      <w:tr>
        <w:trPr>
          <w:cantSplit/>
        </w:trPr>
        <w:tc>
          <w:tcPr>
            <w:tcW w:type="dxa" w:w="7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H4</w:t>
            </w:r>
          </w:p>
        </w:tc>
        <w:tc>
          <w:tcPr>
            <w:tcW w:type="dxa" w:w="37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Risk is highest in early tenure and after long promotion gaps.</w:t>
            </w:r>
          </w:p>
        </w:tc>
        <w:tc>
          <w:tcPr>
            <w:tcW w:type="dxa" w:w="24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Unfolding model; embeddedness</w:t>
            </w:r>
          </w:p>
        </w:tc>
        <w:tc>
          <w:tcPr>
            <w:tcW w:type="dxa" w:w="28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Tenure-band rates; engineered ratios</w:t>
            </w:r>
          </w:p>
        </w:tc>
      </w:tr>
      <w:tr>
        <w:trPr>
          <w:cantSplit/>
        </w:trPr>
        <w:tc>
          <w:tcPr>
            <w:tcW w:type="dxa" w:w="7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H5</w:t>
            </w:r>
          </w:p>
        </w:tc>
        <w:tc>
          <w:tcPr>
            <w:tcW w:type="dxa" w:w="37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Shorter time with current manager raises risk.</w:t>
            </w:r>
          </w:p>
        </w:tc>
        <w:tc>
          <w:tcPr>
            <w:tcW w:type="dxa" w:w="2400"/>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Supervisor relationship</w:t>
            </w:r>
          </w:p>
        </w:tc>
        <w:tc>
          <w:tcPr>
            <w:tcW w:type="dxa" w:w="2838"/>
            <w:tcBorders>
              <w:top w:val="single" w:color="C9D6DF" w:sz="4"/>
              <w:left w:val="single" w:color="C9D6DF" w:sz="4"/>
              <w:bottom w:val="single" w:color="C9D6DF" w:sz="4"/>
              <w:right w:val="single" w:color="C9D6DF" w:sz="4"/>
            </w:tcBorders>
            <w:tcMar>
              <w:top w:type="dxa" w:w="70"/>
              <w:left w:type="dxa" w:w="100"/>
              <w:bottom w:type="dxa" w:w="70"/>
              <w:right w:type="dxa" w:w="100"/>
            </w:tcMar>
          </w:tcPr>
          <w:p>
            <w:pPr>
              <w:spacing w:after="0"/>
            </w:pPr>
            <w:r>
              <w:rPr>
                <w:rFonts w:ascii="Calibri" w:cs="Calibri" w:eastAsia="Calibri" w:hAnsi="Calibri"/>
                <w:sz w:val="19"/>
                <w:szCs w:val="19"/>
              </w:rPr>
              <w:t xml:space="preserve">Group comparison; SHAP</w:t>
            </w:r>
          </w:p>
        </w:tc>
      </w:tr>
      <w:tr>
        <w:trPr>
          <w:cantSplit/>
        </w:trPr>
        <w:tc>
          <w:tcPr>
            <w:tcW w:type="dxa" w:w="7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H6</w:t>
            </w:r>
          </w:p>
        </w:tc>
        <w:tc>
          <w:tcPr>
            <w:tcW w:type="dxa" w:w="37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Overtime effects are stronger at lower job levels.</w:t>
            </w:r>
          </w:p>
        </w:tc>
        <w:tc>
          <w:tcPr>
            <w:tcW w:type="dxa" w:w="2400"/>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Demands × resources</w:t>
            </w:r>
          </w:p>
        </w:tc>
        <w:tc>
          <w:tcPr>
            <w:tcW w:type="dxa" w:w="2838"/>
            <w:tcBorders>
              <w:top w:val="single" w:color="C9D6DF" w:sz="4"/>
              <w:left w:val="single" w:color="C9D6DF" w:sz="4"/>
              <w:bottom w:val="single" w:color="C9D6DF" w:sz="4"/>
              <w:right w:val="single" w:color="C9D6DF" w:sz="4"/>
            </w:tcBorders>
            <w:shd w:fill="F3F7FA" w:color="auto" w:val="clear"/>
            <w:tcMar>
              <w:top w:type="dxa" w:w="70"/>
              <w:left w:type="dxa" w:w="100"/>
              <w:bottom w:type="dxa" w:w="70"/>
              <w:right w:type="dxa" w:w="100"/>
            </w:tcMar>
          </w:tcPr>
          <w:p>
            <w:pPr>
              <w:spacing w:after="0"/>
            </w:pPr>
            <w:r>
              <w:rPr>
                <w:rFonts w:ascii="Calibri" w:cs="Calibri" w:eastAsia="Calibri" w:hAnsi="Calibri"/>
                <w:sz w:val="19"/>
                <w:szCs w:val="19"/>
              </w:rPr>
              <w:t xml:space="preserve">Interaction terms; SHAP interactions</w:t>
            </w:r>
          </w:p>
        </w:tc>
      </w:tr>
    </w:tbl>
    <w:p>
      <w:pPr>
        <w:spacing w:after="120"/>
      </w:pPr>
    </w:p>
    <w:p>
      <w:pPr>
        <w:pStyle w:val="Heading2"/>
      </w:pPr>
      <w:r>
        <w:rPr>
          <w:rFonts w:ascii="Calibri" w:cs="Calibri" w:eastAsia="Calibri" w:hAnsi="Calibri"/>
        </w:rPr>
        <w:t xml:space="preserve">5.5 Analysis architecture</w:t>
      </w:r>
    </w:p>
    <w:p>
      <w:pPr>
        <w:pStyle w:val="ListParagraph"/>
        <w:numPr>
          <w:ilvl w:val="0"/>
          <w:numId w:val="5"/>
        </w:numPr>
        <w:spacing w:after="70" w:line="290"/>
      </w:pPr>
      <w:r>
        <w:rPr>
          <w:rFonts w:ascii="Calibri" w:cs="Calibri" w:eastAsia="Calibri" w:hAnsi="Calibri"/>
          <w:b/>
          <w:bCs/>
        </w:rPr>
        <w:t xml:space="preserve">Data audit:</w:t>
      </w:r>
      <w:r>
        <w:rPr>
          <w:rFonts w:ascii="Calibri" w:cs="Calibri" w:eastAsia="Calibri" w:hAnsi="Calibri"/>
        </w:rPr>
        <w:t xml:space="preserve"> types, missing values, duplicates, constant and ID columns, label balance.</w:t>
      </w:r>
    </w:p>
    <w:p>
      <w:pPr>
        <w:pStyle w:val="ListParagraph"/>
        <w:numPr>
          <w:ilvl w:val="0"/>
          <w:numId w:val="5"/>
        </w:numPr>
        <w:spacing w:after="70" w:line="290"/>
      </w:pPr>
      <w:r>
        <w:rPr>
          <w:rFonts w:ascii="Calibri" w:cs="Calibri" w:eastAsia="Calibri" w:hAnsi="Calibri"/>
          <w:b/>
          <w:bCs/>
        </w:rPr>
        <w:t xml:space="preserve">EDA:</w:t>
      </w:r>
      <w:r>
        <w:rPr>
          <w:rFonts w:ascii="Calibri" w:cs="Calibri" w:eastAsia="Calibri" w:hAnsi="Calibri"/>
        </w:rPr>
        <w:t xml:space="preserve"> univariate and bivariate profiles by attrition; correlation structure; segment views by department and role. Output feeds the EDA report and the dashboard.</w:t>
      </w:r>
    </w:p>
    <w:p>
      <w:pPr>
        <w:pStyle w:val="ListParagraph"/>
        <w:numPr>
          <w:ilvl w:val="0"/>
          <w:numId w:val="5"/>
        </w:numPr>
        <w:spacing w:after="70" w:line="290"/>
      </w:pPr>
      <w:r>
        <w:rPr>
          <w:rFonts w:ascii="Calibri" w:cs="Calibri" w:eastAsia="Calibri" w:hAnsi="Calibri"/>
          <w:b/>
          <w:bCs/>
        </w:rPr>
        <w:t xml:space="preserve">Preprocessing pipeline (fit on training data only):</w:t>
      </w:r>
      <w:r>
        <w:rPr>
          <w:rFonts w:ascii="Calibri" w:cs="Calibri" w:eastAsia="Calibri" w:hAnsi="Calibri"/>
        </w:rPr>
        <w:t xml:space="preserve"> drop non-informative columns; encode ordinal ratings as ordered numerics and nominal fields via one-hot; scale for scale-sensitive models; engineer the features in 5.3.</w:t>
      </w:r>
    </w:p>
    <w:p>
      <w:pPr>
        <w:pStyle w:val="ListParagraph"/>
        <w:numPr>
          <w:ilvl w:val="0"/>
          <w:numId w:val="5"/>
        </w:numPr>
        <w:spacing w:after="70" w:line="290"/>
      </w:pPr>
      <w:r>
        <w:rPr>
          <w:rFonts w:ascii="Calibri" w:cs="Calibri" w:eastAsia="Calibri" w:hAnsi="Calibri"/>
          <w:b/>
          <w:bCs/>
        </w:rPr>
        <w:t xml:space="preserve">Split strategy:</w:t>
      </w:r>
      <w:r>
        <w:rPr>
          <w:rFonts w:ascii="Calibri" w:cs="Calibri" w:eastAsia="Calibri" w:hAnsi="Calibri"/>
        </w:rPr>
        <w:t xml:space="preserve"> stratified train/test hold-out, with stratified repeated k-fold CV on the training portion.</w:t>
      </w:r>
    </w:p>
    <w:p>
      <w:pPr>
        <w:pStyle w:val="ListParagraph"/>
        <w:numPr>
          <w:ilvl w:val="0"/>
          <w:numId w:val="5"/>
        </w:numPr>
        <w:spacing w:after="70" w:line="290"/>
      </w:pPr>
      <w:r>
        <w:rPr>
          <w:rFonts w:ascii="Calibri" w:cs="Calibri" w:eastAsia="Calibri" w:hAnsi="Calibri"/>
          <w:b/>
          <w:bCs/>
        </w:rPr>
        <w:t xml:space="preserve">Imbalance handling:</w:t>
      </w:r>
      <w:r>
        <w:rPr>
          <w:rFonts w:ascii="Calibri" w:cs="Calibri" w:eastAsia="Calibri" w:hAnsi="Calibri"/>
        </w:rPr>
        <w:t xml:space="preserve"> SMOTE as a pipeline step inside CV folds; class weighting as a comparison arm; no resampling of validation or test data.</w:t>
      </w:r>
    </w:p>
    <w:p>
      <w:pPr>
        <w:pStyle w:val="ListParagraph"/>
        <w:numPr>
          <w:ilvl w:val="0"/>
          <w:numId w:val="5"/>
        </w:numPr>
        <w:spacing w:after="70" w:line="290"/>
      </w:pPr>
      <w:r>
        <w:rPr>
          <w:rFonts w:ascii="Calibri" w:cs="Calibri" w:eastAsia="Calibri" w:hAnsi="Calibri"/>
          <w:b/>
          <w:bCs/>
        </w:rPr>
        <w:t xml:space="preserve">Models:</w:t>
      </w:r>
      <w:r>
        <w:rPr>
          <w:rFonts w:ascii="Calibri" w:cs="Calibri" w:eastAsia="Calibri" w:hAnsi="Calibri"/>
        </w:rPr>
        <w:t xml:space="preserve"> logistic regression (baseline), Random Forest, XGBoost, LightGBM, tuned with an equal search budget.</w:t>
      </w:r>
    </w:p>
    <w:p>
      <w:pPr>
        <w:pStyle w:val="ListParagraph"/>
        <w:numPr>
          <w:ilvl w:val="0"/>
          <w:numId w:val="5"/>
        </w:numPr>
        <w:spacing w:after="70" w:line="290"/>
      </w:pPr>
      <w:r>
        <w:rPr>
          <w:rFonts w:ascii="Calibri" w:cs="Calibri" w:eastAsia="Calibri" w:hAnsi="Calibri"/>
          <w:b/>
          <w:bCs/>
        </w:rPr>
        <w:t xml:space="preserve">Evaluation:</w:t>
      </w:r>
      <w:r>
        <w:rPr>
          <w:rFonts w:ascii="Calibri" w:cs="Calibri" w:eastAsia="Calibri" w:hAnsi="Calibri"/>
        </w:rPr>
        <w:t xml:space="preserve"> recall, precision, F1, PR-AUC, ROC-AUC, confusion matrix, calibration curve; mean ± SD across folds; final test results reported once.</w:t>
      </w:r>
    </w:p>
    <w:p>
      <w:pPr>
        <w:pStyle w:val="ListParagraph"/>
        <w:numPr>
          <w:ilvl w:val="0"/>
          <w:numId w:val="5"/>
        </w:numPr>
        <w:spacing w:after="70" w:line="290"/>
      </w:pPr>
      <w:r>
        <w:rPr>
          <w:rFonts w:ascii="Calibri" w:cs="Calibri" w:eastAsia="Calibri" w:hAnsi="Calibri"/>
          <w:b/>
          <w:bCs/>
        </w:rPr>
        <w:t xml:space="preserve">Threshold selection:</w:t>
      </w:r>
      <w:r>
        <w:rPr>
          <w:rFonts w:ascii="Calibri" w:cs="Calibri" w:eastAsia="Calibri" w:hAnsi="Calibri"/>
        </w:rPr>
        <w:t xml:space="preserve"> choose the cutoff from the PR curve and an assumed cost ratio between a missed leaver and an unnecessary outreach; show sensitivity.</w:t>
      </w:r>
    </w:p>
    <w:p>
      <w:pPr>
        <w:pStyle w:val="ListParagraph"/>
        <w:numPr>
          <w:ilvl w:val="0"/>
          <w:numId w:val="5"/>
        </w:numPr>
        <w:spacing w:after="70" w:line="290"/>
      </w:pPr>
      <w:r>
        <w:rPr>
          <w:rFonts w:ascii="Calibri" w:cs="Calibri" w:eastAsia="Calibri" w:hAnsi="Calibri"/>
          <w:b/>
          <w:bCs/>
        </w:rPr>
        <w:t xml:space="preserve">Explainability:</w:t>
      </w:r>
      <w:r>
        <w:rPr>
          <w:rFonts w:ascii="Calibri" w:cs="Calibri" w:eastAsia="Calibri" w:hAnsi="Calibri"/>
        </w:rPr>
        <w:t xml:space="preserve"> permutation importance and SHAP at global and individual levels; compare with logistic-regression coefficients as a sanity check.</w:t>
      </w:r>
    </w:p>
    <w:p>
      <w:pPr>
        <w:pStyle w:val="ListParagraph"/>
        <w:numPr>
          <w:ilvl w:val="0"/>
          <w:numId w:val="5"/>
        </w:numPr>
        <w:spacing w:after="70" w:line="290"/>
      </w:pPr>
      <w:r>
        <w:rPr>
          <w:rFonts w:ascii="Calibri" w:cs="Calibri" w:eastAsia="Calibri" w:hAnsi="Calibri"/>
          <w:b/>
          <w:bCs/>
        </w:rPr>
        <w:t xml:space="preserve">Fairness audit:</w:t>
      </w:r>
      <w:r>
        <w:rPr>
          <w:rFonts w:ascii="Calibri" w:cs="Calibri" w:eastAsia="Calibri" w:hAnsi="Calibri"/>
        </w:rPr>
        <w:t xml:space="preserve"> compare recall and false-positive rates across gender, age bands and marital status; document any disparity.</w:t>
      </w:r>
    </w:p>
    <w:p>
      <w:pPr>
        <w:pStyle w:val="ListParagraph"/>
        <w:numPr>
          <w:ilvl w:val="0"/>
          <w:numId w:val="5"/>
        </w:numPr>
        <w:spacing w:after="70" w:line="290"/>
      </w:pPr>
      <w:r>
        <w:rPr>
          <w:rFonts w:ascii="Calibri" w:cs="Calibri" w:eastAsia="Calibri" w:hAnsi="Calibri"/>
          <w:b/>
          <w:bCs/>
        </w:rPr>
        <w:t xml:space="preserve">Deployment layer:</w:t>
      </w:r>
      <w:r>
        <w:rPr>
          <w:rFonts w:ascii="Calibri" w:cs="Calibri" w:eastAsia="Calibri" w:hAnsi="Calibri"/>
        </w:rPr>
        <w:t xml:space="preserve"> export the best pipeline (.pkl) and a scored dataset; build Power BI pages for workforce overview, driver analysis, risk tiers and recommended actions.</w:t>
      </w:r>
    </w:p>
    <w:p>
      <w:pPr>
        <w:pStyle w:val="Heading2"/>
      </w:pPr>
      <w:r>
        <w:rPr>
          <w:rFonts w:ascii="Calibri" w:cs="Calibri" w:eastAsia="Calibri" w:hAnsi="Calibri"/>
        </w:rPr>
        <w:t xml:space="preserve">5.6 Success criteria</w:t>
      </w:r>
    </w:p>
    <w:p>
      <w:pPr>
        <w:pStyle w:val="ListParagraph"/>
        <w:numPr>
          <w:ilvl w:val="0"/>
          <w:numId w:val="2"/>
        </w:numPr>
        <w:spacing w:after="70" w:line="290"/>
      </w:pPr>
      <w:r>
        <w:rPr>
          <w:rFonts w:ascii="Calibri" w:cs="Calibri" w:eastAsia="Calibri" w:hAnsi="Calibri"/>
        </w:rPr>
        <w:t xml:space="preserve">Minority-class recall and PR-AUC clearly above the logistic-regression baseline, stable across folds.</w:t>
      </w:r>
    </w:p>
    <w:p>
      <w:pPr>
        <w:pStyle w:val="ListParagraph"/>
        <w:numPr>
          <w:ilvl w:val="0"/>
          <w:numId w:val="2"/>
        </w:numPr>
        <w:spacing w:after="70" w:line="290"/>
      </w:pPr>
      <w:r>
        <w:rPr>
          <w:rFonts w:ascii="Calibri" w:cs="Calibri" w:eastAsia="Calibri" w:hAnsi="Calibri"/>
        </w:rPr>
        <w:t xml:space="preserve">Drivers consistent across EDA, permutation importance and SHAP, aligned with theory or explicitly flagged as surprising.</w:t>
      </w:r>
    </w:p>
    <w:p>
      <w:pPr>
        <w:pStyle w:val="ListParagraph"/>
        <w:numPr>
          <w:ilvl w:val="0"/>
          <w:numId w:val="2"/>
        </w:numPr>
        <w:spacing w:after="70" w:line="290"/>
      </w:pPr>
      <w:r>
        <w:rPr>
          <w:rFonts w:ascii="Calibri" w:cs="Calibri" w:eastAsia="Calibri" w:hAnsi="Calibri"/>
        </w:rPr>
        <w:t xml:space="preserve">A dashboard that an HR user can read without technical support and that links each risk driver to an action.</w:t>
      </w:r>
    </w:p>
    <w:p>
      <w:pPr>
        <w:pStyle w:val="ListParagraph"/>
        <w:numPr>
          <w:ilvl w:val="0"/>
          <w:numId w:val="2"/>
        </w:numPr>
        <w:spacing w:after="70" w:line="290"/>
      </w:pPr>
      <w:r>
        <w:rPr>
          <w:rFonts w:ascii="Calibri" w:cs="Calibri" w:eastAsia="Calibri" w:hAnsi="Calibri"/>
        </w:rPr>
        <w:t xml:space="preserve">A documented limitations section covering synthetic data, absence of time, and fairness.</w:t>
      </w:r>
    </w:p>
    <w:p>
      <w:pPr>
        <w:pStyle w:val="Heading1"/>
      </w:pPr>
      <w:r>
        <w:rPr>
          <w:rFonts w:ascii="Calibri" w:cs="Calibri" w:eastAsia="Calibri" w:hAnsi="Calibri"/>
        </w:rPr>
        <w:t xml:space="preserve">6. Conclusion</w:t>
      </w:r>
    </w:p>
    <w:p>
      <w:pPr>
        <w:spacing w:after="120" w:line="300"/>
      </w:pPr>
      <w:r>
        <w:rPr>
          <w:rFonts w:ascii="Calibri" w:cs="Calibri" w:eastAsia="Calibri" w:hAnsi="Calibri"/>
        </w:rPr>
        <w:t xml:space="preserve">Turnover theory explains why employees leave; applied machine learning shows that exits can be ranked by risk. The IBM HR Analytics dataset has been studied extensively, so novelty does not come from the algorithms. It comes from rigor (leakage-safe resampling and fair comparison), relevance (metrics and thresholds that fit HR costs), interpretability (SHAP-based drivers with direction), and delivery (a Power BI dashboard that turns scores into retention action).</w:t>
      </w:r>
    </w:p>
    <w:p>
      <w:pPr>
        <w:pStyle w:val="Heading1"/>
      </w:pPr>
      <w:r>
        <w:rPr>
          <w:rFonts w:ascii="Calibri" w:cs="Calibri" w:eastAsia="Calibri" w:hAnsi="Calibri"/>
        </w:rPr>
        <w:t xml:space="preserve">References</w:t>
      </w:r>
    </w:p>
    <w:p>
      <w:pPr>
        <w:spacing w:after="120" w:line="300"/>
      </w:pPr>
      <w:r>
        <w:rPr>
          <w:rFonts w:ascii="Calibri" w:cs="Calibri" w:eastAsia="Calibri" w:hAnsi="Calibri"/>
          <w:i/>
          <w:iCs/>
          <w:color w:val="5A6772"/>
          <w:sz w:val="20"/>
          <w:szCs w:val="20"/>
        </w:rPr>
        <w:t xml:space="preserve">Entries marked † were located during research for this review; the others are standard works cited from general knowledge. Please verify volume, page and DOI details against the originals before submission.</w:t>
      </w:r>
    </w:p>
    <w:p>
      <w:pPr>
        <w:spacing w:after="90"/>
        <w:ind w:left="360" w:hanging="360"/>
      </w:pPr>
      <w:r>
        <w:rPr>
          <w:rFonts w:ascii="Calibri" w:cs="Calibri" w:eastAsia="Calibri" w:hAnsi="Calibri"/>
          <w:sz w:val="20"/>
          <w:szCs w:val="20"/>
        </w:rPr>
        <w:t xml:space="preserve">Allen, D. G., Bryant, P. C., &amp; Vardaman, J. M. (2010). Retaining talent: Replacing misconceptions with evidence-based strategies. </w:t>
      </w:r>
      <w:r>
        <w:rPr>
          <w:rFonts w:ascii="Calibri" w:cs="Calibri" w:eastAsia="Calibri" w:hAnsi="Calibri"/>
          <w:i/>
          <w:iCs/>
          <w:sz w:val="20"/>
          <w:szCs w:val="20"/>
        </w:rPr>
        <w:t xml:space="preserve">Academy of Management Perspectives, 24</w:t>
      </w:r>
      <w:r>
        <w:rPr>
          <w:rFonts w:ascii="Calibri" w:cs="Calibri" w:eastAsia="Calibri" w:hAnsi="Calibri"/>
          <w:sz w:val="20"/>
          <w:szCs w:val="20"/>
        </w:rPr>
        <w:t xml:space="preserve">(2), 48–64.</w:t>
      </w:r>
    </w:p>
    <w:p>
      <w:pPr>
        <w:spacing w:after="90"/>
        <w:ind w:left="360" w:hanging="360"/>
      </w:pPr>
      <w:r>
        <w:rPr>
          <w:rFonts w:ascii="Calibri" w:cs="Calibri" w:eastAsia="Calibri" w:hAnsi="Calibri"/>
          <w:sz w:val="20"/>
          <w:szCs w:val="20"/>
        </w:rPr>
        <w:t xml:space="preserve">Chawla, N. V., Bowyer, K. W., Hall, L. O., &amp; Kegelmeyer, W. P. (2002). SMOTE: Synthetic minority over-sampling technique. </w:t>
      </w:r>
      <w:r>
        <w:rPr>
          <w:rFonts w:ascii="Calibri" w:cs="Calibri" w:eastAsia="Calibri" w:hAnsi="Calibri"/>
          <w:i/>
          <w:iCs/>
          <w:sz w:val="20"/>
          <w:szCs w:val="20"/>
        </w:rPr>
        <w:t xml:space="preserve">Journal of Artificial Intelligence Research, 16</w:t>
      </w:r>
      <w:r>
        <w:rPr>
          <w:rFonts w:ascii="Calibri" w:cs="Calibri" w:eastAsia="Calibri" w:hAnsi="Calibri"/>
          <w:sz w:val="20"/>
          <w:szCs w:val="20"/>
        </w:rPr>
        <w:t xml:space="preserve">, 321–357.</w:t>
      </w:r>
    </w:p>
    <w:p>
      <w:pPr>
        <w:spacing w:after="90"/>
        <w:ind w:left="360" w:hanging="360"/>
      </w:pPr>
      <w:r>
        <w:rPr>
          <w:rFonts w:ascii="Calibri" w:cs="Calibri" w:eastAsia="Calibri" w:hAnsi="Calibri"/>
          <w:sz w:val="20"/>
          <w:szCs w:val="20"/>
        </w:rPr>
        <w:t xml:space="preserve">Chen, T., &amp; Guestrin, C. (2016). XGBoost: A scalable tree boosting system. </w:t>
      </w:r>
      <w:r>
        <w:rPr>
          <w:rFonts w:ascii="Calibri" w:cs="Calibri" w:eastAsia="Calibri" w:hAnsi="Calibri"/>
          <w:i/>
          <w:iCs/>
          <w:sz w:val="20"/>
          <w:szCs w:val="20"/>
        </w:rPr>
        <w:t xml:space="preserve">Proceedings of the 22nd ACM SIGKDD Conference</w:t>
      </w:r>
      <w:r>
        <w:rPr>
          <w:rFonts w:ascii="Calibri" w:cs="Calibri" w:eastAsia="Calibri" w:hAnsi="Calibri"/>
          <w:sz w:val="20"/>
          <w:szCs w:val="20"/>
        </w:rPr>
        <w:t xml:space="preserve">, 785–794.</w:t>
      </w:r>
    </w:p>
    <w:p>
      <w:pPr>
        <w:spacing w:after="90"/>
        <w:ind w:left="360" w:hanging="360"/>
      </w:pPr>
      <w:r>
        <w:rPr>
          <w:rFonts w:ascii="Calibri" w:cs="Calibri" w:eastAsia="Calibri" w:hAnsi="Calibri"/>
          <w:sz w:val="20"/>
          <w:szCs w:val="20"/>
        </w:rPr>
        <w:t xml:space="preserve">†Fallucchi, F., Coladangelo, M., Giuliano, R., &amp; De Luca, E. W. (2020). Predicting employee attrition using machine learning techniques. </w:t>
      </w:r>
      <w:r>
        <w:rPr>
          <w:rFonts w:ascii="Calibri" w:cs="Calibri" w:eastAsia="Calibri" w:hAnsi="Calibri"/>
          <w:i/>
          <w:iCs/>
          <w:sz w:val="20"/>
          <w:szCs w:val="20"/>
        </w:rPr>
        <w:t xml:space="preserve">Computers, 9</w:t>
      </w:r>
      <w:r>
        <w:rPr>
          <w:rFonts w:ascii="Calibri" w:cs="Calibri" w:eastAsia="Calibri" w:hAnsi="Calibri"/>
          <w:sz w:val="20"/>
          <w:szCs w:val="20"/>
        </w:rPr>
        <w:t xml:space="preserve">(4), 86. https://doi.org/10.3390/computers9040086</w:t>
      </w:r>
    </w:p>
    <w:p>
      <w:pPr>
        <w:spacing w:after="90"/>
        <w:ind w:left="360" w:hanging="360"/>
      </w:pPr>
      <w:r>
        <w:rPr>
          <w:rFonts w:ascii="Calibri" w:cs="Calibri" w:eastAsia="Calibri" w:hAnsi="Calibri"/>
          <w:sz w:val="20"/>
          <w:szCs w:val="20"/>
        </w:rPr>
        <w:t xml:space="preserve">Griffeth, R. W., Hom, P. W., &amp; Gaertner, S. (2000). A meta-analysis of antecedents and correlates of employee turnover. </w:t>
      </w:r>
      <w:r>
        <w:rPr>
          <w:rFonts w:ascii="Calibri" w:cs="Calibri" w:eastAsia="Calibri" w:hAnsi="Calibri"/>
          <w:i/>
          <w:iCs/>
          <w:sz w:val="20"/>
          <w:szCs w:val="20"/>
        </w:rPr>
        <w:t xml:space="preserve">Journal of Management, 26</w:t>
      </w:r>
      <w:r>
        <w:rPr>
          <w:rFonts w:ascii="Calibri" w:cs="Calibri" w:eastAsia="Calibri" w:hAnsi="Calibri"/>
          <w:sz w:val="20"/>
          <w:szCs w:val="20"/>
        </w:rPr>
        <w:t xml:space="preserve">(3), 463–488.</w:t>
      </w:r>
    </w:p>
    <w:p>
      <w:pPr>
        <w:spacing w:after="90"/>
        <w:ind w:left="360" w:hanging="360"/>
      </w:pPr>
      <w:r>
        <w:rPr>
          <w:rFonts w:ascii="Calibri" w:cs="Calibri" w:eastAsia="Calibri" w:hAnsi="Calibri"/>
          <w:sz w:val="20"/>
          <w:szCs w:val="20"/>
        </w:rPr>
        <w:t xml:space="preserve">Herzberg, F., Mausner, B., &amp; Snyderman, B. B. (1959). </w:t>
      </w:r>
      <w:r>
        <w:rPr>
          <w:rFonts w:ascii="Calibri" w:cs="Calibri" w:eastAsia="Calibri" w:hAnsi="Calibri"/>
          <w:i/>
          <w:iCs/>
          <w:sz w:val="20"/>
          <w:szCs w:val="20"/>
        </w:rPr>
        <w:t xml:space="preserve">The Motivation to Work</w:t>
      </w:r>
      <w:r>
        <w:rPr>
          <w:rFonts w:ascii="Calibri" w:cs="Calibri" w:eastAsia="Calibri" w:hAnsi="Calibri"/>
          <w:sz w:val="20"/>
          <w:szCs w:val="20"/>
        </w:rPr>
        <w:t xml:space="preserve">. Wiley.</w:t>
      </w:r>
    </w:p>
    <w:p>
      <w:pPr>
        <w:spacing w:after="90"/>
        <w:ind w:left="360" w:hanging="360"/>
      </w:pPr>
      <w:r>
        <w:rPr>
          <w:rFonts w:ascii="Calibri" w:cs="Calibri" w:eastAsia="Calibri" w:hAnsi="Calibri"/>
          <w:sz w:val="20"/>
          <w:szCs w:val="20"/>
        </w:rPr>
        <w:t xml:space="preserve">Holtom, B. C., Mitchell, T. R., Lee, T. W., &amp; Eberly, M. B. (2008). Turnover and retention research. </w:t>
      </w:r>
      <w:r>
        <w:rPr>
          <w:rFonts w:ascii="Calibri" w:cs="Calibri" w:eastAsia="Calibri" w:hAnsi="Calibri"/>
          <w:i/>
          <w:iCs/>
          <w:sz w:val="20"/>
          <w:szCs w:val="20"/>
        </w:rPr>
        <w:t xml:space="preserve">Academy of Management Annals, 2</w:t>
      </w:r>
      <w:r>
        <w:rPr>
          <w:rFonts w:ascii="Calibri" w:cs="Calibri" w:eastAsia="Calibri" w:hAnsi="Calibri"/>
          <w:sz w:val="20"/>
          <w:szCs w:val="20"/>
        </w:rPr>
        <w:t xml:space="preserve">(1), 231–274.</w:t>
      </w:r>
    </w:p>
    <w:p>
      <w:pPr>
        <w:spacing w:after="90"/>
        <w:ind w:left="360" w:hanging="360"/>
      </w:pPr>
      <w:r>
        <w:rPr>
          <w:rFonts w:ascii="Calibri" w:cs="Calibri" w:eastAsia="Calibri" w:hAnsi="Calibri"/>
          <w:sz w:val="20"/>
          <w:szCs w:val="20"/>
        </w:rPr>
        <w:t xml:space="preserve">Hom, P. W., Lee, T. W., Shaw, J. D., &amp; Hausknecht, J. P. (2017). One hundred years of employee turnover theory and research. </w:t>
      </w:r>
      <w:r>
        <w:rPr>
          <w:rFonts w:ascii="Calibri" w:cs="Calibri" w:eastAsia="Calibri" w:hAnsi="Calibri"/>
          <w:i/>
          <w:iCs/>
          <w:sz w:val="20"/>
          <w:szCs w:val="20"/>
        </w:rPr>
        <w:t xml:space="preserve">Journal of Applied Psychology, 102</w:t>
      </w:r>
      <w:r>
        <w:rPr>
          <w:rFonts w:ascii="Calibri" w:cs="Calibri" w:eastAsia="Calibri" w:hAnsi="Calibri"/>
          <w:sz w:val="20"/>
          <w:szCs w:val="20"/>
        </w:rPr>
        <w:t xml:space="preserve">(3), 530–545.</w:t>
      </w:r>
    </w:p>
    <w:p>
      <w:pPr>
        <w:spacing w:after="90"/>
        <w:ind w:left="360" w:hanging="360"/>
      </w:pPr>
      <w:r>
        <w:rPr>
          <w:rFonts w:ascii="Calibri" w:cs="Calibri" w:eastAsia="Calibri" w:hAnsi="Calibri"/>
          <w:sz w:val="20"/>
          <w:szCs w:val="20"/>
        </w:rPr>
        <w:t xml:space="preserve">Ke, G., et al. (2017). LightGBM: A highly efficient gradient boosting decision tree. </w:t>
      </w:r>
      <w:r>
        <w:rPr>
          <w:rFonts w:ascii="Calibri" w:cs="Calibri" w:eastAsia="Calibri" w:hAnsi="Calibri"/>
          <w:i/>
          <w:iCs/>
          <w:sz w:val="20"/>
          <w:szCs w:val="20"/>
        </w:rPr>
        <w:t xml:space="preserve">Advances in Neural Information Processing Systems, 30</w:t>
      </w:r>
      <w:r>
        <w:rPr>
          <w:rFonts w:ascii="Calibri" w:cs="Calibri" w:eastAsia="Calibri" w:hAnsi="Calibri"/>
          <w:sz w:val="20"/>
          <w:szCs w:val="20"/>
        </w:rPr>
        <w:t xml:space="preserve">.</w:t>
      </w:r>
    </w:p>
    <w:p>
      <w:pPr>
        <w:spacing w:after="90"/>
        <w:ind w:left="360" w:hanging="360"/>
      </w:pPr>
      <w:r>
        <w:rPr>
          <w:rFonts w:ascii="Calibri" w:cs="Calibri" w:eastAsia="Calibri" w:hAnsi="Calibri"/>
          <w:sz w:val="20"/>
          <w:szCs w:val="20"/>
        </w:rPr>
        <w:t xml:space="preserve">Lee, T. W., &amp; Mitchell, T. R. (1994). An alternative approach: The unfolding model of voluntary employee turnover. </w:t>
      </w:r>
      <w:r>
        <w:rPr>
          <w:rFonts w:ascii="Calibri" w:cs="Calibri" w:eastAsia="Calibri" w:hAnsi="Calibri"/>
          <w:i/>
          <w:iCs/>
          <w:sz w:val="20"/>
          <w:szCs w:val="20"/>
        </w:rPr>
        <w:t xml:space="preserve">Academy of Management Review, 19</w:t>
      </w:r>
      <w:r>
        <w:rPr>
          <w:rFonts w:ascii="Calibri" w:cs="Calibri" w:eastAsia="Calibri" w:hAnsi="Calibri"/>
          <w:sz w:val="20"/>
          <w:szCs w:val="20"/>
        </w:rPr>
        <w:t xml:space="preserve">(1), 51–89.</w:t>
      </w:r>
    </w:p>
    <w:p>
      <w:pPr>
        <w:spacing w:after="90"/>
        <w:ind w:left="360" w:hanging="360"/>
      </w:pPr>
      <w:r>
        <w:rPr>
          <w:rFonts w:ascii="Calibri" w:cs="Calibri" w:eastAsia="Calibri" w:hAnsi="Calibri"/>
          <w:sz w:val="20"/>
          <w:szCs w:val="20"/>
        </w:rPr>
        <w:t xml:space="preserve">Lundberg, S. M., &amp; Lee, S.-I. (2017). A unified approach to interpreting model predictions. </w:t>
      </w:r>
      <w:r>
        <w:rPr>
          <w:rFonts w:ascii="Calibri" w:cs="Calibri" w:eastAsia="Calibri" w:hAnsi="Calibri"/>
          <w:i/>
          <w:iCs/>
          <w:sz w:val="20"/>
          <w:szCs w:val="20"/>
        </w:rPr>
        <w:t xml:space="preserve">Advances in Neural Information Processing Systems, 30</w:t>
      </w:r>
      <w:r>
        <w:rPr>
          <w:rFonts w:ascii="Calibri" w:cs="Calibri" w:eastAsia="Calibri" w:hAnsi="Calibri"/>
          <w:sz w:val="20"/>
          <w:szCs w:val="20"/>
        </w:rPr>
        <w:t xml:space="preserve">.</w:t>
      </w:r>
    </w:p>
    <w:p>
      <w:pPr>
        <w:spacing w:after="90"/>
        <w:ind w:left="360" w:hanging="360"/>
      </w:pPr>
      <w:r>
        <w:rPr>
          <w:rFonts w:ascii="Calibri" w:cs="Calibri" w:eastAsia="Calibri" w:hAnsi="Calibri"/>
          <w:sz w:val="20"/>
          <w:szCs w:val="20"/>
        </w:rPr>
        <w:t xml:space="preserve">March, J. G., &amp; Simon, H. A. (1958). </w:t>
      </w:r>
      <w:r>
        <w:rPr>
          <w:rFonts w:ascii="Calibri" w:cs="Calibri" w:eastAsia="Calibri" w:hAnsi="Calibri"/>
          <w:i/>
          <w:iCs/>
          <w:sz w:val="20"/>
          <w:szCs w:val="20"/>
        </w:rPr>
        <w:t xml:space="preserve">Organizations</w:t>
      </w:r>
      <w:r>
        <w:rPr>
          <w:rFonts w:ascii="Calibri" w:cs="Calibri" w:eastAsia="Calibri" w:hAnsi="Calibri"/>
          <w:sz w:val="20"/>
          <w:szCs w:val="20"/>
        </w:rPr>
        <w:t xml:space="preserve">. Wiley.</w:t>
      </w:r>
    </w:p>
    <w:p>
      <w:pPr>
        <w:spacing w:after="90"/>
        <w:ind w:left="360" w:hanging="360"/>
      </w:pPr>
      <w:r>
        <w:rPr>
          <w:rFonts w:ascii="Calibri" w:cs="Calibri" w:eastAsia="Calibri" w:hAnsi="Calibri"/>
          <w:sz w:val="20"/>
          <w:szCs w:val="20"/>
        </w:rPr>
        <w:t xml:space="preserve">Maslach, C., Schaufeli, W. B., &amp; Leiter, M. P. (2001). Job burnout. </w:t>
      </w:r>
      <w:r>
        <w:rPr>
          <w:rFonts w:ascii="Calibri" w:cs="Calibri" w:eastAsia="Calibri" w:hAnsi="Calibri"/>
          <w:i/>
          <w:iCs/>
          <w:sz w:val="20"/>
          <w:szCs w:val="20"/>
        </w:rPr>
        <w:t xml:space="preserve">Annual Review of Psychology, 52</w:t>
      </w:r>
      <w:r>
        <w:rPr>
          <w:rFonts w:ascii="Calibri" w:cs="Calibri" w:eastAsia="Calibri" w:hAnsi="Calibri"/>
          <w:sz w:val="20"/>
          <w:szCs w:val="20"/>
        </w:rPr>
        <w:t xml:space="preserve">, 397–422.</w:t>
      </w:r>
    </w:p>
    <w:p>
      <w:pPr>
        <w:spacing w:after="90"/>
        <w:ind w:left="360" w:hanging="360"/>
      </w:pPr>
      <w:r>
        <w:rPr>
          <w:rFonts w:ascii="Calibri" w:cs="Calibri" w:eastAsia="Calibri" w:hAnsi="Calibri"/>
          <w:sz w:val="20"/>
          <w:szCs w:val="20"/>
        </w:rPr>
        <w:t xml:space="preserve">Mobley, W. H. (1977). Intermediate linkages in the relationship between job satisfaction and employee turnover. </w:t>
      </w:r>
      <w:r>
        <w:rPr>
          <w:rFonts w:ascii="Calibri" w:cs="Calibri" w:eastAsia="Calibri" w:hAnsi="Calibri"/>
          <w:i/>
          <w:iCs/>
          <w:sz w:val="20"/>
          <w:szCs w:val="20"/>
        </w:rPr>
        <w:t xml:space="preserve">Journal of Applied Psychology, 62</w:t>
      </w:r>
      <w:r>
        <w:rPr>
          <w:rFonts w:ascii="Calibri" w:cs="Calibri" w:eastAsia="Calibri" w:hAnsi="Calibri"/>
          <w:sz w:val="20"/>
          <w:szCs w:val="20"/>
        </w:rPr>
        <w:t xml:space="preserve">(2), 237–240.</w:t>
      </w:r>
    </w:p>
    <w:p>
      <w:pPr>
        <w:spacing w:after="90"/>
        <w:ind w:left="360" w:hanging="360"/>
      </w:pPr>
      <w:r>
        <w:rPr>
          <w:rFonts w:ascii="Calibri" w:cs="Calibri" w:eastAsia="Calibri" w:hAnsi="Calibri"/>
          <w:sz w:val="20"/>
          <w:szCs w:val="20"/>
        </w:rPr>
        <w:t xml:space="preserve">Price, J. L. (1977). </w:t>
      </w:r>
      <w:r>
        <w:rPr>
          <w:rFonts w:ascii="Calibri" w:cs="Calibri" w:eastAsia="Calibri" w:hAnsi="Calibri"/>
          <w:i/>
          <w:iCs/>
          <w:sz w:val="20"/>
          <w:szCs w:val="20"/>
        </w:rPr>
        <w:t xml:space="preserve">The Study of Turnover</w:t>
      </w:r>
      <w:r>
        <w:rPr>
          <w:rFonts w:ascii="Calibri" w:cs="Calibri" w:eastAsia="Calibri" w:hAnsi="Calibri"/>
          <w:sz w:val="20"/>
          <w:szCs w:val="20"/>
        </w:rPr>
        <w:t xml:space="preserve">. Iowa State University Press.</w:t>
      </w:r>
    </w:p>
    <w:p>
      <w:pPr>
        <w:spacing w:after="90"/>
        <w:ind w:left="360" w:hanging="360"/>
      </w:pPr>
      <w:r>
        <w:rPr>
          <w:rFonts w:ascii="Calibri" w:cs="Calibri" w:eastAsia="Calibri" w:hAnsi="Calibri"/>
          <w:sz w:val="20"/>
          <w:szCs w:val="20"/>
        </w:rPr>
        <w:t xml:space="preserve">†Raza, A., Munir, K., Almutairi, M., Younas, F., &amp; Fareed, M. M. S. (2022). Predicting employee attrition using machine learning approaches. </w:t>
      </w:r>
      <w:r>
        <w:rPr>
          <w:rFonts w:ascii="Calibri" w:cs="Calibri" w:eastAsia="Calibri" w:hAnsi="Calibri"/>
          <w:i/>
          <w:iCs/>
          <w:sz w:val="20"/>
          <w:szCs w:val="20"/>
        </w:rPr>
        <w:t xml:space="preserve">Applied Sciences, 12</w:t>
      </w:r>
      <w:r>
        <w:rPr>
          <w:rFonts w:ascii="Calibri" w:cs="Calibri" w:eastAsia="Calibri" w:hAnsi="Calibri"/>
          <w:sz w:val="20"/>
          <w:szCs w:val="20"/>
        </w:rPr>
        <w:t xml:space="preserve">(13), 6424. https://doi.org/10.3390/app12136424</w:t>
      </w:r>
    </w:p>
    <w:p>
      <w:pPr>
        <w:spacing w:after="90"/>
        <w:ind w:left="360" w:hanging="360"/>
      </w:pPr>
      <w:r>
        <w:rPr>
          <w:rFonts w:ascii="Calibri" w:cs="Calibri" w:eastAsia="Calibri" w:hAnsi="Calibri"/>
          <w:sz w:val="20"/>
          <w:szCs w:val="20"/>
        </w:rPr>
        <w:t xml:space="preserve">Sexton, R. S., McMurtrey, S., Michalopoulos, J. O., &amp; Smith, A. M. (2005). Employee turnover: A neural network solution. </w:t>
      </w:r>
      <w:r>
        <w:rPr>
          <w:rFonts w:ascii="Calibri" w:cs="Calibri" w:eastAsia="Calibri" w:hAnsi="Calibri"/>
          <w:i/>
          <w:iCs/>
          <w:sz w:val="20"/>
          <w:szCs w:val="20"/>
        </w:rPr>
        <w:t xml:space="preserve">Computers &amp; Operations Research, 32</w:t>
      </w:r>
      <w:r>
        <w:rPr>
          <w:rFonts w:ascii="Calibri" w:cs="Calibri" w:eastAsia="Calibri" w:hAnsi="Calibri"/>
          <w:sz w:val="20"/>
          <w:szCs w:val="20"/>
        </w:rPr>
        <w:t xml:space="preserve">(10), 2635–2651.</w:t>
      </w:r>
    </w:p>
    <w:p>
      <w:pPr>
        <w:spacing w:after="90"/>
        <w:ind w:left="360" w:hanging="360"/>
      </w:pPr>
      <w:r>
        <w:rPr>
          <w:rFonts w:ascii="Calibri" w:cs="Calibri" w:eastAsia="Calibri" w:hAnsi="Calibri"/>
          <w:sz w:val="20"/>
          <w:szCs w:val="20"/>
        </w:rPr>
        <w:t xml:space="preserve">†Zhao, Y., Hryniewicki, M. K., Cheng, F., Fu, B., &amp; Zhu, X. (2019). Employee turnover prediction with machine learning: A reliable approach. In </w:t>
      </w:r>
      <w:r>
        <w:rPr>
          <w:rFonts w:ascii="Calibri" w:cs="Calibri" w:eastAsia="Calibri" w:hAnsi="Calibri"/>
          <w:i/>
          <w:iCs/>
          <w:sz w:val="20"/>
          <w:szCs w:val="20"/>
        </w:rPr>
        <w:t xml:space="preserve">Intelligent Systems and Applications (IntelliSys 2018)</w:t>
      </w:r>
      <w:r>
        <w:rPr>
          <w:rFonts w:ascii="Calibri" w:cs="Calibri" w:eastAsia="Calibri" w:hAnsi="Calibri"/>
          <w:sz w:val="20"/>
          <w:szCs w:val="20"/>
        </w:rPr>
        <w:t xml:space="preserve">, Springer, 737–758.</w:t>
      </w:r>
    </w:p>
    <w:p>
      <w:pPr>
        <w:spacing w:after="90"/>
        <w:ind w:left="360" w:hanging="360"/>
      </w:pPr>
      <w:r>
        <w:rPr>
          <w:rFonts w:ascii="Calibri" w:cs="Calibri" w:eastAsia="Calibri" w:hAnsi="Calibri"/>
          <w:sz w:val="20"/>
          <w:szCs w:val="20"/>
        </w:rPr>
        <w:t xml:space="preserve">†IBM Watson Analytics. </w:t>
      </w:r>
      <w:r>
        <w:rPr>
          <w:rFonts w:ascii="Calibri" w:cs="Calibri" w:eastAsia="Calibri" w:hAnsi="Calibri"/>
          <w:i/>
          <w:iCs/>
          <w:sz w:val="20"/>
          <w:szCs w:val="20"/>
        </w:rPr>
        <w:t xml:space="preserve">IBM HR Analytics Employee Attrition &amp; Performance</w:t>
      </w:r>
      <w:r>
        <w:rPr>
          <w:rFonts w:ascii="Calibri" w:cs="Calibri" w:eastAsia="Calibri" w:hAnsi="Calibri"/>
          <w:sz w:val="20"/>
          <w:szCs w:val="20"/>
        </w:rPr>
        <w:t xml:space="preserve"> (fictional dataset created by IBM data scientists; 1,470 rows, 35 columns). Distributed via Kaggle.</w:t>
      </w:r>
    </w:p>
    <w:sectPr>
      <w:headerReference w:type="default" r:id="rId7"/>
      <w:headerReference w:type="first" r:id="rId8"/>
      <w:footerReference w:type="default" r:id="rId9"/>
      <w:footerReference w:type="first" r:id="rId10"/>
      <w:pgSz w:w="11906" w:h="16838" w:orient="portrait"/>
      <w:pgMar w:top="130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772"/>
        <w:sz w:val="18"/>
        <w:szCs w:val="18"/>
      </w:rPr>
      <w:t xml:space="preserve">Page </w:t>
    </w:r>
    <w:r>
      <w:rPr>
        <w:rFonts w:ascii="Calibri" w:cs="Calibri" w:eastAsia="Calibri" w:hAnsi="Calibri"/>
        <w:color w:val="5A6772"/>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F" w:sz="4" w:space="4"/>
      </w:pBdr>
      <w:jc w:val="right"/>
    </w:pPr>
    <w:r>
      <w:rPr>
        <w:rFonts w:ascii="Calibri" w:cs="Calibri" w:eastAsia="Calibri" w:hAnsi="Calibri"/>
        <w:color w:val="5A6772"/>
        <w:sz w:val="17"/>
        <w:szCs w:val="17"/>
      </w:rPr>
      <w:t xml:space="preserve">Employee Attrition Prediction &amp; Retention System  |  Literature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B8A8F"/>
      </w:rPr>
    </w:lvl>
  </w:abstractNum>
  <w:abstractNum w:abstractNumId="3" w15:restartNumberingAfterBreak="0">
    <w:multiLevelType w:val="hybridMultilevel"/>
    <w:lvl w:ilvl="0" w15:tentative="1">
      <w:start w:val="1"/>
      <w:numFmt w:val="decimal"/>
      <w:lvlText w:val="%1."/>
      <w:lvlJc w:val="left"/>
      <w:pPr>
        <w:ind w:left="540" w:hanging="360"/>
      </w:pPr>
      <w:rPr>
        <w:b/>
        <w:bCs/>
        <w:color w:val="1B8A8F"/>
      </w:rPr>
    </w:lvl>
  </w:abstractNum>
  <w:abstractNum w:abstractNumId="4" w15:restartNumberingAfterBreak="0">
    <w:multiLevelType w:val="hybridMultilevel"/>
    <w:lvl w:ilvl="0" w15:tentative="1">
      <w:start w:val="1"/>
      <w:numFmt w:val="decimal"/>
      <w:lvlText w:val="%1."/>
      <w:lvlJc w:val="left"/>
      <w:pPr>
        <w:ind w:left="540" w:hanging="360"/>
      </w:pPr>
      <w:rPr>
        <w:b/>
        <w:bCs/>
        <w:color w:val="1B8A8F"/>
      </w:rPr>
    </w:lvl>
  </w:abstractNum>
  <w:abstractNum w:abstractNumId="5" w15:restartNumberingAfterBreak="0">
    <w:multiLevelType w:val="hybridMultilevel"/>
    <w:lvl w:ilvl="0" w15:tentative="1">
      <w:start w:val="1"/>
      <w:numFmt w:val="decimal"/>
      <w:lvlText w:val="%1."/>
      <w:lvlJc w:val="left"/>
      <w:pPr>
        <w:ind w:left="540" w:hanging="360"/>
      </w:pPr>
      <w:rPr>
        <w:b/>
        <w:bCs/>
        <w:color w:val="1B8A8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B8A8F" w:sz="8" w:space="4"/>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B8A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&amp; Conceptual Framework</dc:title>
  <dc:creator>Employee Attrition Project</dc:creator>
  <cp:lastModifiedBy>Un-named</cp:lastModifiedBy>
  <cp:revision>1</cp:revision>
  <dcterms:created xsi:type="dcterms:W3CDTF">2026-10-27T17:55:09.708Z</dcterms:created>
  <dcterms:modified xsi:type="dcterms:W3CDTF">2026-10-27T17:55:09.720Z</dcterms:modified>
</cp:coreProperties>
</file>

<file path=docProps/custom.xml><?xml version="1.0" encoding="utf-8"?>
<Properties xmlns="http://schemas.openxmlformats.org/officeDocument/2006/custom-properties" xmlns:vt="http://schemas.openxmlformats.org/officeDocument/2006/docPropsVTypes"/>
</file>