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B365D"/>
          <w:sz w:val="40"/>
        </w:rPr>
        <w:t>Project Evaluation &amp; Feedback Form</w:t>
      </w:r>
    </w:p>
    <w:p>
      <w:pPr>
        <w:spacing w:before="240" w:after="160"/>
      </w:pPr>
      <w:r>
        <w:rPr>
          <w:b/>
          <w:color w:val="1B365D"/>
          <w:sz w:val="28"/>
        </w:rPr>
        <w:t>2. Literature Review Evaluation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Evaluation Criteria</w:t>
            </w:r>
          </w:p>
        </w:tc>
        <w:tc>
          <w:tcPr>
            <w:tcW w:type="dxa" w:w="46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Instructor's Feedback &amp; Comments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</w:rPr>
              <w:t>2.1 Feedback &amp; Evaluation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r>
              <w:rPr>
                <w:i/>
                <w:color w:val="777777"/>
              </w:rPr>
              <w:t>[Click here to enter overall evaluation and feedback regarding the background research...]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</w:rPr>
              <w:t>2.2 Suggested Improvements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r>
              <w:rPr>
                <w:i/>
                <w:color w:val="777777"/>
              </w:rPr>
              <w:t>[Click here to enter recommendations, areas for project enhancement, and adjustments...]</w:t>
            </w:r>
          </w:p>
        </w:tc>
      </w:tr>
    </w:tbl>
    <w:p>
      <w:pPr>
        <w:spacing w:after="360"/>
      </w:pPr>
    </w:p>
    <w:p>
      <w:pPr>
        <w:spacing w:before="240" w:after="160"/>
      </w:pPr>
      <w:r>
        <w:rPr>
          <w:b/>
          <w:color w:val="1B365D"/>
          <w:sz w:val="28"/>
        </w:rPr>
        <w:t>3. Final Grading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Grading Component</w:t>
            </w:r>
          </w:p>
        </w:tc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Reviewer's Detailed Assessment</w:t>
            </w:r>
          </w:p>
        </w:tc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532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666666"/>
                <w:sz w:val="19"/>
              </w:rPr>
              <w:t>Breakdown of documentation quality, report layout, and academic alignment.</w:t>
              <w:br/>
            </w:r>
            <w:r>
              <w:rPr>
                <w:i/>
                <w:color w:val="888888"/>
              </w:rPr>
              <w:t>[Enter comments here...]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t>[   /   ]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532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666666"/>
                <w:sz w:val="19"/>
              </w:rPr>
              <w:t>Technical deployment of dashboard interfaces, data model configuration, and DAX query optimization.</w:t>
              <w:br/>
            </w:r>
            <w:r>
              <w:rPr>
                <w:i/>
                <w:color w:val="888888"/>
              </w:rPr>
              <w:t>[Enter comments here...]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t>[   /   ]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532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666666"/>
                <w:sz w:val="19"/>
              </w:rPr>
              <w:t>Validation of information integrity, risk parameters accuracy, and visual response rates performance.</w:t>
              <w:br/>
            </w:r>
            <w:r>
              <w:rPr>
                <w:i/>
                <w:color w:val="888888"/>
              </w:rPr>
              <w:t>[Enter comments here...]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t>[   /   ]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532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666666"/>
                <w:sz w:val="19"/>
              </w:rPr>
              <w:t>Technical defense, presentation structure, and articulation of core analysis results.</w:t>
              <w:br/>
            </w:r>
            <w:r>
              <w:rPr>
                <w:i/>
                <w:color w:val="888888"/>
              </w:rPr>
              <w:t>[Enter comments here...]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t>[   /   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