
<file path=[Content_Types].xml><?xml version="1.0" encoding="utf-8"?>
<Types xmlns="http://schemas.openxmlformats.org/package/2006/content-types">
  <Default Extension="ttf" ContentType="application/x-font-ttf"/>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Agentic Code Reviewer - Business Model Canvas</w:t>
      </w:r>
    </w:p>
    <w:p>
      <w:pPr>
        <w:spacing w:after="160"/>
      </w:pPr>
      <w:r>
        <w:rPr>
          <w:color w:val="555555"/>
          <w:sz w:val="18"/>
          <w:szCs w:val="18"/>
        </w:rPr>
        <w:t xml:space="preserve">Updated for re-submission, 14 October 2026. Source: </w:t>
      </w:r>
      <w:r>
        <w:rPr>
          <w:rFonts w:ascii="Consolas" w:cs="Consolas" w:eastAsia="Consolas" w:hAnsi="Consolas"/>
          <w:color w:val="555555"/>
          <w:sz w:val="16"/>
          <w:szCs w:val="16"/>
        </w:rPr>
        <w:t xml:space="preserve">Docs/Draft/enterpenuership/003-business-model-canvas.md</w:t>
      </w:r>
      <w:r>
        <w:rPr>
          <w:color w:val="555555"/>
          <w:sz w:val="18"/>
          <w:szCs w:val="18"/>
        </w:rPr>
        <w:t xml:space="preserve">, fully refreshed on 10 October 2026. Every line comes from what was stated or measured; a block ending in </w:t>
      </w:r>
      <w:r>
        <w:rPr>
          <w:b/>
          <w:bCs/>
          <w:color w:val="555555"/>
          <w:sz w:val="18"/>
          <w:szCs w:val="18"/>
        </w:rPr>
        <w:t xml:space="preserve">GUESS</w:t>
      </w:r>
      <w:r>
        <w:rPr>
          <w:color w:val="555555"/>
          <w:sz w:val="18"/>
          <w:szCs w:val="18"/>
        </w:rPr>
        <w:t xml:space="preserve"> is one where little or nothing was given.</w:t>
      </w:r>
    </w:p>
    <w:p>
      <w:pPr>
        <w:pStyle w:val="Heading2"/>
      </w:pPr>
      <w:r>
        <w:t xml:space="preserve">Team members:</w:t>
      </w:r>
    </w:p>
    <w:p>
      <w:pPr>
        <w:pStyle w:val="ListParagraph"/>
        <w:numPr>
          <w:ilvl w:val="0"/>
          <w:numId w:val="2"/>
        </w:numPr>
        <w:spacing w:after="40"/>
      </w:pPr>
      <w:r>
        <w:t xml:space="preserve">Mohammed Gamal Kenawy (team leader)</w:t>
      </w:r>
    </w:p>
    <w:p>
      <w:pPr>
        <w:pStyle w:val="ListParagraph"/>
        <w:numPr>
          <w:ilvl w:val="0"/>
          <w:numId w:val="2"/>
        </w:numPr>
        <w:spacing w:after="40"/>
      </w:pPr>
      <w:r>
        <w:t xml:space="preserve">Mahmoud Ayman Mahmoud</w:t>
      </w:r>
    </w:p>
    <w:p>
      <w:pPr>
        <w:pStyle w:val="ListParagraph"/>
        <w:numPr>
          <w:ilvl w:val="0"/>
          <w:numId w:val="2"/>
        </w:numPr>
        <w:spacing w:after="40"/>
      </w:pPr>
      <w:r>
        <w:t xml:space="preserve">Yahia Ahmed Hamed</w:t>
      </w:r>
    </w:p>
    <w:p>
      <w:pPr>
        <w:pStyle w:val="ListParagraph"/>
        <w:numPr>
          <w:ilvl w:val="0"/>
          <w:numId w:val="2"/>
        </w:numPr>
        <w:spacing w:after="40"/>
      </w:pPr>
      <w:r>
        <w:t xml:space="preserve">Abdelrahman Ehab</w:t>
      </w:r>
    </w:p>
    <w:p>
      <w:pPr>
        <w:pStyle w:val="ListParagraph"/>
        <w:numPr>
          <w:ilvl w:val="0"/>
          <w:numId w:val="2"/>
        </w:numPr>
        <w:spacing w:after="40"/>
      </w:pPr>
      <w:r>
        <w:t xml:space="preserve">Mohamed Ali Mahmoud</w:t>
      </w:r>
    </w:p>
    <w:p>
      <w:pPr>
        <w:pStyle w:val="ListParagraph"/>
        <w:numPr>
          <w:ilvl w:val="0"/>
          <w:numId w:val="2"/>
        </w:numPr>
        <w:spacing w:after="40"/>
      </w:pPr>
      <w:r>
        <w:t xml:space="preserve">Ahmed Shahin</w:t>
      </w:r>
    </w:p>
    <w:p>
      <w:pPr>
        <w:pBdr>
          <w:left w:val="single" w:color="0F4761" w:sz="18" w:space="8"/>
        </w:pBdr>
        <w:shd w:fill="EEF4F8" w:color="auto" w:val="clear"/>
        <w:spacing w:after="200" w:before="120"/>
        <w:ind w:left="160" w:right="160"/>
      </w:pPr>
      <w:r>
        <w:rPr>
          <w:b/>
          <w:bCs/>
        </w:rPr>
        <w:t xml:space="preserve">What changed since the first submission.</w:t>
      </w:r>
      <w:r>
        <w:t xml:space="preserve"> The business model was decided (open core, 3 October). The reviewer became the one customer segment (9 October). The price was set at $22 per seat per month, with the cost of serving a seat estimated beside it (10 October). The differentiator was re-checked against rivals' own pages and narrowed (10 October). The team is six developers, and the working model is Gemini 3.8 Flash. Three blocks were GUESS before; two still are in part.</w:t>
      </w:r>
    </w:p>
    <w:p>
      <w:pPr>
        <w:pStyle w:val="Heading2"/>
      </w:pPr>
      <w:r>
        <w:t xml:space="preserve">The nine blocks</w:t>
      </w:r>
    </w:p>
    <w:p>
      <w:pPr>
        <w:pStyle w:val="Heading3"/>
      </w:pPr>
      <w:r>
        <w:t xml:space="preserve">1. Customer Segments</w:t>
      </w:r>
    </w:p>
    <w:p>
      <w:pPr>
        <w:pStyle w:val="ListParagraph"/>
        <w:numPr>
          <w:ilvl w:val="0"/>
          <w:numId w:val="2"/>
        </w:numPr>
        <w:spacing w:after="80"/>
      </w:pPr>
      <w:r>
        <w:t xml:space="preserve">The reviewer: an engineer who reviews a teammate's AI-assisted TypeScript or JavaScript pull request, in a company or funded team. The one segment, set on 9 October 2026.</w:t>
      </w:r>
    </w:p>
    <w:p>
      <w:pPr>
        <w:pStyle w:val="ListParagraph"/>
        <w:numPr>
          <w:ilvl w:val="0"/>
          <w:numId w:val="2"/>
        </w:numPr>
        <w:spacing w:after="80"/>
      </w:pPr>
      <w:r>
        <w:t xml:space="preserve">Later, not now: the pull-request author, the tech lead, the open-source maintainer and the security engineer.</w:t>
      </w:r>
    </w:p>
    <w:p>
      <w:pPr>
        <w:pStyle w:val="ListParagraph"/>
        <w:numPr>
          <w:ilvl w:val="0"/>
          <w:numId w:val="2"/>
        </w:numPr>
        <w:spacing w:after="80"/>
      </w:pPr>
      <w:r>
        <w:t xml:space="preserve">Served today: a review of uncommitted changes before they are pushed, and a review of a public pull request. No one outside the team uses either yet.</w:t>
      </w:r>
    </w:p>
    <w:p>
      <w:pPr>
        <w:pStyle w:val="ListParagraph"/>
        <w:numPr>
          <w:ilvl w:val="0"/>
          <w:numId w:val="2"/>
        </w:numPr>
        <w:spacing w:after="80"/>
      </w:pPr>
      <w:r>
        <w:t xml:space="preserve">Who pays is not established: the reviewer, the team or its lead.</w:t>
      </w:r>
    </w:p>
    <w:p>
      <w:pPr>
        <w:pStyle w:val="Heading3"/>
      </w:pPr>
      <w:r>
        <w:t xml:space="preserve">2. Value Propositions</w:t>
      </w:r>
    </w:p>
    <w:p>
      <w:pPr>
        <w:pStyle w:val="ListParagraph"/>
        <w:numPr>
          <w:ilvl w:val="0"/>
          <w:numId w:val="2"/>
        </w:numPr>
        <w:spacing w:after="80"/>
      </w:pPr>
      <w:r>
        <w:t xml:space="preserve">A review of a TS/JS change in which every finding shows its evidence or says it is unverified, and which reports what it did not check. Both are built. Today the evidence is the part of the change the finding rests on.</w:t>
      </w:r>
    </w:p>
    <w:p>
      <w:pPr>
        <w:pStyle w:val="ListParagraph"/>
        <w:numPr>
          <w:ilvl w:val="0"/>
          <w:numId w:val="2"/>
        </w:numPr>
        <w:spacing w:after="80"/>
      </w:pPr>
      <w:r>
        <w:t xml:space="preserve">The promise behind it: answering "does this clean, test-passing code fit this repo?", not just "does it pass?". Not demonstrated: there is no measured catch rate.</w:t>
      </w:r>
    </w:p>
    <w:p>
      <w:pPr>
        <w:pStyle w:val="ListParagraph"/>
        <w:numPr>
          <w:ilvl w:val="0"/>
          <w:numId w:val="2"/>
        </w:numPr>
        <w:spacing w:after="80"/>
      </w:pPr>
      <w:r>
        <w:t xml:space="preserve">Specified, not built: evidence from the repository's own tests and type-check, and the project's own rules.</w:t>
      </w:r>
    </w:p>
    <w:p>
      <w:pPr>
        <w:pStyle w:val="ListParagraph"/>
        <w:numPr>
          <w:ilvl w:val="0"/>
          <w:numId w:val="2"/>
        </w:numPr>
        <w:spacing w:after="80"/>
      </w:pPr>
      <w:r>
        <w:t xml:space="preserve">What is ours, after the re-check of 10 October: nothing is dropped silently, the review reports its own gaps, and the engine can be read. Showing evidence and running checks are things rivals also do, and our price is close to theirs.</w:t>
      </w:r>
    </w:p>
    <w:p>
      <w:pPr>
        <w:pStyle w:val="ListParagraph"/>
        <w:numPr>
          <w:ilvl w:val="0"/>
          <w:numId w:val="2"/>
        </w:numPr>
        <w:spacing w:after="80"/>
      </w:pPr>
      <w:r>
        <w:t xml:space="preserve">The paid hosted review service: what it gives a customer that the free tool does not is not stated.</w:t>
      </w:r>
    </w:p>
    <w:p>
      <w:pPr>
        <w:pStyle w:val="Heading3"/>
      </w:pPr>
      <w:r>
        <w:t xml:space="preserve">3. Channels</w:t>
      </w:r>
    </w:p>
    <w:p>
      <w:pPr>
        <w:pStyle w:val="ListParagraph"/>
        <w:numPr>
          <w:ilvl w:val="0"/>
          <w:numId w:val="2"/>
        </w:numPr>
        <w:spacing w:after="80"/>
      </w:pPr>
      <w:r>
        <w:t xml:space="preserve">Stated: the tool is a local command-line program, specified to ship as a PyPI package, from the repository </w:t>
      </w:r>
      <w:r>
        <w:rPr>
          <w:rFonts w:ascii="Consolas" w:cs="Consolas" w:eastAsia="Consolas" w:hAnsi="Consolas"/>
          <w:sz w:val="20"/>
          <w:szCs w:val="20"/>
        </w:rPr>
        <w:t xml:space="preserve">github.com/MoKenawy/Pull-request-Reviewer</w:t>
      </w:r>
      <w:r>
        <w:t xml:space="preserve">. No release is published.</w:t>
      </w:r>
    </w:p>
    <w:p>
      <w:pPr>
        <w:pStyle w:val="ListParagraph"/>
        <w:numPr>
          <w:ilvl w:val="0"/>
          <w:numId w:val="2"/>
        </w:numPr>
        <w:spacing w:after="80"/>
      </w:pPr>
      <w:r>
        <w:t xml:space="preserve">Stated: the first route to customers is the pilot asked for at the DEPI final pitch: 6 teams for 8 weeks from 1 January 2027.</w:t>
      </w:r>
    </w:p>
    <w:p>
      <w:pPr>
        <w:pStyle w:val="ListParagraph"/>
        <w:numPr>
          <w:ilvl w:val="0"/>
          <w:numId w:val="2"/>
        </w:numPr>
        <w:spacing w:after="80"/>
      </w:pPr>
      <w:r>
        <w:t xml:space="preserve">Not stated: how a reviewer who was not at the pitch finds the tool, and how the hosted service is reached. </w:t>
      </w:r>
      <w:r>
        <w:rPr>
          <w:b/>
          <w:bCs/>
        </w:rPr>
        <w:t xml:space="preserve">GUESS</w:t>
      </w:r>
      <w:r>
        <w:t xml:space="preserve"> for everything past the pilot.</w:t>
      </w:r>
    </w:p>
    <w:p>
      <w:pPr>
        <w:pStyle w:val="Heading3"/>
      </w:pPr>
      <w:r>
        <w:t xml:space="preserve">4. Customer Relationships</w:t>
      </w:r>
    </w:p>
    <w:p>
      <w:pPr>
        <w:pStyle w:val="ListParagraph"/>
        <w:numPr>
          <w:ilvl w:val="0"/>
          <w:numId w:val="2"/>
        </w:numPr>
        <w:spacing w:after="80"/>
      </w:pPr>
      <w:r>
        <w:t xml:space="preserve">Not stated. No support, onboarding or community model has been decided.</w:t>
      </w:r>
    </w:p>
    <w:p>
      <w:pPr>
        <w:pStyle w:val="ListParagraph"/>
        <w:numPr>
          <w:ilvl w:val="0"/>
          <w:numId w:val="2"/>
        </w:numPr>
        <w:spacing w:after="80"/>
      </w:pPr>
      <w:r>
        <w:t xml:space="preserve">Anchors: self-serve, unattended use by a developer at a prompt; direct contact with pilot teams, through one contact address. </w:t>
      </w:r>
      <w:r>
        <w:rPr>
          <w:b/>
          <w:bCs/>
        </w:rPr>
        <w:t xml:space="preserve">GUESS</w:t>
      </w:r>
    </w:p>
    <w:p>
      <w:pPr>
        <w:pStyle w:val="Heading3"/>
      </w:pPr>
      <w:r>
        <w:t xml:space="preserve">5. Revenue Streams</w:t>
      </w:r>
    </w:p>
    <w:p>
      <w:pPr>
        <w:pStyle w:val="ListParagraph"/>
        <w:numPr>
          <w:ilvl w:val="0"/>
          <w:numId w:val="2"/>
        </w:numPr>
        <w:spacing w:after="80"/>
      </w:pPr>
      <w:r>
        <w:t xml:space="preserve">Open core, decided 3 October 2026: the command-line tool is free and open source, and revenue comes from a hosted review service.</w:t>
      </w:r>
    </w:p>
    <w:p>
      <w:pPr>
        <w:pStyle w:val="ListParagraph"/>
        <w:numPr>
          <w:ilvl w:val="0"/>
          <w:numId w:val="2"/>
        </w:numPr>
        <w:spacing w:after="80"/>
      </w:pPr>
      <w:r>
        <w:t xml:space="preserve">Decided 10 October 2026: </w:t>
      </w:r>
      <w:r>
        <w:rPr>
          <w:b/>
          <w:bCs/>
        </w:rPr>
        <w:t xml:space="preserve">$22 per seat per month</w:t>
      </w:r>
      <w:r>
        <w:t xml:space="preserve">, the average of rivals' prices with two limits: under CodeRabbit's $24, and Greptile's $30 left out as an anomaly. $22 is the average of CodeRabbit's $24 and Graphite's $20.</w:t>
      </w:r>
    </w:p>
    <w:p>
      <w:pPr>
        <w:pStyle w:val="ListParagraph"/>
        <w:numPr>
          <w:ilvl w:val="0"/>
          <w:numId w:val="2"/>
        </w:numPr>
        <w:spacing w:after="80"/>
      </w:pPr>
      <w:r>
        <w:t xml:space="preserve">Estimated: a seat leaves $16.19 to $20.86 a month after the cost of serving it, through 2026.</w:t>
      </w:r>
    </w:p>
    <w:p>
      <w:pPr>
        <w:pStyle w:val="ListParagraph"/>
        <w:numPr>
          <w:ilvl w:val="0"/>
          <w:numId w:val="2"/>
        </w:numPr>
        <w:spacing w:after="80"/>
      </w:pPr>
      <w:r>
        <w:t xml:space="preserve">Decided 10 October 2026: each seat includes 150 reviews a month, pooled across the team.</w:t>
      </w:r>
    </w:p>
    <w:p>
      <w:pPr>
        <w:pStyle w:val="ListParagraph"/>
        <w:numPr>
          <w:ilvl w:val="0"/>
          <w:numId w:val="2"/>
        </w:numPr>
        <w:spacing w:after="80"/>
      </w:pPr>
      <w:r>
        <w:t xml:space="preserve">Still not stated: the payment method, and what the service adds over the free tool. There is no evidence anyone would pay.</w:t>
      </w:r>
    </w:p>
    <w:p>
      <w:pPr>
        <w:pStyle w:val="Heading3"/>
      </w:pPr>
      <w:r>
        <w:t xml:space="preserve">6. Key Resources</w:t>
      </w:r>
    </w:p>
    <w:p>
      <w:pPr>
        <w:pStyle w:val="ListParagraph"/>
        <w:numPr>
          <w:ilvl w:val="0"/>
          <w:numId w:val="2"/>
        </w:numPr>
        <w:spacing w:after="80"/>
      </w:pPr>
      <w:r>
        <w:t xml:space="preserve">Six developers, one of them the team leader, and the specification and ADRs they work from.</w:t>
      </w:r>
    </w:p>
    <w:p>
      <w:pPr>
        <w:pStyle w:val="ListParagraph"/>
        <w:numPr>
          <w:ilvl w:val="0"/>
          <w:numId w:val="2"/>
        </w:numPr>
        <w:spacing w:after="80"/>
      </w:pPr>
      <w:r>
        <w:t xml:space="preserve">Model-provider access on a free tier, or a single plan of about $20 a month. Gemini 3.8 Flash is the working model since 10 October 2026; its free tier allows 20 requests a day, enough to build with and not enough to measure or sell on.</w:t>
      </w:r>
    </w:p>
    <w:p>
      <w:pPr>
        <w:pStyle w:val="ListParagraph"/>
        <w:numPr>
          <w:ilvl w:val="0"/>
          <w:numId w:val="2"/>
        </w:numPr>
        <w:spacing w:after="80"/>
      </w:pPr>
      <w:r>
        <w:t xml:space="preserve">The measurements already made: pull-request and review volume in ten public TypeScript repositories, and five measured review runs.</w:t>
      </w:r>
    </w:p>
    <w:p>
      <w:pPr>
        <w:pStyle w:val="Heading3"/>
      </w:pPr>
      <w:r>
        <w:t xml:space="preserve">7. Key Activities</w:t>
      </w:r>
    </w:p>
    <w:p>
      <w:pPr>
        <w:pStyle w:val="ListParagraph"/>
        <w:numPr>
          <w:ilvl w:val="0"/>
          <w:numId w:val="2"/>
        </w:numPr>
        <w:spacing w:after="80"/>
      </w:pPr>
      <w:r>
        <w:t xml:space="preserve">Build the pipeline: next, run the repository's tests and type-check and attach that evidence to findings; then the regression set that measures a catch rate.</w:t>
      </w:r>
    </w:p>
    <w:p>
      <w:pPr>
        <w:pStyle w:val="ListParagraph"/>
        <w:numPr>
          <w:ilvl w:val="0"/>
          <w:numId w:val="2"/>
        </w:numPr>
        <w:spacing w:after="80"/>
      </w:pPr>
      <w:r>
        <w:t xml:space="preserve">Run the pilot, and measure in it what is still blank: reviews per team, cost per review on real code, willingness to pay.</w:t>
      </w:r>
    </w:p>
    <w:p>
      <w:pPr>
        <w:pStyle w:val="ListParagraph"/>
        <w:numPr>
          <w:ilvl w:val="0"/>
          <w:numId w:val="2"/>
        </w:numPr>
        <w:spacing w:after="80"/>
      </w:pPr>
      <w:r>
        <w:t xml:space="preserve">Interview reviewers. No reviewer's own words have been collected.</w:t>
      </w:r>
    </w:p>
    <w:p>
      <w:pPr>
        <w:pStyle w:val="ListParagraph"/>
        <w:numPr>
          <w:ilvl w:val="0"/>
          <w:numId w:val="2"/>
        </w:numPr>
        <w:spacing w:after="80"/>
      </w:pPr>
      <w:r>
        <w:t xml:space="preserve">Finish the cost measurement on larger pull requests.</w:t>
      </w:r>
    </w:p>
    <w:p>
      <w:pPr>
        <w:pStyle w:val="Heading3"/>
      </w:pPr>
      <w:r>
        <w:t xml:space="preserve">8. Key Partnerships</w:t>
      </w:r>
    </w:p>
    <w:p>
      <w:pPr>
        <w:pStyle w:val="ListParagraph"/>
        <w:numPr>
          <w:ilvl w:val="0"/>
          <w:numId w:val="2"/>
        </w:numPr>
        <w:spacing w:after="80"/>
      </w:pPr>
      <w:r>
        <w:t xml:space="preserve">No partner or channel relationship has been named.</w:t>
      </w:r>
    </w:p>
    <w:p>
      <w:pPr>
        <w:pStyle w:val="ListParagraph"/>
        <w:numPr>
          <w:ilvl w:val="0"/>
          <w:numId w:val="2"/>
        </w:numPr>
        <w:spacing w:after="80"/>
      </w:pPr>
      <w:r>
        <w:t xml:space="preserve">Suppliers the plans assume: Google, for the working model (any provider with an OpenAI-compatible address can replace it by changing an address and a model name), and AWS, which the cost sheet prices for the hosted service.</w:t>
      </w:r>
    </w:p>
    <w:p>
      <w:pPr>
        <w:pStyle w:val="ListParagraph"/>
        <w:numPr>
          <w:ilvl w:val="0"/>
          <w:numId w:val="2"/>
        </w:numPr>
        <w:spacing w:after="80"/>
      </w:pPr>
      <w:r>
        <w:t xml:space="preserve">Pilot teams: none yet. </w:t>
      </w:r>
      <w:r>
        <w:rPr>
          <w:b/>
          <w:bCs/>
        </w:rPr>
        <w:t xml:space="preserve">GUESS</w:t>
      </w:r>
      <w:r>
        <w:t xml:space="preserve"> for everything beyond suppliers.</w:t>
      </w:r>
    </w:p>
    <w:p>
      <w:pPr>
        <w:pStyle w:val="Heading3"/>
      </w:pPr>
      <w:r>
        <w:t xml:space="preserve">9. Cost Structure</w:t>
      </w:r>
    </w:p>
    <w:p>
      <w:pPr>
        <w:pStyle w:val="ListParagraph"/>
        <w:numPr>
          <w:ilvl w:val="0"/>
          <w:numId w:val="2"/>
        </w:numPr>
        <w:spacing w:after="80"/>
      </w:pPr>
      <w:r>
        <w:t xml:space="preserve">Building the tool: inference capped at free tiers or about $20 a month; no paid inference infrastructure.</w:t>
      </w:r>
    </w:p>
    <w:p>
      <w:pPr>
        <w:pStyle w:val="ListParagraph"/>
        <w:numPr>
          <w:ilvl w:val="0"/>
          <w:numId w:val="2"/>
        </w:numPr>
        <w:spacing w:after="80"/>
      </w:pPr>
      <w:r>
        <w:t xml:space="preserve">Running the hosted service, per seat: an estimated $1.14 to $5.81 a month through 2026 and $2.19 to $8.95 from 2027, when the provider's prices double. That is 25 to 75 reviews, the average for a developer's month, each $0.0418 in measured model tokens plus a repository download. Larger reviews cost more and are unmeasured.</w:t>
      </w:r>
    </w:p>
    <w:p>
      <w:pPr>
        <w:pStyle w:val="ListParagraph"/>
        <w:numPr>
          <w:ilvl w:val="0"/>
          <w:numId w:val="2"/>
        </w:numPr>
        <w:spacing w:after="80"/>
      </w:pPr>
      <w:r>
        <w:t xml:space="preserve">Running the hosted service, always on: an estimated $96.36 a month for one load balancer, one NAT gateway, one public address and one assumed small server.</w:t>
      </w:r>
    </w:p>
    <w:p>
      <w:pPr>
        <w:pStyle w:val="ListParagraph"/>
        <w:numPr>
          <w:ilvl w:val="0"/>
          <w:numId w:val="2"/>
        </w:numPr>
        <w:spacing w:after="80"/>
      </w:pPr>
      <w:r>
        <w:t xml:space="preserve">Contributor time: the dominant input, and unpriced.</w:t>
      </w:r>
    </w:p>
    <w:p>
      <w:pPr>
        <w:pStyle w:val="Heading2"/>
      </w:pPr>
      <w:r>
        <w:t xml:space="preserve">The three riskiest blocks</w:t>
      </w:r>
    </w:p>
    <w:p>
      <w:pPr>
        <w:pStyle w:val="Heading3"/>
      </w:pPr>
      <w:r>
        <w:t xml:space="preserve">1. Revenue Streams: a market price, and no reason yet to pay it</w:t>
      </w:r>
    </w:p>
    <w:p>
      <w:r>
        <w:t xml:space="preserve">The model, the unit and the price are stated: open core, a hosted service, $22 per seat per month. On paper the economics are easy: a seat is estimated to cost $1.14 to $5.81 to serve, and five to six seats cover the always-on infrastructure.</w:t>
      </w:r>
    </w:p>
    <w:p>
      <w:r>
        <w:t xml:space="preserve">The difficulty moved from cost to the customer. At $22 we are $2 under CodeRabbit, and today's build does less than CodeRabbit does: one model pass, no checks, no measured catch rate. Two dollars is a thin reason to accept less, and the price was set by averaging, not by anything a customer said.</w:t>
      </w:r>
    </w:p>
    <w:p>
      <w:r>
        <w:t xml:space="preserve">Two gaps remain. Nothing says what the hosted service gives a customer that the free tool does not, and the free tool on the customer's own key gives the same review for the cost of the tokens, an estimated $1.05 to $3.14 a month. And the hosted service is not designed: it has no specification, no version and no architecture decision.</w:t>
      </w:r>
    </w:p>
    <w:p>
      <w:r>
        <w:t xml:space="preserve">A flat seat price carries a cost risk, which the allowance limits: a seat that uses all 150 reviews costs an estimated $17.90 at most to serve. Without it a seat would cost more than $22 after 184 to 482 reviews in a month. No one has said they would pay.</w:t>
      </w:r>
    </w:p>
    <w:p>
      <w:pPr>
        <w:pStyle w:val="Heading3"/>
      </w:pPr>
      <w:r>
        <w:t xml:space="preserve">2. Customer Segments: the reviewer is named, and only partly served</w:t>
      </w:r>
    </w:p>
    <w:p>
      <w:r>
        <w:t xml:space="preserve">The one customer is the reviewer. The version being built was specified for the change author before they push, and the specification still says so. Since 9 October 2026 the same command also reviews a public pull request, the first thing the tool does from the reviewer's seat. It reads public repositories only, posts nothing on the pull request and runs no checks there, so the reviewer in a private company repository is not reached that way yet.</w:t>
      </w:r>
    </w:p>
    <w:p>
      <w:r>
        <w:t xml:space="preserve">The reviewers we can observe already have an automated reviewer. In ten public TypeScript repositories, a bot account reviewed 5,711 of 7,670 human pull requests in September 2026, and three commercial AI reviewers reviewed 2,064, 901 and 521 of them. In those teams the product would not be the first automated reviewer. Who pays is not established either.</w:t>
      </w:r>
    </w:p>
    <w:p>
      <w:pPr>
        <w:pStyle w:val="Heading3"/>
      </w:pPr>
      <w:r>
        <w:t xml:space="preserve">3. Value Propositions: the pain is thin, and the difference is narrower than it was</w:t>
      </w:r>
    </w:p>
    <w:p>
      <w:r>
        <w:t xml:space="preserve">"Clean code hides wrong shape" is three anecdotes, unquantified. The named defect types come from a single first-hand account. No reviewer has been interviewed. Two sources disagree on how many false positives a reviewer will tolerate, so the quality bar for the core promise is unknown.</w:t>
      </w:r>
    </w:p>
    <w:p>
      <w:r>
        <w:t xml:space="preserve">The difference from rivals was re-checked on 10 October 2026 and shrank. Rivals do not only "verify with a model": one writes and runs tests in a sandbox, another runs verification scripts there, and two show the reader how a finding was checked. Our own test run is specified, not built. What is left is that nothing is dropped silently, that the review reports its own gaps, and an engine that can be read.</w:t>
      </w:r>
    </w:p>
    <w:p>
      <w:pPr>
        <w:sectPr>
          <w:footerReference w:type="default" r:id="rId6"/>
          <w:pgSz w:w="12240" w:h="15840" w:orient="portrait"/>
          <w:pgMar w:top="1440" w:right="1440" w:bottom="1440" w:left="1440" w:header="708" w:footer="708" w:gutter="0"/>
          <w:pgNumType/>
          <w:docGrid w:linePitch="360"/>
        </w:sectPr>
      </w:pPr>
      <w:r>
        <w:t xml:space="preserve">The build's review quality is unmeasured. On the working model, five measured runs reported no finding, and the build could not tell "nothing to report" from "did not use the finding tool". And the stated root cause is cultural, so even a reviewer that works perfectly addresses a symptom.</w:t>
      </w:r>
    </w:p>
    <w:p>
      <w:pPr>
        <w:pStyle w:val="Heading2"/>
      </w:pPr>
      <w:r>
        <w:t xml:space="preserve">Canvas</w:t>
      </w:r>
    </w:p>
    <w:tbl>
      <w:tblPr>
        <w:tblW w:type="dxa" w:w="14110"/>
        <w:tblBorders>
          <w:top w:val="single" w:color="auto" w:sz="4"/>
          <w:left w:val="single" w:color="auto" w:sz="4"/>
          <w:bottom w:val="single" w:color="auto" w:sz="4"/>
          <w:right w:val="single" w:color="auto" w:sz="4"/>
          <w:insideH w:val="single" w:color="auto" w:sz="4"/>
          <w:insideV w:val="single" w:color="auto" w:sz="4"/>
        </w:tblBorders>
      </w:tblPr>
      <w:tblGrid>
        <w:gridCol w:w="1411"/>
        <w:gridCol w:w="1411"/>
        <w:gridCol w:w="1411"/>
        <w:gridCol w:w="1411"/>
        <w:gridCol w:w="1411"/>
        <w:gridCol w:w="1411"/>
        <w:gridCol w:w="1411"/>
        <w:gridCol w:w="1411"/>
        <w:gridCol w:w="1411"/>
        <w:gridCol w:w="1411"/>
      </w:tblGrid>
      <w:tr>
        <w:trPr>
          <w:trHeight w:val="2900" w:hRule="atLeast"/>
        </w:trPr>
        <w:tc>
          <w:tcPr>
            <w:tcW w:type="dxa" w:w="2822"/>
            <w:gridSpan w:val="2"/>
            <w:vMerge w:val="restart"/>
            <w:tcBorders>
              <w:top w:val="single" w:color="BFC7D1" w:sz="4"/>
              <w:left w:val="single" w:color="BFC7D1" w:sz="4"/>
              <w:bottom w:val="single" w:color="BFC7D1" w:sz="4"/>
              <w:right w:val="single" w:color="BFC7D1" w:sz="4"/>
            </w:tcBorders>
            <w:shd w:fill="FDECEA" w:color="auto" w:val="clear"/>
            <w:tcMar>
              <w:top w:type="dxa" w:w="80"/>
              <w:left w:type="dxa" w:w="100"/>
              <w:bottom w:type="dxa" w:w="80"/>
              <w:right w:type="dxa" w:w="100"/>
            </w:tcMar>
            <w:vAlign w:val="top"/>
          </w:tcPr>
          <w:p>
            <w:pPr>
              <w:spacing w:after="60"/>
            </w:pPr>
            <w:r>
              <w:rPr>
                <w:b/>
                <w:bCs/>
                <w:color w:val="1F2937"/>
                <w:sz w:val="24"/>
                <w:szCs w:val="24"/>
              </w:rPr>
              <w:t xml:space="preserve">8. Key Partnerships</w:t>
            </w:r>
          </w:p>
          <w:p>
            <w:pPr>
              <w:spacing w:after="80" w:line="252"/>
            </w:pPr>
            <w:r>
              <w:rPr>
                <w:sz w:val="20"/>
                <w:szCs w:val="20"/>
              </w:rPr>
              <w:t xml:space="preserve">No partner or channel relationship named</w:t>
            </w:r>
          </w:p>
          <w:p>
            <w:pPr>
              <w:spacing w:after="80" w:line="252"/>
            </w:pPr>
            <w:r>
              <w:rPr>
                <w:sz w:val="20"/>
                <w:szCs w:val="20"/>
              </w:rPr>
              <w:t xml:space="preserve">Suppliers the plans assume: Google (the model), AWS (hosting)</w:t>
            </w:r>
          </w:p>
          <w:p>
            <w:pPr>
              <w:spacing w:after="80" w:line="252"/>
            </w:pPr>
            <w:r>
              <w:rPr>
                <w:sz w:val="20"/>
                <w:szCs w:val="20"/>
              </w:rPr>
              <w:t xml:space="preserve">Pilot teams: none yet</w:t>
            </w:r>
          </w:p>
          <w:p>
            <w:pPr>
              <w:spacing w:after="80" w:line="252"/>
            </w:pPr>
            <w:r>
              <w:rPr>
                <w:b/>
                <w:bCs/>
                <w:sz w:val="20"/>
                <w:szCs w:val="20"/>
              </w:rPr>
              <w:t xml:space="preserve">GUESS</w:t>
            </w:r>
            <w:r>
              <w:rPr>
                <w:sz w:val="20"/>
                <w:szCs w:val="20"/>
              </w:rPr>
              <w:t xml:space="preserve"> beyond suppliers</w:t>
            </w:r>
          </w:p>
        </w:tc>
        <w:tc>
          <w:tcPr>
            <w:tcW w:type="dxa" w:w="2822"/>
            <w:gridSpan w:val="2"/>
            <w:tcBorders>
              <w:top w:val="single" w:color="BFC7D1" w:sz="4"/>
              <w:left w:val="single" w:color="BFC7D1" w:sz="4"/>
              <w:bottom w:val="single" w:color="BFC7D1" w:sz="4"/>
              <w:right w:val="single" w:color="BFC7D1" w:sz="4"/>
            </w:tcBorders>
            <w:shd w:fill="E8F7E8" w:color="auto" w:val="clear"/>
            <w:tcMar>
              <w:top w:type="dxa" w:w="80"/>
              <w:left w:type="dxa" w:w="100"/>
              <w:bottom w:type="dxa" w:w="80"/>
              <w:right w:type="dxa" w:w="100"/>
            </w:tcMar>
            <w:vAlign w:val="top"/>
          </w:tcPr>
          <w:p>
            <w:pPr>
              <w:spacing w:after="60"/>
            </w:pPr>
            <w:r>
              <w:rPr>
                <w:b/>
                <w:bCs/>
                <w:color w:val="1F2937"/>
                <w:sz w:val="24"/>
                <w:szCs w:val="24"/>
              </w:rPr>
              <w:t xml:space="preserve">7. Key Activities</w:t>
            </w:r>
          </w:p>
          <w:p>
            <w:pPr>
              <w:spacing w:after="80" w:line="252"/>
            </w:pPr>
            <w:r>
              <w:rPr>
                <w:sz w:val="20"/>
                <w:szCs w:val="20"/>
              </w:rPr>
              <w:t xml:space="preserve">Build next: run the repo's tests + type-check, then the catch-rate regression set</w:t>
            </w:r>
          </w:p>
          <w:p>
            <w:pPr>
              <w:spacing w:after="80" w:line="252"/>
            </w:pPr>
            <w:r>
              <w:rPr>
                <w:sz w:val="20"/>
                <w:szCs w:val="20"/>
              </w:rPr>
              <w:t xml:space="preserve">Run the pilot</w:t>
            </w:r>
          </w:p>
          <w:p>
            <w:pPr>
              <w:spacing w:after="80" w:line="252"/>
            </w:pPr>
            <w:r>
              <w:rPr>
                <w:sz w:val="20"/>
                <w:szCs w:val="20"/>
              </w:rPr>
              <w:t xml:space="preserve">Interview reviewers</w:t>
            </w:r>
          </w:p>
          <w:p>
            <w:pPr>
              <w:spacing w:after="80" w:line="252"/>
            </w:pPr>
            <w:r>
              <w:rPr>
                <w:sz w:val="20"/>
                <w:szCs w:val="20"/>
              </w:rPr>
              <w:t xml:space="preserve">Finish the cost measurement</w:t>
            </w:r>
          </w:p>
        </w:tc>
        <w:tc>
          <w:tcPr>
            <w:tcW w:type="dxa" w:w="2822"/>
            <w:gridSpan w:val="2"/>
            <w:vMerge w:val="restart"/>
            <w:tcBorders>
              <w:top w:val="single" w:color="BFC7D1" w:sz="4"/>
              <w:left w:val="single" w:color="BFC7D1" w:sz="4"/>
              <w:bottom w:val="single" w:color="BFC7D1" w:sz="4"/>
              <w:right w:val="single" w:color="BFC7D1" w:sz="4"/>
            </w:tcBorders>
            <w:shd w:fill="FFF4D6" w:color="auto" w:val="clear"/>
            <w:tcMar>
              <w:top w:type="dxa" w:w="80"/>
              <w:left w:type="dxa" w:w="100"/>
              <w:bottom w:type="dxa" w:w="80"/>
              <w:right w:type="dxa" w:w="100"/>
            </w:tcMar>
            <w:vAlign w:val="top"/>
          </w:tcPr>
          <w:p>
            <w:pPr>
              <w:spacing w:after="60"/>
            </w:pPr>
            <w:r>
              <w:rPr>
                <w:b/>
                <w:bCs/>
                <w:color w:val="1F2937"/>
                <w:sz w:val="24"/>
                <w:szCs w:val="24"/>
              </w:rPr>
              <w:t xml:space="preserve">2. Value Propositions</w:t>
            </w:r>
          </w:p>
          <w:p>
            <w:pPr>
              <w:spacing w:after="80" w:line="252"/>
            </w:pPr>
            <w:r>
              <w:rPr>
                <w:sz w:val="20"/>
                <w:szCs w:val="20"/>
              </w:rPr>
              <w:t xml:space="preserve">Every finding shows its evidence or says "unverified"</w:t>
            </w:r>
          </w:p>
          <w:p>
            <w:pPr>
              <w:spacing w:after="80" w:line="252"/>
            </w:pPr>
            <w:r>
              <w:rPr>
                <w:sz w:val="20"/>
                <w:szCs w:val="20"/>
              </w:rPr>
              <w:t xml:space="preserve">The review reports its own gaps (built)</w:t>
            </w:r>
          </w:p>
          <w:p>
            <w:pPr>
              <w:spacing w:after="80" w:line="252"/>
            </w:pPr>
            <w:r>
              <w:rPr>
                <w:sz w:val="20"/>
                <w:szCs w:val="20"/>
              </w:rPr>
              <w:t xml:space="preserve">Fit with the repo: promised, not demonstrated</w:t>
            </w:r>
          </w:p>
          <w:p>
            <w:pPr>
              <w:spacing w:after="80" w:line="252"/>
            </w:pPr>
            <w:r>
              <w:rPr>
                <w:sz w:val="20"/>
                <w:szCs w:val="20"/>
              </w:rPr>
              <w:t xml:space="preserve">Tests + type-check as evidence: specified, not built</w:t>
            </w:r>
          </w:p>
          <w:p>
            <w:pPr>
              <w:spacing w:after="80" w:line="252"/>
            </w:pPr>
            <w:r>
              <w:rPr>
                <w:sz w:val="20"/>
                <w:szCs w:val="20"/>
              </w:rPr>
              <w:t xml:space="preserve">Hosted tier's added value: not stated</w:t>
            </w:r>
          </w:p>
        </w:tc>
        <w:tc>
          <w:tcPr>
            <w:tcW w:type="dxa" w:w="2822"/>
            <w:gridSpan w:val="2"/>
            <w:tcBorders>
              <w:top w:val="single" w:color="BFC7D1" w:sz="4"/>
              <w:left w:val="single" w:color="BFC7D1" w:sz="4"/>
              <w:bottom w:val="single" w:color="BFC7D1" w:sz="4"/>
              <w:right w:val="single" w:color="BFC7D1" w:sz="4"/>
            </w:tcBorders>
            <w:shd w:fill="FDECEA" w:color="auto" w:val="clear"/>
            <w:tcMar>
              <w:top w:type="dxa" w:w="80"/>
              <w:left w:type="dxa" w:w="100"/>
              <w:bottom w:type="dxa" w:w="80"/>
              <w:right w:type="dxa" w:w="100"/>
            </w:tcMar>
            <w:vAlign w:val="top"/>
          </w:tcPr>
          <w:p>
            <w:pPr>
              <w:spacing w:after="60"/>
            </w:pPr>
            <w:r>
              <w:rPr>
                <w:b/>
                <w:bCs/>
                <w:color w:val="1F2937"/>
                <w:sz w:val="24"/>
                <w:szCs w:val="24"/>
              </w:rPr>
              <w:t xml:space="preserve">4. Customer Relationships</w:t>
            </w:r>
          </w:p>
          <w:p>
            <w:pPr>
              <w:spacing w:after="80" w:line="252"/>
            </w:pPr>
            <w:r>
              <w:rPr>
                <w:sz w:val="20"/>
                <w:szCs w:val="20"/>
              </w:rPr>
              <w:t xml:space="preserve">Not stated</w:t>
            </w:r>
          </w:p>
          <w:p>
            <w:pPr>
              <w:spacing w:after="80" w:line="252"/>
            </w:pPr>
            <w:r>
              <w:rPr>
                <w:sz w:val="20"/>
                <w:szCs w:val="20"/>
              </w:rPr>
              <w:t xml:space="preserve">Anchors: self-serve use at a prompt; direct contact with pilot teams through one address</w:t>
            </w:r>
          </w:p>
          <w:p>
            <w:pPr>
              <w:spacing w:after="80" w:line="252"/>
            </w:pPr>
            <w:r>
              <w:rPr>
                <w:b/>
                <w:bCs/>
                <w:sz w:val="20"/>
                <w:szCs w:val="20"/>
              </w:rPr>
              <w:t xml:space="preserve">GUESS</w:t>
            </w:r>
          </w:p>
        </w:tc>
        <w:tc>
          <w:tcPr>
            <w:tcW w:type="dxa" w:w="2822"/>
            <w:gridSpan w:val="2"/>
            <w:vMerge w:val="restart"/>
            <w:tcBorders>
              <w:top w:val="single" w:color="BFC7D1" w:sz="4"/>
              <w:left w:val="single" w:color="BFC7D1" w:sz="4"/>
              <w:bottom w:val="single" w:color="BFC7D1" w:sz="4"/>
              <w:right w:val="single" w:color="BFC7D1" w:sz="4"/>
            </w:tcBorders>
            <w:shd w:fill="FFF4D6" w:color="auto" w:val="clear"/>
            <w:tcMar>
              <w:top w:type="dxa" w:w="80"/>
              <w:left w:type="dxa" w:w="100"/>
              <w:bottom w:type="dxa" w:w="80"/>
              <w:right w:type="dxa" w:w="100"/>
            </w:tcMar>
            <w:vAlign w:val="top"/>
          </w:tcPr>
          <w:p>
            <w:pPr>
              <w:spacing w:after="60"/>
            </w:pPr>
            <w:r>
              <w:rPr>
                <w:b/>
                <w:bCs/>
                <w:color w:val="1F2937"/>
                <w:sz w:val="24"/>
                <w:szCs w:val="24"/>
              </w:rPr>
              <w:t xml:space="preserve">1. Customer Segments</w:t>
            </w:r>
          </w:p>
          <w:p>
            <w:pPr>
              <w:spacing w:after="80" w:line="252"/>
            </w:pPr>
            <w:r>
              <w:rPr>
                <w:sz w:val="20"/>
                <w:szCs w:val="20"/>
              </w:rPr>
              <w:t xml:space="preserve">The reviewer of AI-assisted TS/JS pull requests, in a company or funded team</w:t>
            </w:r>
          </w:p>
          <w:p>
            <w:pPr>
              <w:spacing w:after="80" w:line="252"/>
            </w:pPr>
            <w:r>
              <w:rPr>
                <w:sz w:val="20"/>
                <w:szCs w:val="20"/>
              </w:rPr>
              <w:t xml:space="preserve">Later: author, tech lead, OSS maintainer, security engineer</w:t>
            </w:r>
          </w:p>
          <w:p>
            <w:pPr>
              <w:spacing w:after="80" w:line="252"/>
            </w:pPr>
            <w:r>
              <w:rPr>
                <w:sz w:val="20"/>
                <w:szCs w:val="20"/>
              </w:rPr>
              <w:t xml:space="preserve">Who pays: not established</w:t>
            </w:r>
          </w:p>
        </w:tc>
      </w:tr>
      <w:tr>
        <w:trPr>
          <w:trHeight w:val="2900" w:hRule="atLeast"/>
        </w:trPr>
        <w:tc>
          <w:tcPr>
            <w:tcW w:type="dxa" w:w="2822"/>
            <w:gridSpan w:val="2"/>
            <w:vMerge w:val="continue"/>
            <w:tcBorders>
              <w:top w:val="single" w:color="BFC7D1" w:sz="4"/>
              <w:left w:val="single" w:color="BFC7D1" w:sz="4"/>
              <w:bottom w:val="single" w:color="BFC7D1" w:sz="4"/>
              <w:right w:val="single" w:color="BFC7D1" w:sz="4"/>
            </w:tcBorders>
          </w:tcPr>
          <w:p/>
        </w:tc>
        <w:tc>
          <w:tcPr>
            <w:tcW w:type="dxa" w:w="2822"/>
            <w:gridSpan w:val="2"/>
            <w:tcBorders>
              <w:top w:val="single" w:color="BFC7D1" w:sz="4"/>
              <w:left w:val="single" w:color="BFC7D1" w:sz="4"/>
              <w:bottom w:val="single" w:color="BFC7D1" w:sz="4"/>
              <w:right w:val="single" w:color="BFC7D1" w:sz="4"/>
            </w:tcBorders>
            <w:shd w:fill="E8F7E8" w:color="auto" w:val="clear"/>
            <w:tcMar>
              <w:top w:type="dxa" w:w="80"/>
              <w:left w:type="dxa" w:w="100"/>
              <w:bottom w:type="dxa" w:w="80"/>
              <w:right w:type="dxa" w:w="100"/>
            </w:tcMar>
            <w:vAlign w:val="top"/>
          </w:tcPr>
          <w:p>
            <w:pPr>
              <w:spacing w:after="60"/>
            </w:pPr>
            <w:r>
              <w:rPr>
                <w:b/>
                <w:bCs/>
                <w:color w:val="1F2937"/>
                <w:sz w:val="24"/>
                <w:szCs w:val="24"/>
              </w:rPr>
              <w:t xml:space="preserve">6. Key Resources</w:t>
            </w:r>
          </w:p>
          <w:p>
            <w:pPr>
              <w:spacing w:after="80" w:line="252"/>
            </w:pPr>
            <w:r>
              <w:rPr>
                <w:sz w:val="20"/>
                <w:szCs w:val="20"/>
              </w:rPr>
              <w:t xml:space="preserve">Six developers</w:t>
            </w:r>
          </w:p>
          <w:p>
            <w:pPr>
              <w:spacing w:after="80" w:line="252"/>
            </w:pPr>
            <w:r>
              <w:rPr>
                <w:sz w:val="20"/>
                <w:szCs w:val="20"/>
              </w:rPr>
              <w:t xml:space="preserve">The specification and ADRs</w:t>
            </w:r>
          </w:p>
          <w:p>
            <w:pPr>
              <w:spacing w:after="80" w:line="252"/>
            </w:pPr>
            <w:r>
              <w:rPr>
                <w:sz w:val="20"/>
                <w:szCs w:val="20"/>
              </w:rPr>
              <w:t xml:space="preserve">Gemini 3.8 Flash, free tier: 20 requests a day</w:t>
            </w:r>
          </w:p>
          <w:p>
            <w:pPr>
              <w:spacing w:after="80" w:line="252"/>
            </w:pPr>
            <w:r>
              <w:rPr>
                <w:sz w:val="20"/>
                <w:szCs w:val="20"/>
              </w:rPr>
              <w:t xml:space="preserve">Measured: review volume in 10 public repos; 5 cost runs</w:t>
            </w:r>
          </w:p>
        </w:tc>
        <w:tc>
          <w:tcPr>
            <w:tcW w:type="dxa" w:w="2822"/>
            <w:gridSpan w:val="2"/>
            <w:vMerge w:val="continue"/>
            <w:tcBorders>
              <w:top w:val="single" w:color="BFC7D1" w:sz="4"/>
              <w:left w:val="single" w:color="BFC7D1" w:sz="4"/>
              <w:bottom w:val="single" w:color="BFC7D1" w:sz="4"/>
              <w:right w:val="single" w:color="BFC7D1" w:sz="4"/>
            </w:tcBorders>
          </w:tcPr>
          <w:p/>
        </w:tc>
        <w:tc>
          <w:tcPr>
            <w:tcW w:type="dxa" w:w="2822"/>
            <w:gridSpan w:val="2"/>
            <w:tcBorders>
              <w:top w:val="single" w:color="BFC7D1" w:sz="4"/>
              <w:left w:val="single" w:color="BFC7D1" w:sz="4"/>
              <w:bottom w:val="single" w:color="BFC7D1" w:sz="4"/>
              <w:right w:val="single" w:color="BFC7D1" w:sz="4"/>
            </w:tcBorders>
            <w:shd w:fill="E8F7E8" w:color="auto" w:val="clear"/>
            <w:tcMar>
              <w:top w:type="dxa" w:w="80"/>
              <w:left w:type="dxa" w:w="100"/>
              <w:bottom w:type="dxa" w:w="80"/>
              <w:right w:type="dxa" w:w="100"/>
            </w:tcMar>
            <w:vAlign w:val="top"/>
          </w:tcPr>
          <w:p>
            <w:pPr>
              <w:spacing w:after="60"/>
            </w:pPr>
            <w:r>
              <w:rPr>
                <w:b/>
                <w:bCs/>
                <w:color w:val="1F2937"/>
                <w:sz w:val="24"/>
                <w:szCs w:val="24"/>
              </w:rPr>
              <w:t xml:space="preserve">3. Channels</w:t>
            </w:r>
          </w:p>
          <w:p>
            <w:pPr>
              <w:spacing w:after="80" w:line="252"/>
            </w:pPr>
            <w:r>
              <w:rPr>
                <w:sz w:val="20"/>
                <w:szCs w:val="20"/>
              </w:rPr>
              <w:t xml:space="preserve">Local CLI; PyPI package specified, no release yet</w:t>
            </w:r>
          </w:p>
          <w:p>
            <w:pPr>
              <w:spacing w:after="80" w:line="252"/>
            </w:pPr>
            <w:r>
              <w:rPr>
                <w:sz w:val="20"/>
                <w:szCs w:val="20"/>
              </w:rPr>
              <w:t xml:space="preserve">First route: the pilot asked for at the final pitch (6 teams, 8 weeks from 1 Jan 2027)</w:t>
            </w:r>
          </w:p>
          <w:p>
            <w:pPr>
              <w:spacing w:after="80" w:line="252"/>
            </w:pPr>
            <w:r>
              <w:rPr>
                <w:b/>
                <w:bCs/>
                <w:sz w:val="20"/>
                <w:szCs w:val="20"/>
              </w:rPr>
              <w:t xml:space="preserve">GUESS</w:t>
            </w:r>
            <w:r>
              <w:rPr>
                <w:sz w:val="20"/>
                <w:szCs w:val="20"/>
              </w:rPr>
              <w:t xml:space="preserve"> past the pilot</w:t>
            </w:r>
          </w:p>
        </w:tc>
        <w:tc>
          <w:tcPr>
            <w:tcW w:type="dxa" w:w="2822"/>
            <w:gridSpan w:val="2"/>
            <w:vMerge w:val="continue"/>
            <w:tcBorders>
              <w:top w:val="single" w:color="BFC7D1" w:sz="4"/>
              <w:left w:val="single" w:color="BFC7D1" w:sz="4"/>
              <w:bottom w:val="single" w:color="BFC7D1" w:sz="4"/>
              <w:right w:val="single" w:color="BFC7D1" w:sz="4"/>
            </w:tcBorders>
          </w:tcPr>
          <w:p/>
        </w:tc>
      </w:tr>
      <w:tr>
        <w:trPr>
          <w:trHeight w:val="2300" w:hRule="atLeast"/>
        </w:trPr>
        <w:tc>
          <w:tcPr>
            <w:tcW w:type="dxa" w:w="7055"/>
            <w:gridSpan w:val="5"/>
            <w:tcBorders>
              <w:top w:val="single" w:color="BFC7D1" w:sz="4"/>
              <w:left w:val="single" w:color="BFC7D1" w:sz="4"/>
              <w:bottom w:val="single" w:color="BFC7D1" w:sz="4"/>
              <w:right w:val="single" w:color="BFC7D1" w:sz="4"/>
            </w:tcBorders>
            <w:shd w:fill="E8F7E8" w:color="auto" w:val="clear"/>
            <w:tcMar>
              <w:top w:type="dxa" w:w="80"/>
              <w:left w:type="dxa" w:w="100"/>
              <w:bottom w:type="dxa" w:w="80"/>
              <w:right w:type="dxa" w:w="100"/>
            </w:tcMar>
            <w:vAlign w:val="top"/>
          </w:tcPr>
          <w:p>
            <w:pPr>
              <w:spacing w:after="60"/>
            </w:pPr>
            <w:r>
              <w:rPr>
                <w:b/>
                <w:bCs/>
                <w:color w:val="1F2937"/>
                <w:sz w:val="24"/>
                <w:szCs w:val="24"/>
              </w:rPr>
              <w:t xml:space="preserve">9. Cost Structure</w:t>
            </w:r>
          </w:p>
          <w:p>
            <w:pPr>
              <w:spacing w:after="80" w:line="252"/>
            </w:pPr>
            <w:r>
              <w:rPr>
                <w:sz w:val="20"/>
                <w:szCs w:val="20"/>
              </w:rPr>
              <w:t xml:space="preserve">Building: free tiers or about $20 a month for inference</w:t>
            </w:r>
          </w:p>
          <w:p>
            <w:pPr>
              <w:spacing w:after="80" w:line="252"/>
            </w:pPr>
            <w:r>
              <w:rPr>
                <w:sz w:val="20"/>
                <w:szCs w:val="20"/>
              </w:rPr>
              <w:t xml:space="preserve">Serving a seat: $1.14 to $5.81 a month (est.), $2.19 to $8.95 from 2027</w:t>
            </w:r>
          </w:p>
          <w:p>
            <w:pPr>
              <w:spacing w:after="80" w:line="252"/>
            </w:pPr>
            <w:r>
              <w:rPr>
                <w:sz w:val="20"/>
                <w:szCs w:val="20"/>
              </w:rPr>
              <w:t xml:space="preserve">Always on: $96.36 a month (est.)</w:t>
            </w:r>
          </w:p>
          <w:p>
            <w:pPr>
              <w:spacing w:after="80" w:line="252"/>
            </w:pPr>
            <w:r>
              <w:rPr>
                <w:sz w:val="20"/>
                <w:szCs w:val="20"/>
              </w:rPr>
              <w:t xml:space="preserve">Contributor time: the dominant input, unpriced</w:t>
            </w:r>
          </w:p>
        </w:tc>
        <w:tc>
          <w:tcPr>
            <w:tcW w:type="dxa" w:w="7055"/>
            <w:gridSpan w:val="5"/>
            <w:tcBorders>
              <w:top w:val="single" w:color="BFC7D1" w:sz="4"/>
              <w:left w:val="single" w:color="BFC7D1" w:sz="4"/>
              <w:bottom w:val="single" w:color="BFC7D1" w:sz="4"/>
              <w:right w:val="single" w:color="BFC7D1" w:sz="4"/>
            </w:tcBorders>
            <w:shd w:fill="FFF4D6" w:color="auto" w:val="clear"/>
            <w:tcMar>
              <w:top w:type="dxa" w:w="80"/>
              <w:left w:type="dxa" w:w="100"/>
              <w:bottom w:type="dxa" w:w="80"/>
              <w:right w:type="dxa" w:w="100"/>
            </w:tcMar>
            <w:vAlign w:val="top"/>
          </w:tcPr>
          <w:p>
            <w:pPr>
              <w:spacing w:after="60"/>
            </w:pPr>
            <w:r>
              <w:rPr>
                <w:b/>
                <w:bCs/>
                <w:color w:val="1F2937"/>
                <w:sz w:val="24"/>
                <w:szCs w:val="24"/>
              </w:rPr>
              <w:t xml:space="preserve">5. Revenue Streams</w:t>
            </w:r>
          </w:p>
          <w:p>
            <w:pPr>
              <w:spacing w:after="80" w:line="252"/>
            </w:pPr>
            <w:r>
              <w:rPr>
                <w:sz w:val="20"/>
                <w:szCs w:val="20"/>
              </w:rPr>
              <w:t xml:space="preserve">Open core: free CLI, paid hosted review service</w:t>
            </w:r>
          </w:p>
          <w:p>
            <w:pPr>
              <w:spacing w:after="80" w:line="252"/>
            </w:pPr>
            <w:r>
              <w:rPr>
                <w:sz w:val="20"/>
                <w:szCs w:val="20"/>
              </w:rPr>
              <w:t xml:space="preserve">$22 per seat per month, under CodeRabbit's $24</w:t>
            </w:r>
          </w:p>
          <w:p>
            <w:pPr>
              <w:spacing w:after="80" w:line="252"/>
            </w:pPr>
            <w:r>
              <w:rPr>
                <w:sz w:val="20"/>
                <w:szCs w:val="20"/>
              </w:rPr>
              <w:t xml:space="preserve">150 reviews a seat a month, pooled across the team</w:t>
            </w:r>
          </w:p>
          <w:p>
            <w:pPr>
              <w:spacing w:after="80" w:line="252"/>
            </w:pPr>
            <w:r>
              <w:rPr>
                <w:sz w:val="20"/>
                <w:szCs w:val="20"/>
              </w:rPr>
              <w:t xml:space="preserve">Payment method, payer and willingness to pay: unknown</w:t>
            </w:r>
          </w:p>
        </w:tc>
      </w:tr>
    </w:tbl>
    <w:p>
      <w:pPr>
        <w:spacing w:before="120"/>
        <w:sectPr>
          <w:footerReference w:type="default" r:id="rId7"/>
          <w:pgSz w:w="15840" w:h="12240" w:orient="landscape"/>
          <w:pgMar w:top="864" w:right="864" w:bottom="864" w:left="864" w:header="708" w:footer="708" w:gutter="0"/>
          <w:pgNumType/>
          <w:docGrid w:linePitch="360"/>
        </w:sectPr>
      </w:pPr>
      <w:r>
        <w:rPr>
          <w:b/>
          <w:bCs/>
          <w:sz w:val="18"/>
          <w:szCs w:val="18"/>
        </w:rPr>
        <w:t xml:space="preserve">Legend.</w:t>
      </w:r>
      <w:r>
        <w:rPr>
          <w:sz w:val="18"/>
          <w:szCs w:val="18"/>
        </w:rPr>
        <w:t xml:space="preserve"> Green = stated or measured. Red = </w:t>
      </w:r>
      <w:r>
        <w:rPr>
          <w:b/>
          <w:bCs/>
          <w:sz w:val="18"/>
          <w:szCs w:val="18"/>
        </w:rPr>
        <w:t xml:space="preserve">GUESS</w:t>
      </w:r>
      <w:r>
        <w:rPr>
          <w:sz w:val="18"/>
          <w:szCs w:val="18"/>
        </w:rPr>
        <w:t xml:space="preserve">, little or nothing was given. Amber = the three riskiest blocks. All three are populated, so this is not a map of what is missing; it is a map of what is unproven. Channels moved from red to green for its first step only: the pilot is stated, and everything after it is still a guess.</w:t>
      </w:r>
    </w:p>
    <w:p>
      <w:pPr>
        <w:pStyle w:val="Heading2"/>
      </w:pPr>
      <w:r>
        <w:t xml:space="preserve">Where the evidence stands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BFC7D1" w:sz="4"/>
              <w:left w:val="single" w:color="BFC7D1" w:sz="4"/>
              <w:bottom w:val="single" w:color="BFC7D1" w:sz="4"/>
              <w:right w:val="single" w:color="BFC7D1" w:sz="4"/>
            </w:tcBorders>
            <w:shd w:fill="0F4761" w:color="auto" w:val="clear"/>
            <w:tcMar>
              <w:top w:type="dxa" w:w="60"/>
              <w:left w:type="dxa" w:w="100"/>
              <w:bottom w:type="dxa" w:w="60"/>
              <w:right w:type="dxa" w:w="100"/>
            </w:tcMar>
            <w:vAlign w:val="top"/>
          </w:tcPr>
          <w:p>
            <w:pPr>
              <w:spacing w:after="40"/>
            </w:pPr>
            <w:r>
              <w:rPr>
                <w:b/>
                <w:bCs/>
                <w:color w:val="FFFFFF"/>
                <w:sz w:val="19"/>
                <w:szCs w:val="19"/>
              </w:rPr>
              <w:t xml:space="preserve">Claim</w:t>
            </w:r>
          </w:p>
        </w:tc>
        <w:tc>
          <w:tcPr>
            <w:tcW w:type="dxa" w:w="5760"/>
            <w:tcBorders>
              <w:top w:val="single" w:color="BFC7D1" w:sz="4"/>
              <w:left w:val="single" w:color="BFC7D1" w:sz="4"/>
              <w:bottom w:val="single" w:color="BFC7D1" w:sz="4"/>
              <w:right w:val="single" w:color="BFC7D1" w:sz="4"/>
            </w:tcBorders>
            <w:shd w:fill="0F4761" w:color="auto" w:val="clear"/>
            <w:tcMar>
              <w:top w:type="dxa" w:w="60"/>
              <w:left w:type="dxa" w:w="100"/>
              <w:bottom w:type="dxa" w:w="60"/>
              <w:right w:type="dxa" w:w="100"/>
            </w:tcMar>
            <w:vAlign w:val="top"/>
          </w:tcPr>
          <w:p>
            <w:pPr>
              <w:spacing w:after="40"/>
            </w:pPr>
            <w:r>
              <w:rPr>
                <w:b/>
                <w:bCs/>
                <w:color w:val="FFFFFF"/>
                <w:sz w:val="19"/>
                <w:szCs w:val="19"/>
              </w:rPr>
              <w:t xml:space="preserve">Evidence given</w:t>
            </w:r>
          </w:p>
        </w:tc>
      </w:tr>
      <w:tr>
        <w:trPr>
          <w:cantSplit/>
        </w:trPr>
        <w:tc>
          <w:tcPr>
            <w:tcW w:type="dxa" w:w="3600"/>
            <w:tcBorders>
              <w:top w:val="single" w:color="BFC7D1" w:sz="4"/>
              <w:left w:val="single" w:color="BFC7D1" w:sz="4"/>
              <w:bottom w:val="single" w:color="BFC7D1" w:sz="4"/>
              <w:right w:val="single" w:color="BFC7D1" w:sz="4"/>
            </w:tcBorders>
            <w:tcMar>
              <w:top w:type="dxa" w:w="60"/>
              <w:left w:type="dxa" w:w="100"/>
              <w:bottom w:type="dxa" w:w="60"/>
              <w:right w:type="dxa" w:w="100"/>
            </w:tcMar>
            <w:vAlign w:val="top"/>
          </w:tcPr>
          <w:p>
            <w:pPr>
              <w:spacing w:after="40"/>
            </w:pPr>
            <w:r>
              <w:rPr>
                <w:b w:val="false"/>
                <w:bCs w:val="false"/>
                <w:sz w:val="19"/>
                <w:szCs w:val="19"/>
              </w:rPr>
              <w:t xml:space="preserve">"Clean code hides wrong shape"</w:t>
            </w:r>
          </w:p>
        </w:tc>
        <w:tc>
          <w:tcPr>
            <w:tcW w:type="dxa" w:w="5760"/>
            <w:tcBorders>
              <w:top w:val="single" w:color="BFC7D1" w:sz="4"/>
              <w:left w:val="single" w:color="BFC7D1" w:sz="4"/>
              <w:bottom w:val="single" w:color="BFC7D1" w:sz="4"/>
              <w:right w:val="single" w:color="BFC7D1" w:sz="4"/>
            </w:tcBorders>
            <w:tcMar>
              <w:top w:type="dxa" w:w="60"/>
              <w:left w:type="dxa" w:w="100"/>
              <w:bottom w:type="dxa" w:w="60"/>
              <w:right w:type="dxa" w:w="100"/>
            </w:tcMar>
            <w:vAlign w:val="top"/>
          </w:tcPr>
          <w:p>
            <w:pPr>
              <w:spacing w:after="40"/>
            </w:pPr>
            <w:r>
              <w:rPr>
                <w:b w:val="false"/>
                <w:bCs w:val="false"/>
                <w:sz w:val="19"/>
                <w:szCs w:val="19"/>
              </w:rPr>
              <w:t xml:space="preserve">3 people, anecdotal, unquantified</w:t>
            </w:r>
          </w:p>
        </w:tc>
      </w:tr>
      <w:tr>
        <w:trPr>
          <w:cantSplit/>
        </w:trPr>
        <w:tc>
          <w:tcPr>
            <w:tcW w:type="dxa" w:w="3600"/>
            <w:tcBorders>
              <w:top w:val="single" w:color="BFC7D1" w:sz="4"/>
              <w:left w:val="single" w:color="BFC7D1" w:sz="4"/>
              <w:bottom w:val="single" w:color="BFC7D1" w:sz="4"/>
              <w:right w:val="single" w:color="BFC7D1" w:sz="4"/>
            </w:tcBorders>
            <w:tcMar>
              <w:top w:type="dxa" w:w="60"/>
              <w:left w:type="dxa" w:w="100"/>
              <w:bottom w:type="dxa" w:w="60"/>
              <w:right w:type="dxa" w:w="100"/>
            </w:tcMar>
            <w:vAlign w:val="top"/>
          </w:tcPr>
          <w:p>
            <w:pPr>
              <w:spacing w:after="40"/>
            </w:pPr>
            <w:r>
              <w:rPr>
                <w:b w:val="false"/>
                <w:bCs w:val="false"/>
                <w:sz w:val="19"/>
                <w:szCs w:val="19"/>
              </w:rPr>
              <w:t xml:space="preserve">Wrong backend / broken convention / architecture erosion</w:t>
            </w:r>
          </w:p>
        </w:tc>
        <w:tc>
          <w:tcPr>
            <w:tcW w:type="dxa" w:w="5760"/>
            <w:tcBorders>
              <w:top w:val="single" w:color="BFC7D1" w:sz="4"/>
              <w:left w:val="single" w:color="BFC7D1" w:sz="4"/>
              <w:bottom w:val="single" w:color="BFC7D1" w:sz="4"/>
              <w:right w:val="single" w:color="BFC7D1" w:sz="4"/>
            </w:tcBorders>
            <w:tcMar>
              <w:top w:type="dxa" w:w="60"/>
              <w:left w:type="dxa" w:w="100"/>
              <w:bottom w:type="dxa" w:w="60"/>
              <w:right w:type="dxa" w:w="100"/>
            </w:tcMar>
            <w:vAlign w:val="top"/>
          </w:tcPr>
          <w:p>
            <w:pPr>
              <w:spacing w:after="40"/>
            </w:pPr>
            <w:r>
              <w:rPr>
                <w:b w:val="false"/>
                <w:bCs w:val="false"/>
                <w:sz w:val="19"/>
                <w:szCs w:val="19"/>
              </w:rPr>
              <w:t xml:space="preserve">One first-hand account</w:t>
            </w:r>
          </w:p>
        </w:tc>
      </w:tr>
      <w:tr>
        <w:trPr>
          <w:cantSplit/>
        </w:trPr>
        <w:tc>
          <w:tcPr>
            <w:tcW w:type="dxa" w:w="3600"/>
            <w:tcBorders>
              <w:top w:val="single" w:color="BFC7D1" w:sz="4"/>
              <w:left w:val="single" w:color="BFC7D1" w:sz="4"/>
              <w:bottom w:val="single" w:color="BFC7D1" w:sz="4"/>
              <w:right w:val="single" w:color="BFC7D1" w:sz="4"/>
            </w:tcBorders>
            <w:tcMar>
              <w:top w:type="dxa" w:w="60"/>
              <w:left w:type="dxa" w:w="100"/>
              <w:bottom w:type="dxa" w:w="60"/>
              <w:right w:type="dxa" w:w="100"/>
            </w:tcMar>
            <w:vAlign w:val="top"/>
          </w:tcPr>
          <w:p>
            <w:pPr>
              <w:spacing w:after="40"/>
            </w:pPr>
            <w:r>
              <w:rPr>
                <w:b w:val="false"/>
                <w:bCs w:val="false"/>
                <w:sz w:val="19"/>
                <w:szCs w:val="19"/>
              </w:rPr>
              <w:t xml:space="preserve">Review quality must be measurable</w:t>
            </w:r>
          </w:p>
        </w:tc>
        <w:tc>
          <w:tcPr>
            <w:tcW w:type="dxa" w:w="5760"/>
            <w:tcBorders>
              <w:top w:val="single" w:color="BFC7D1" w:sz="4"/>
              <w:left w:val="single" w:color="BFC7D1" w:sz="4"/>
              <w:bottom w:val="single" w:color="BFC7D1" w:sz="4"/>
              <w:right w:val="single" w:color="BFC7D1" w:sz="4"/>
            </w:tcBorders>
            <w:tcMar>
              <w:top w:type="dxa" w:w="60"/>
              <w:left w:type="dxa" w:w="100"/>
              <w:bottom w:type="dxa" w:w="60"/>
              <w:right w:type="dxa" w:w="100"/>
            </w:tcMar>
            <w:vAlign w:val="top"/>
          </w:tcPr>
          <w:p>
            <w:pPr>
              <w:spacing w:after="40"/>
            </w:pPr>
            <w:r>
              <w:rPr>
                <w:b w:val="false"/>
                <w:bCs w:val="false"/>
                <w:sz w:val="19"/>
                <w:szCs w:val="19"/>
              </w:rPr>
              <w:t xml:space="preserve">Inferred when first written. Since measured in part: a peer-reviewed study (MSR 2026) found 12 of 13 review agents under 60% signal by a keyword-based measure. Still not a need any reviewer has voiced to us</w:t>
            </w:r>
          </w:p>
        </w:tc>
      </w:tr>
      <w:tr>
        <w:trPr>
          <w:cantSplit/>
        </w:trPr>
        <w:tc>
          <w:tcPr>
            <w:tcW w:type="dxa" w:w="3600"/>
            <w:tcBorders>
              <w:top w:val="single" w:color="BFC7D1" w:sz="4"/>
              <w:left w:val="single" w:color="BFC7D1" w:sz="4"/>
              <w:bottom w:val="single" w:color="BFC7D1" w:sz="4"/>
              <w:right w:val="single" w:color="BFC7D1" w:sz="4"/>
            </w:tcBorders>
            <w:tcMar>
              <w:top w:type="dxa" w:w="60"/>
              <w:left w:type="dxa" w:w="100"/>
              <w:bottom w:type="dxa" w:w="60"/>
              <w:right w:type="dxa" w:w="100"/>
            </w:tcMar>
            <w:vAlign w:val="top"/>
          </w:tcPr>
          <w:p>
            <w:pPr>
              <w:spacing w:after="40"/>
            </w:pPr>
            <w:r>
              <w:rPr>
                <w:b w:val="false"/>
                <w:bCs w:val="false"/>
                <w:sz w:val="19"/>
                <w:szCs w:val="19"/>
              </w:rPr>
              <w:t xml:space="preserve">Reviewers already have an automated reviewer</w:t>
            </w:r>
          </w:p>
        </w:tc>
        <w:tc>
          <w:tcPr>
            <w:tcW w:type="dxa" w:w="5760"/>
            <w:tcBorders>
              <w:top w:val="single" w:color="BFC7D1" w:sz="4"/>
              <w:left w:val="single" w:color="BFC7D1" w:sz="4"/>
              <w:bottom w:val="single" w:color="BFC7D1" w:sz="4"/>
              <w:right w:val="single" w:color="BFC7D1" w:sz="4"/>
            </w:tcBorders>
            <w:tcMar>
              <w:top w:type="dxa" w:w="60"/>
              <w:left w:type="dxa" w:w="100"/>
              <w:bottom w:type="dxa" w:w="60"/>
              <w:right w:type="dxa" w:w="100"/>
            </w:tcMar>
            <w:vAlign w:val="top"/>
          </w:tcPr>
          <w:p>
            <w:pPr>
              <w:spacing w:after="40"/>
            </w:pPr>
            <w:r>
              <w:rPr>
                <w:b w:val="false"/>
                <w:bCs w:val="false"/>
                <w:sz w:val="19"/>
                <w:szCs w:val="19"/>
              </w:rPr>
              <w:t xml:space="preserve">Measured in ten public TypeScript repositories, September 2026: a bot account reviewed 5,711 of 7,670 human pull requests</w:t>
            </w:r>
          </w:p>
        </w:tc>
      </w:tr>
      <w:tr>
        <w:trPr>
          <w:cantSplit/>
        </w:trPr>
        <w:tc>
          <w:tcPr>
            <w:tcW w:type="dxa" w:w="3600"/>
            <w:tcBorders>
              <w:top w:val="single" w:color="BFC7D1" w:sz="4"/>
              <w:left w:val="single" w:color="BFC7D1" w:sz="4"/>
              <w:bottom w:val="single" w:color="BFC7D1" w:sz="4"/>
              <w:right w:val="single" w:color="BFC7D1" w:sz="4"/>
            </w:tcBorders>
            <w:tcMar>
              <w:top w:type="dxa" w:w="60"/>
              <w:left w:type="dxa" w:w="100"/>
              <w:bottom w:type="dxa" w:w="60"/>
              <w:right w:type="dxa" w:w="100"/>
            </w:tcMar>
            <w:vAlign w:val="top"/>
          </w:tcPr>
          <w:p>
            <w:pPr>
              <w:spacing w:after="40"/>
            </w:pPr>
            <w:r>
              <w:rPr>
                <w:b w:val="false"/>
                <w:bCs w:val="false"/>
                <w:sz w:val="19"/>
                <w:szCs w:val="19"/>
              </w:rPr>
              <w:t xml:space="preserve">We verify where rivals only ask a model</w:t>
            </w:r>
          </w:p>
        </w:tc>
        <w:tc>
          <w:tcPr>
            <w:tcW w:type="dxa" w:w="5760"/>
            <w:tcBorders>
              <w:top w:val="single" w:color="BFC7D1" w:sz="4"/>
              <w:left w:val="single" w:color="BFC7D1" w:sz="4"/>
              <w:bottom w:val="single" w:color="BFC7D1" w:sz="4"/>
              <w:right w:val="single" w:color="BFC7D1" w:sz="4"/>
            </w:tcBorders>
            <w:tcMar>
              <w:top w:type="dxa" w:w="60"/>
              <w:left w:type="dxa" w:w="100"/>
              <w:bottom w:type="dxa" w:w="60"/>
              <w:right w:type="dxa" w:w="100"/>
            </w:tcMar>
            <w:vAlign w:val="top"/>
          </w:tcPr>
          <w:p>
            <w:pPr>
              <w:spacing w:after="40"/>
            </w:pPr>
            <w:r>
              <w:rPr>
                <w:b w:val="false"/>
                <w:bCs w:val="false"/>
                <w:sz w:val="19"/>
                <w:szCs w:val="19"/>
              </w:rPr>
              <w:t xml:space="preserve">Withdrawn on 10 October 2026. Rivals' own pages describe sandboxed tests and verification scripts; our test run is specified, not built</w:t>
            </w:r>
          </w:p>
        </w:tc>
      </w:tr>
      <w:tr>
        <w:trPr>
          <w:cantSplit/>
        </w:trPr>
        <w:tc>
          <w:tcPr>
            <w:tcW w:type="dxa" w:w="3600"/>
            <w:tcBorders>
              <w:top w:val="single" w:color="BFC7D1" w:sz="4"/>
              <w:left w:val="single" w:color="BFC7D1" w:sz="4"/>
              <w:bottom w:val="single" w:color="BFC7D1" w:sz="4"/>
              <w:right w:val="single" w:color="BFC7D1" w:sz="4"/>
            </w:tcBorders>
            <w:tcMar>
              <w:top w:type="dxa" w:w="60"/>
              <w:left w:type="dxa" w:w="100"/>
              <w:bottom w:type="dxa" w:w="60"/>
              <w:right w:type="dxa" w:w="100"/>
            </w:tcMar>
            <w:vAlign w:val="top"/>
          </w:tcPr>
          <w:p>
            <w:pPr>
              <w:spacing w:after="40"/>
            </w:pPr>
            <w:r>
              <w:rPr>
                <w:b w:val="false"/>
                <w:bCs w:val="false"/>
                <w:sz w:val="19"/>
                <w:szCs w:val="19"/>
              </w:rPr>
              <w:t xml:space="preserve">A review costs about four cents in model tokens</w:t>
            </w:r>
          </w:p>
        </w:tc>
        <w:tc>
          <w:tcPr>
            <w:tcW w:type="dxa" w:w="5760"/>
            <w:tcBorders>
              <w:top w:val="single" w:color="BFC7D1" w:sz="4"/>
              <w:left w:val="single" w:color="BFC7D1" w:sz="4"/>
              <w:bottom w:val="single" w:color="BFC7D1" w:sz="4"/>
              <w:right w:val="single" w:color="BFC7D1" w:sz="4"/>
            </w:tcBorders>
            <w:tcMar>
              <w:top w:type="dxa" w:w="60"/>
              <w:left w:type="dxa" w:w="100"/>
              <w:bottom w:type="dxa" w:w="60"/>
              <w:right w:type="dxa" w:w="100"/>
            </w:tcMar>
            <w:vAlign w:val="top"/>
          </w:tcPr>
          <w:p>
            <w:pPr>
              <w:spacing w:after="40"/>
            </w:pPr>
            <w:r>
              <w:rPr>
                <w:b w:val="false"/>
                <w:bCs w:val="false"/>
                <w:sz w:val="19"/>
                <w:szCs w:val="19"/>
              </w:rPr>
              <w:t xml:space="preserve">Two measured runs of one 160-line pull request on Gemini 3.8 Flash, $0.0226 and $0.0611. Larger pull requests unmeasured</w:t>
            </w:r>
          </w:p>
        </w:tc>
      </w:tr>
      <w:tr>
        <w:trPr>
          <w:cantSplit/>
        </w:trPr>
        <w:tc>
          <w:tcPr>
            <w:tcW w:type="dxa" w:w="3600"/>
            <w:tcBorders>
              <w:top w:val="single" w:color="BFC7D1" w:sz="4"/>
              <w:left w:val="single" w:color="BFC7D1" w:sz="4"/>
              <w:bottom w:val="single" w:color="BFC7D1" w:sz="4"/>
              <w:right w:val="single" w:color="BFC7D1" w:sz="4"/>
            </w:tcBorders>
            <w:tcMar>
              <w:top w:type="dxa" w:w="60"/>
              <w:left w:type="dxa" w:w="100"/>
              <w:bottom w:type="dxa" w:w="60"/>
              <w:right w:type="dxa" w:w="100"/>
            </w:tcMar>
            <w:vAlign w:val="top"/>
          </w:tcPr>
          <w:p>
            <w:pPr>
              <w:spacing w:after="40"/>
            </w:pPr>
            <w:r>
              <w:rPr>
                <w:b w:val="false"/>
                <w:bCs w:val="false"/>
                <w:sz w:val="19"/>
                <w:szCs w:val="19"/>
              </w:rPr>
              <w:t xml:space="preserve">A seat costs $1.14 to $5.81 a month to serve</w:t>
            </w:r>
          </w:p>
        </w:tc>
        <w:tc>
          <w:tcPr>
            <w:tcW w:type="dxa" w:w="5760"/>
            <w:tcBorders>
              <w:top w:val="single" w:color="BFC7D1" w:sz="4"/>
              <w:left w:val="single" w:color="BFC7D1" w:sz="4"/>
              <w:bottom w:val="single" w:color="BFC7D1" w:sz="4"/>
              <w:right w:val="single" w:color="BFC7D1" w:sz="4"/>
            </w:tcBorders>
            <w:tcMar>
              <w:top w:type="dxa" w:w="60"/>
              <w:left w:type="dxa" w:w="100"/>
              <w:bottom w:type="dxa" w:w="60"/>
              <w:right w:type="dxa" w:w="100"/>
            </w:tcMar>
            <w:vAlign w:val="top"/>
          </w:tcPr>
          <w:p>
            <w:pPr>
              <w:spacing w:after="40"/>
            </w:pPr>
            <w:r>
              <w:rPr>
                <w:b w:val="false"/>
                <w:bCs w:val="false"/>
                <w:sz w:val="19"/>
                <w:szCs w:val="19"/>
              </w:rPr>
              <w:t xml:space="preserve">An estimate built on those two runs, an average of 25 to 75 reviews a month and a repository download. Nothing has been run on a hosted service</w:t>
            </w:r>
          </w:p>
        </w:tc>
      </w:tr>
      <w:tr>
        <w:trPr>
          <w:cantSplit/>
        </w:trPr>
        <w:tc>
          <w:tcPr>
            <w:tcW w:type="dxa" w:w="3600"/>
            <w:tcBorders>
              <w:top w:val="single" w:color="BFC7D1" w:sz="4"/>
              <w:left w:val="single" w:color="BFC7D1" w:sz="4"/>
              <w:bottom w:val="single" w:color="BFC7D1" w:sz="4"/>
              <w:right w:val="single" w:color="BFC7D1" w:sz="4"/>
            </w:tcBorders>
            <w:tcMar>
              <w:top w:type="dxa" w:w="60"/>
              <w:left w:type="dxa" w:w="100"/>
              <w:bottom w:type="dxa" w:w="60"/>
              <w:right w:type="dxa" w:w="100"/>
            </w:tcMar>
            <w:vAlign w:val="top"/>
          </w:tcPr>
          <w:p>
            <w:pPr>
              <w:spacing w:after="40"/>
            </w:pPr>
            <w:r>
              <w:rPr>
                <w:b w:val="false"/>
                <w:bCs w:val="false"/>
                <w:sz w:val="19"/>
                <w:szCs w:val="19"/>
              </w:rPr>
              <w:t xml:space="preserve">$22 a seat is the right price</w:t>
            </w:r>
          </w:p>
        </w:tc>
        <w:tc>
          <w:tcPr>
            <w:tcW w:type="dxa" w:w="5760"/>
            <w:tcBorders>
              <w:top w:val="single" w:color="BFC7D1" w:sz="4"/>
              <w:left w:val="single" w:color="BFC7D1" w:sz="4"/>
              <w:bottom w:val="single" w:color="BFC7D1" w:sz="4"/>
              <w:right w:val="single" w:color="BFC7D1" w:sz="4"/>
            </w:tcBorders>
            <w:tcMar>
              <w:top w:type="dxa" w:w="60"/>
              <w:left w:type="dxa" w:w="100"/>
              <w:bottom w:type="dxa" w:w="60"/>
              <w:right w:type="dxa" w:w="100"/>
            </w:tcMar>
            <w:vAlign w:val="top"/>
          </w:tcPr>
          <w:p>
            <w:pPr>
              <w:spacing w:after="40"/>
            </w:pPr>
            <w:r>
              <w:rPr>
                <w:b w:val="false"/>
                <w:bCs w:val="false"/>
                <w:sz w:val="19"/>
                <w:szCs w:val="19"/>
              </w:rPr>
              <w:t xml:space="preserve">The average of two rivals' entry prices, chosen to stay under CodeRabbit's. No customer has been asked</w:t>
            </w:r>
          </w:p>
        </w:tc>
      </w:tr>
      <w:tr>
        <w:trPr>
          <w:cantSplit/>
        </w:trPr>
        <w:tc>
          <w:tcPr>
            <w:tcW w:type="dxa" w:w="3600"/>
            <w:tcBorders>
              <w:top w:val="single" w:color="BFC7D1" w:sz="4"/>
              <w:left w:val="single" w:color="BFC7D1" w:sz="4"/>
              <w:bottom w:val="single" w:color="BFC7D1" w:sz="4"/>
              <w:right w:val="single" w:color="BFC7D1" w:sz="4"/>
            </w:tcBorders>
            <w:tcMar>
              <w:top w:type="dxa" w:w="60"/>
              <w:left w:type="dxa" w:w="100"/>
              <w:bottom w:type="dxa" w:w="60"/>
              <w:right w:type="dxa" w:w="100"/>
            </w:tcMar>
            <w:vAlign w:val="top"/>
          </w:tcPr>
          <w:p>
            <w:pPr>
              <w:spacing w:after="40"/>
            </w:pPr>
            <w:r>
              <w:rPr>
                <w:b w:val="false"/>
                <w:bCs w:val="false"/>
                <w:sz w:val="19"/>
                <w:szCs w:val="19"/>
              </w:rPr>
              <w:t xml:space="preserve">The build finds real defects</w:t>
            </w:r>
          </w:p>
        </w:tc>
        <w:tc>
          <w:tcPr>
            <w:tcW w:type="dxa" w:w="5760"/>
            <w:tcBorders>
              <w:top w:val="single" w:color="BFC7D1" w:sz="4"/>
              <w:left w:val="single" w:color="BFC7D1" w:sz="4"/>
              <w:bottom w:val="single" w:color="BFC7D1" w:sz="4"/>
              <w:right w:val="single" w:color="BFC7D1" w:sz="4"/>
            </w:tcBorders>
            <w:tcMar>
              <w:top w:type="dxa" w:w="60"/>
              <w:left w:type="dxa" w:w="100"/>
              <w:bottom w:type="dxa" w:w="60"/>
              <w:right w:type="dxa" w:w="100"/>
            </w:tcMar>
            <w:vAlign w:val="top"/>
          </w:tcPr>
          <w:p>
            <w:pPr>
              <w:spacing w:after="40"/>
            </w:pPr>
            <w:r>
              <w:rPr>
                <w:b w:val="false"/>
                <w:bCs w:val="false"/>
                <w:sz w:val="19"/>
                <w:szCs w:val="19"/>
              </w:rPr>
              <w:t xml:space="preserve">Unmeasured. Five runs on the working model reported no finding; an earlier run on another model caught two of six planted defects</w:t>
            </w:r>
          </w:p>
        </w:tc>
      </w:tr>
      <w:tr>
        <w:trPr>
          <w:cantSplit/>
        </w:trPr>
        <w:tc>
          <w:tcPr>
            <w:tcW w:type="dxa" w:w="3600"/>
            <w:tcBorders>
              <w:top w:val="single" w:color="BFC7D1" w:sz="4"/>
              <w:left w:val="single" w:color="BFC7D1" w:sz="4"/>
              <w:bottom w:val="single" w:color="BFC7D1" w:sz="4"/>
              <w:right w:val="single" w:color="BFC7D1" w:sz="4"/>
            </w:tcBorders>
            <w:tcMar>
              <w:top w:type="dxa" w:w="60"/>
              <w:left w:type="dxa" w:w="100"/>
              <w:bottom w:type="dxa" w:w="60"/>
              <w:right w:type="dxa" w:w="100"/>
            </w:tcMar>
            <w:vAlign w:val="top"/>
          </w:tcPr>
          <w:p>
            <w:pPr>
              <w:spacing w:after="40"/>
            </w:pPr>
            <w:r>
              <w:rPr>
                <w:b w:val="false"/>
                <w:bCs w:val="false"/>
                <w:sz w:val="19"/>
                <w:szCs w:val="19"/>
              </w:rPr>
              <w:t xml:space="preserve">Shared blind spot between generator and reviewer</w:t>
            </w:r>
          </w:p>
        </w:tc>
        <w:tc>
          <w:tcPr>
            <w:tcW w:type="dxa" w:w="5760"/>
            <w:tcBorders>
              <w:top w:val="single" w:color="BFC7D1" w:sz="4"/>
              <w:left w:val="single" w:color="BFC7D1" w:sz="4"/>
              <w:bottom w:val="single" w:color="BFC7D1" w:sz="4"/>
              <w:right w:val="single" w:color="BFC7D1" w:sz="4"/>
            </w:tcBorders>
            <w:tcMar>
              <w:top w:type="dxa" w:w="60"/>
              <w:left w:type="dxa" w:w="100"/>
              <w:bottom w:type="dxa" w:w="60"/>
              <w:right w:type="dxa" w:w="100"/>
            </w:tcMar>
            <w:vAlign w:val="top"/>
          </w:tcPr>
          <w:p>
            <w:pPr>
              <w:spacing w:after="40"/>
            </w:pPr>
            <w:r>
              <w:rPr>
                <w:b w:val="false"/>
                <w:bCs w:val="false"/>
                <w:sz w:val="19"/>
                <w:szCs w:val="19"/>
              </w:rPr>
              <w:t xml:space="preserve">Only for teams whose AI reviewer shares a model family with their generator</w:t>
            </w:r>
          </w:p>
        </w:tc>
      </w:tr>
      <w:tr>
        <w:trPr>
          <w:cantSplit/>
        </w:trPr>
        <w:tc>
          <w:tcPr>
            <w:tcW w:type="dxa" w:w="3600"/>
            <w:tcBorders>
              <w:top w:val="single" w:color="BFC7D1" w:sz="4"/>
              <w:left w:val="single" w:color="BFC7D1" w:sz="4"/>
              <w:bottom w:val="single" w:color="BFC7D1" w:sz="4"/>
              <w:right w:val="single" w:color="BFC7D1" w:sz="4"/>
            </w:tcBorders>
            <w:tcMar>
              <w:top w:type="dxa" w:w="60"/>
              <w:left w:type="dxa" w:w="100"/>
              <w:bottom w:type="dxa" w:w="60"/>
              <w:right w:type="dxa" w:w="100"/>
            </w:tcMar>
            <w:vAlign w:val="top"/>
          </w:tcPr>
          <w:p>
            <w:pPr>
              <w:spacing w:after="40"/>
            </w:pPr>
            <w:r>
              <w:rPr>
                <w:b w:val="false"/>
                <w:bCs w:val="false"/>
                <w:sz w:val="19"/>
                <w:szCs w:val="19"/>
              </w:rPr>
              <w:t xml:space="preserve">Tolerable false-positive rate</w:t>
            </w:r>
          </w:p>
        </w:tc>
        <w:tc>
          <w:tcPr>
            <w:tcW w:type="dxa" w:w="5760"/>
            <w:tcBorders>
              <w:top w:val="single" w:color="BFC7D1" w:sz="4"/>
              <w:left w:val="single" w:color="BFC7D1" w:sz="4"/>
              <w:bottom w:val="single" w:color="BFC7D1" w:sz="4"/>
              <w:right w:val="single" w:color="BFC7D1" w:sz="4"/>
            </w:tcBorders>
            <w:tcMar>
              <w:top w:type="dxa" w:w="60"/>
              <w:left w:type="dxa" w:w="100"/>
              <w:bottom w:type="dxa" w:w="60"/>
              <w:right w:type="dxa" w:w="100"/>
            </w:tcMar>
            <w:vAlign w:val="top"/>
          </w:tcPr>
          <w:p>
            <w:pPr>
              <w:spacing w:after="40"/>
            </w:pPr>
            <w:r>
              <w:rPr>
                <w:b w:val="false"/>
                <w:bCs w:val="false"/>
                <w:sz w:val="19"/>
                <w:szCs w:val="19"/>
              </w:rPr>
              <w:t xml:space="preserve">Two sources disagree</w:t>
            </w:r>
          </w:p>
        </w:tc>
      </w:tr>
      <w:tr>
        <w:trPr>
          <w:cantSplit/>
        </w:trPr>
        <w:tc>
          <w:tcPr>
            <w:tcW w:type="dxa" w:w="3600"/>
            <w:tcBorders>
              <w:top w:val="single" w:color="BFC7D1" w:sz="4"/>
              <w:left w:val="single" w:color="BFC7D1" w:sz="4"/>
              <w:bottom w:val="single" w:color="BFC7D1" w:sz="4"/>
              <w:right w:val="single" w:color="BFC7D1" w:sz="4"/>
            </w:tcBorders>
            <w:tcMar>
              <w:top w:type="dxa" w:w="60"/>
              <w:left w:type="dxa" w:w="100"/>
              <w:bottom w:type="dxa" w:w="60"/>
              <w:right w:type="dxa" w:w="100"/>
            </w:tcMar>
            <w:vAlign w:val="top"/>
          </w:tcPr>
          <w:p>
            <w:pPr>
              <w:spacing w:after="40"/>
            </w:pPr>
            <w:r>
              <w:rPr>
                <w:b w:val="false"/>
                <w:bCs w:val="false"/>
                <w:sz w:val="19"/>
                <w:szCs w:val="19"/>
              </w:rPr>
              <w:t xml:space="preserve">Root cause</w:t>
            </w:r>
          </w:p>
        </w:tc>
        <w:tc>
          <w:tcPr>
            <w:tcW w:type="dxa" w:w="5760"/>
            <w:tcBorders>
              <w:top w:val="single" w:color="BFC7D1" w:sz="4"/>
              <w:left w:val="single" w:color="BFC7D1" w:sz="4"/>
              <w:bottom w:val="single" w:color="BFC7D1" w:sz="4"/>
              <w:right w:val="single" w:color="BFC7D1" w:sz="4"/>
            </w:tcBorders>
            <w:tcMar>
              <w:top w:type="dxa" w:w="60"/>
              <w:left w:type="dxa" w:w="100"/>
              <w:bottom w:type="dxa" w:w="60"/>
              <w:right w:type="dxa" w:w="100"/>
            </w:tcMar>
            <w:vAlign w:val="top"/>
          </w:tcPr>
          <w:p>
            <w:pPr>
              <w:spacing w:after="40"/>
            </w:pPr>
            <w:r>
              <w:rPr>
                <w:b w:val="false"/>
                <w:bCs w:val="false"/>
                <w:sz w:val="19"/>
                <w:szCs w:val="19"/>
              </w:rPr>
              <w:t xml:space="preserve">Cultural, not fixable by a tool</w:t>
            </w:r>
          </w:p>
        </w:tc>
      </w:tr>
      <w:tr>
        <w:trPr>
          <w:cantSplit/>
        </w:trPr>
        <w:tc>
          <w:tcPr>
            <w:tcW w:type="dxa" w:w="3600"/>
            <w:tcBorders>
              <w:top w:val="single" w:color="BFC7D1" w:sz="4"/>
              <w:left w:val="single" w:color="BFC7D1" w:sz="4"/>
              <w:bottom w:val="single" w:color="BFC7D1" w:sz="4"/>
              <w:right w:val="single" w:color="BFC7D1" w:sz="4"/>
            </w:tcBorders>
            <w:tcMar>
              <w:top w:type="dxa" w:w="60"/>
              <w:left w:type="dxa" w:w="100"/>
              <w:bottom w:type="dxa" w:w="60"/>
              <w:right w:type="dxa" w:w="100"/>
            </w:tcMar>
            <w:vAlign w:val="top"/>
          </w:tcPr>
          <w:p>
            <w:pPr>
              <w:spacing w:after="40"/>
            </w:pPr>
            <w:r>
              <w:rPr>
                <w:b w:val="false"/>
                <w:bCs w:val="false"/>
                <w:sz w:val="19"/>
                <w:szCs w:val="19"/>
              </w:rPr>
              <w:t xml:space="preserve">A team would pay for the hosted review service</w:t>
            </w:r>
          </w:p>
        </w:tc>
        <w:tc>
          <w:tcPr>
            <w:tcW w:type="dxa" w:w="5760"/>
            <w:tcBorders>
              <w:top w:val="single" w:color="BFC7D1" w:sz="4"/>
              <w:left w:val="single" w:color="BFC7D1" w:sz="4"/>
              <w:bottom w:val="single" w:color="BFC7D1" w:sz="4"/>
              <w:right w:val="single" w:color="BFC7D1" w:sz="4"/>
            </w:tcBorders>
            <w:tcMar>
              <w:top w:type="dxa" w:w="60"/>
              <w:left w:type="dxa" w:w="100"/>
              <w:bottom w:type="dxa" w:w="60"/>
              <w:right w:type="dxa" w:w="100"/>
            </w:tcMar>
            <w:vAlign w:val="top"/>
          </w:tcPr>
          <w:p>
            <w:pPr>
              <w:spacing w:after="40"/>
            </w:pPr>
            <w:r>
              <w:rPr>
                <w:b w:val="false"/>
                <w:bCs w:val="false"/>
                <w:sz w:val="19"/>
                <w:szCs w:val="19"/>
              </w:rPr>
              <w:t xml:space="preserve">None</w:t>
            </w:r>
          </w:p>
        </w:tc>
      </w:tr>
      <w:tr>
        <w:trPr>
          <w:cantSplit/>
        </w:trPr>
        <w:tc>
          <w:tcPr>
            <w:tcW w:type="dxa" w:w="3600"/>
            <w:tcBorders>
              <w:top w:val="single" w:color="BFC7D1" w:sz="4"/>
              <w:left w:val="single" w:color="BFC7D1" w:sz="4"/>
              <w:bottom w:val="single" w:color="BFC7D1" w:sz="4"/>
              <w:right w:val="single" w:color="BFC7D1" w:sz="4"/>
            </w:tcBorders>
            <w:tcMar>
              <w:top w:type="dxa" w:w="60"/>
              <w:left w:type="dxa" w:w="100"/>
              <w:bottom w:type="dxa" w:w="60"/>
              <w:right w:type="dxa" w:w="100"/>
            </w:tcMar>
            <w:vAlign w:val="top"/>
          </w:tcPr>
          <w:p>
            <w:pPr>
              <w:spacing w:after="40"/>
            </w:pPr>
            <w:r>
              <w:rPr>
                <w:b w:val="false"/>
                <w:bCs w:val="false"/>
                <w:sz w:val="19"/>
                <w:szCs w:val="19"/>
              </w:rPr>
              <w:t xml:space="preserve">The hosted service is worth more than the free tool</w:t>
            </w:r>
          </w:p>
        </w:tc>
        <w:tc>
          <w:tcPr>
            <w:tcW w:type="dxa" w:w="5760"/>
            <w:tcBorders>
              <w:top w:val="single" w:color="BFC7D1" w:sz="4"/>
              <w:left w:val="single" w:color="BFC7D1" w:sz="4"/>
              <w:bottom w:val="single" w:color="BFC7D1" w:sz="4"/>
              <w:right w:val="single" w:color="BFC7D1" w:sz="4"/>
            </w:tcBorders>
            <w:tcMar>
              <w:top w:type="dxa" w:w="60"/>
              <w:left w:type="dxa" w:w="100"/>
              <w:bottom w:type="dxa" w:w="60"/>
              <w:right w:type="dxa" w:w="100"/>
            </w:tcMar>
            <w:vAlign w:val="top"/>
          </w:tcPr>
          <w:p>
            <w:pPr>
              <w:spacing w:after="40"/>
            </w:pPr>
            <w:r>
              <w:rPr>
                <w:b w:val="false"/>
                <w:bCs w:val="false"/>
                <w:sz w:val="19"/>
                <w:szCs w:val="19"/>
              </w:rPr>
              <w:t xml:space="preserve">Not stated</w:t>
            </w:r>
          </w:p>
        </w:tc>
      </w:tr>
    </w:tbl>
    <w:p>
      <w:pPr>
        <w:spacing w:after="120"/>
      </w:pPr>
    </w:p>
    <w:sectPr>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lay">
    <w:embedRegular w:fontKey="{00000000-0000-0000-0000-000000000000}" w:subsetted="0" r:id="rIdPlayR"/>
    <w:embedBold w:fontKey="{00000000-0000-0000-0000-000000000000}" w:subsetted="0" r:id="rIdPlay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CAI5_IND5_G1 · Agentic Code Review · Business model canvas · page </w:t>
    </w:r>
    <w:r>
      <w:rPr>
        <w:color w:val="777777"/>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CAI5_IND5_G1 · Agentic Code Review · Business model canvas · page </w:t>
    </w:r>
    <w:r>
      <w:rPr>
        <w:color w:val="777777"/>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CAI5_IND5_G1 · Agentic Code Review · Business model canvas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pPr>
        <w:spacing w:after="16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20" w:before="240"/>
      <w:outlineLvl w:val="0"/>
    </w:pPr>
    <w:rPr>
      <w:rFonts w:ascii="Play" w:cs="Play" w:eastAsia="Play" w:hAnsi="Play"/>
      <w:color w:val="0F4761"/>
      <w:sz w:val="40"/>
      <w:szCs w:val="40"/>
    </w:rPr>
  </w:style>
  <w:style w:type="paragraph" w:styleId="Heading2">
    <w:name w:val="Heading 2"/>
    <w:basedOn w:val="Normal"/>
    <w:next w:val="Normal"/>
    <w:qFormat/>
    <w:pPr>
      <w:keepNext/>
      <w:keepLines/>
      <w:spacing w:after="100" w:before="280"/>
      <w:outlineLvl w:val="1"/>
    </w:pPr>
    <w:rPr>
      <w:rFonts w:ascii="Play" w:cs="Play" w:eastAsia="Play" w:hAnsi="Play"/>
      <w:color w:val="0F4761"/>
      <w:sz w:val="30"/>
      <w:szCs w:val="30"/>
    </w:rPr>
  </w:style>
  <w:style w:type="paragraph" w:styleId="Heading3">
    <w:name w:val="Heading 3"/>
    <w:basedOn w:val="Normal"/>
    <w:next w:val="Normal"/>
    <w:qFormat/>
    <w:pPr>
      <w:keepNext/>
      <w:keepLines/>
      <w:spacing w:after="80" w:before="220"/>
      <w:outlineLvl w:val="2"/>
    </w:pPr>
    <w:rPr>
      <w:rFonts w:ascii="Aptos" w:cs="Aptos" w:eastAsia="Aptos" w:hAnsi="Aptos"/>
      <w:b/>
      <w:bCs/>
      <w:color w:val="0F4761"/>
      <w:sz w:val="26"/>
      <w:szCs w:val="26"/>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PlayR" Type="http://schemas.openxmlformats.org/officeDocument/2006/relationships/font" Target="fonts/Play-regular.ttf"/><Relationship Id="rIdPlayB" Type="http://schemas.openxmlformats.org/officeDocument/2006/relationships/font" Target="fonts/Play-bol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Code Reviewer - Business Model Canvas</dc:title>
  <dc:creator>CAI5_IND5_G1</dc:creator>
  <cp:lastModifiedBy>Un-named</cp:lastModifiedBy>
  <cp:revision>1</cp:revision>
  <dcterms:created xsi:type="dcterms:W3CDTF">2026-10-14T15:10:24.812Z</dcterms:created>
  <dcterms:modified xsi:type="dcterms:W3CDTF">2026-10-14T15:10:24.812Z</dcterms:modified>
</cp:coreProperties>
</file>

<file path=docProps/custom.xml><?xml version="1.0" encoding="utf-8"?>
<Properties xmlns="http://schemas.openxmlformats.org/officeDocument/2006/custom-properties" xmlns:vt="http://schemas.openxmlformats.org/officeDocument/2006/docPropsVTypes"/>
</file>