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B2FCD" w14:textId="6E3A33B6" w:rsidR="00EE0733" w:rsidRDefault="00C40ACE" w:rsidP="00C40ACE">
      <w:pPr>
        <w:pStyle w:val="Heading1"/>
        <w:numPr>
          <w:ilvl w:val="0"/>
          <w:numId w:val="3"/>
        </w:numPr>
        <w:spacing w:after="120"/>
      </w:pPr>
      <w:bookmarkStart w:id="0" w:name="_Toc429970814"/>
      <w:bookmarkStart w:id="1" w:name="_Toc115777019"/>
      <w:r>
        <w:t>Test Procedures</w:t>
      </w:r>
      <w:bookmarkEnd w:id="0"/>
      <w:bookmarkEnd w:id="1"/>
    </w:p>
    <w:p w14:paraId="2C057B81" w14:textId="77777777" w:rsidR="00EE0733" w:rsidRDefault="00EE0733" w:rsidP="00EE0733">
      <w:r>
        <w:t>Testing will begin once three conditions are fulfilled:</w:t>
      </w:r>
    </w:p>
    <w:p w14:paraId="695FC7E5" w14:textId="77777777" w:rsidR="00EE0733" w:rsidRDefault="00EE0733" w:rsidP="00EE0733">
      <w:pPr>
        <w:numPr>
          <w:ilvl w:val="0"/>
          <w:numId w:val="4"/>
        </w:numPr>
      </w:pPr>
      <w:r>
        <w:t>This test plan is complete and signed by both the client and NREL</w:t>
      </w:r>
    </w:p>
    <w:p w14:paraId="1A8499B3" w14:textId="77777777" w:rsidR="00EE0733" w:rsidRDefault="00EE0733" w:rsidP="00EE0733">
      <w:pPr>
        <w:numPr>
          <w:ilvl w:val="0"/>
          <w:numId w:val="4"/>
        </w:numPr>
      </w:pPr>
      <w:r>
        <w:t xml:space="preserve">NREL has complete installation and checkout of </w:t>
      </w:r>
      <w:r w:rsidR="0076054E">
        <w:t xml:space="preserve">meteorological </w:t>
      </w:r>
      <w:r w:rsidR="00F87403">
        <w:t xml:space="preserve">and turbine </w:t>
      </w:r>
      <w:r>
        <w:t>instrumentation required for the test</w:t>
      </w:r>
    </w:p>
    <w:p w14:paraId="35DE051D" w14:textId="0799017C" w:rsidR="00EE0733" w:rsidRDefault="00EE0733" w:rsidP="002F2570">
      <w:pPr>
        <w:numPr>
          <w:ilvl w:val="0"/>
          <w:numId w:val="4"/>
        </w:numPr>
      </w:pPr>
      <w:r>
        <w:t>The client has signed a test readiness document that indicates that the turbine is ready for testing.</w:t>
      </w:r>
    </w:p>
    <w:p w14:paraId="13DAA4A0" w14:textId="45EA58E7" w:rsidR="002F2570" w:rsidRDefault="002F2570" w:rsidP="002F2570"/>
    <w:p w14:paraId="4A617A66" w14:textId="35C50288" w:rsidR="002F2570" w:rsidRDefault="002F2570" w:rsidP="002F2570">
      <w:pPr>
        <w:pStyle w:val="Style1"/>
        <w:numPr>
          <w:ilvl w:val="1"/>
          <w:numId w:val="3"/>
        </w:numPr>
      </w:pPr>
      <w:r>
        <w:t>Yaw offsets</w:t>
      </w:r>
    </w:p>
    <w:p w14:paraId="61FEF11F" w14:textId="4EFA13C3" w:rsidR="002F2570" w:rsidRDefault="002F2570" w:rsidP="002F2570">
      <w:r>
        <w:t xml:space="preserve">Yaw offsets are achieved on the DOE 1.5 using </w:t>
      </w:r>
      <w:r w:rsidR="00A37A8F">
        <w:t xml:space="preserve">National Instruments-based hardware to </w:t>
      </w:r>
      <w:r>
        <w:t>subtract</w:t>
      </w:r>
      <w:r w:rsidR="00A37A8F">
        <w:t xml:space="preserve"> the desired offset from the wind vane signal before it is input to the turbine’s yaw control system.</w:t>
      </w:r>
      <w:r>
        <w:t xml:space="preserve"> </w:t>
      </w:r>
      <w:r w:rsidR="00A37A8F">
        <w:t>This strategy induces a yaw offset in the turbine without requiring modification of the yaw control algorithm.</w:t>
      </w:r>
    </w:p>
    <w:p w14:paraId="6AD4ED04" w14:textId="46883553" w:rsidR="00A37A8F" w:rsidRDefault="00A37A8F" w:rsidP="002F2570"/>
    <w:p w14:paraId="72727AF4" w14:textId="01FE19DD" w:rsidR="00A37A8F" w:rsidRDefault="00A37A8F" w:rsidP="002F2570">
      <w:r>
        <w:t>Based on the interest</w:t>
      </w:r>
      <w:r w:rsidR="00A34D38">
        <w:t xml:space="preserve"> in implementing wake steering using positive yaw offsets (a </w:t>
      </w:r>
      <w:proofErr w:type="gramStart"/>
      <w:r w:rsidR="00A34D38">
        <w:t>counter-clockwise</w:t>
      </w:r>
      <w:proofErr w:type="gramEnd"/>
      <w:r w:rsidR="00A34D38">
        <w:t xml:space="preserve"> rotation of the nacelle relative to the wind direction), the experiment will focus on </w:t>
      </w:r>
      <w:proofErr w:type="spellStart"/>
      <w:r w:rsidR="00A34D38">
        <w:t>postivie</w:t>
      </w:r>
      <w:proofErr w:type="spellEnd"/>
      <w:r w:rsidR="00A34D38">
        <w:t xml:space="preserve"> yaw offsets. However, for model validation, a single negative yaw offset will be evaluated. As explained in</w:t>
      </w:r>
      <w:r w:rsidR="000B3B08">
        <w:t xml:space="preserve"> </w:t>
      </w:r>
      <w:sdt>
        <w:sdtPr>
          <w:id w:val="-397511272"/>
          <w:citation/>
        </w:sdtPr>
        <w:sdtContent>
          <w:r w:rsidR="000B3B08">
            <w:fldChar w:fldCharType="begin"/>
          </w:r>
          <w:r w:rsidR="00CB43CA">
            <w:instrText xml:space="preserve">CITATION PFl19 \l 1033 </w:instrText>
          </w:r>
          <w:r w:rsidR="000B3B08">
            <w:fldChar w:fldCharType="separate"/>
          </w:r>
          <w:r w:rsidR="00CB43CA">
            <w:rPr>
              <w:noProof/>
            </w:rPr>
            <w:t>(Fleming, et al., 2019)</w:t>
          </w:r>
          <w:r w:rsidR="000B3B08">
            <w:fldChar w:fldCharType="end"/>
          </w:r>
        </w:sdtContent>
      </w:sdt>
      <w:r w:rsidR="00A34D38">
        <w:t xml:space="preserve">, based on a loads analysis of the DOE 1.5 under different amounts of yaw misalignment </w:t>
      </w:r>
      <w:sdt>
        <w:sdtPr>
          <w:id w:val="-1055616895"/>
          <w:citation/>
        </w:sdtPr>
        <w:sdtContent>
          <w:r w:rsidR="000B3B08">
            <w:fldChar w:fldCharType="begin"/>
          </w:r>
          <w:r w:rsidR="000B3B08">
            <w:instrText xml:space="preserve"> CITATION Ric18 \l 1033 </w:instrText>
          </w:r>
          <w:r w:rsidR="000B3B08">
            <w:fldChar w:fldCharType="separate"/>
          </w:r>
          <w:r w:rsidR="00CB43CA">
            <w:rPr>
              <w:noProof/>
            </w:rPr>
            <w:t>(Rick Damiani, 2018)</w:t>
          </w:r>
          <w:r w:rsidR="000B3B08">
            <w:fldChar w:fldCharType="end"/>
          </w:r>
        </w:sdtContent>
      </w:sdt>
      <w:r w:rsidR="000B3B08">
        <w:t xml:space="preserve">, </w:t>
      </w:r>
      <w:r w:rsidR="00A34D38">
        <w:t>a limit of +20</w:t>
      </w:r>
      <w:r w:rsidR="000B3B08">
        <w:t>˚</w:t>
      </w:r>
      <w:r w:rsidR="00A34D38">
        <w:t xml:space="preserve"> was chosen for implementation of wake steering at a commercial wind farm. However,</w:t>
      </w:r>
      <w:r w:rsidR="00752F88">
        <w:t xml:space="preserve"> previous yaw misalignment experiments on the DOE 1.5 have used yaw offsets up to +/-</w:t>
      </w:r>
      <w:r w:rsidR="00752F88">
        <w:t>2</w:t>
      </w:r>
      <w:r w:rsidR="00752F88">
        <w:t>5</w:t>
      </w:r>
      <w:r w:rsidR="000B3B08">
        <w:t>˚</w:t>
      </w:r>
      <w:r w:rsidR="002E7F05">
        <w:t xml:space="preserve"> </w:t>
      </w:r>
      <w:sdt>
        <w:sdtPr>
          <w:id w:val="289099382"/>
          <w:citation/>
        </w:sdtPr>
        <w:sdtContent>
          <w:r w:rsidR="002E7F05">
            <w:fldChar w:fldCharType="begin"/>
          </w:r>
          <w:r w:rsidR="002E7F05">
            <w:instrText xml:space="preserve"> CITATION Ric18 \l 1033 </w:instrText>
          </w:r>
          <w:r w:rsidR="002E7F05">
            <w:fldChar w:fldCharType="separate"/>
          </w:r>
          <w:r w:rsidR="00CB43CA">
            <w:rPr>
              <w:noProof/>
            </w:rPr>
            <w:t>(Rick Damiani, 2018)</w:t>
          </w:r>
          <w:r w:rsidR="002E7F05">
            <w:fldChar w:fldCharType="end"/>
          </w:r>
        </w:sdtContent>
      </w:sdt>
      <w:r w:rsidR="002E7F05">
        <w:t xml:space="preserve">, </w:t>
      </w:r>
      <w:sdt>
        <w:sdtPr>
          <w:id w:val="1355148176"/>
          <w:citation/>
        </w:sdtPr>
        <w:sdtContent>
          <w:r w:rsidR="002E7F05">
            <w:fldChar w:fldCharType="begin"/>
          </w:r>
          <w:r w:rsidR="002E7F05">
            <w:instrText xml:space="preserve"> CITATION Jen18 \l 1033 </w:instrText>
          </w:r>
          <w:r w:rsidR="002E7F05">
            <w:fldChar w:fldCharType="separate"/>
          </w:r>
          <w:r w:rsidR="00CB43CA">
            <w:rPr>
              <w:noProof/>
            </w:rPr>
            <w:t>(Annoni, et al., 2018)</w:t>
          </w:r>
          <w:r w:rsidR="002E7F05">
            <w:fldChar w:fldCharType="end"/>
          </w:r>
        </w:sdtContent>
      </w:sdt>
      <w:r w:rsidR="00752F88">
        <w:t>.</w:t>
      </w:r>
      <w:r w:rsidR="00A34D38">
        <w:t xml:space="preserve"> </w:t>
      </w:r>
      <w:r w:rsidR="00752F88">
        <w:t xml:space="preserve">To capture the expected range of yaw offsets that will be implemented by wake steering controllers, as well as a negative yaw offset and a larger positive yaw offset for model validation, </w:t>
      </w:r>
      <w:r w:rsidR="005D021A">
        <w:t xml:space="preserve">the yaw offset schedule </w:t>
      </w:r>
      <w:r w:rsidR="00AF052B">
        <w:t xml:space="preserve">in </w:t>
      </w:r>
      <w:r w:rsidR="00AF052B">
        <w:fldChar w:fldCharType="begin"/>
      </w:r>
      <w:r w:rsidR="00AF052B">
        <w:instrText xml:space="preserve"> REF _Ref21014228 \h </w:instrText>
      </w:r>
      <w:r w:rsidR="00AF052B">
        <w:fldChar w:fldCharType="separate"/>
      </w:r>
      <w:r w:rsidR="00AF052B">
        <w:t xml:space="preserve">Table </w:t>
      </w:r>
      <w:r w:rsidR="00AF052B">
        <w:rPr>
          <w:noProof/>
        </w:rPr>
        <w:t>4</w:t>
      </w:r>
      <w:r w:rsidR="00AF052B">
        <w:t xml:space="preserve">. </w:t>
      </w:r>
      <w:r w:rsidR="00AF052B">
        <w:t>Yaw Offset Schedule</w:t>
      </w:r>
      <w:r w:rsidR="00AF052B">
        <w:fldChar w:fldCharType="end"/>
      </w:r>
      <w:r w:rsidR="00AF052B">
        <w:t xml:space="preserve"> </w:t>
      </w:r>
      <w:r w:rsidR="005D021A">
        <w:t>will be used.</w:t>
      </w:r>
    </w:p>
    <w:p w14:paraId="7A0EAFD6" w14:textId="207C9C41" w:rsidR="00AF052B" w:rsidRDefault="00AF052B" w:rsidP="002F2570"/>
    <w:p w14:paraId="678338A9" w14:textId="0C5ACACA" w:rsidR="00AF052B" w:rsidRDefault="00AF052B" w:rsidP="002F2570">
      <w:r>
        <w:t>The yaw offset controller will cycle between each yaw offset, holding each value for 30 minutes and repeating the schedule every 2.5</w:t>
      </w:r>
      <w:bookmarkStart w:id="2" w:name="_GoBack"/>
      <w:bookmarkEnd w:id="2"/>
      <w:r>
        <w:t xml:space="preserve"> hours.</w:t>
      </w:r>
      <w:r w:rsidR="00C356BA">
        <w:t xml:space="preserve"> The specific order of yaw offsets is intended to reduce the magnitude of the most extreme change in yaw orientation.</w:t>
      </w:r>
      <w:r>
        <w:t xml:space="preserve"> </w:t>
      </w:r>
      <w:proofErr w:type="gramStart"/>
      <w:r>
        <w:t>The</w:t>
      </w:r>
      <w:proofErr w:type="gramEnd"/>
      <w:r>
        <w:t xml:space="preserve"> first 5 minutes after a new yaw offset is selected will be discarded to account for yawing transients.</w:t>
      </w:r>
    </w:p>
    <w:p w14:paraId="0D71D10A" w14:textId="626D2786" w:rsidR="005D021A" w:rsidRDefault="005D021A" w:rsidP="002F2570"/>
    <w:p w14:paraId="54566208" w14:textId="1583FF38" w:rsidR="005D021A" w:rsidRDefault="005D021A" w:rsidP="005D021A">
      <w:pPr>
        <w:pStyle w:val="Caption"/>
        <w:keepNext/>
      </w:pPr>
      <w:bookmarkStart w:id="3" w:name="_Ref210142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>
        <w:t>Yaw Offset Schedule</w:t>
      </w:r>
      <w:bookmarkEnd w:id="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900"/>
        <w:gridCol w:w="900"/>
        <w:gridCol w:w="900"/>
        <w:gridCol w:w="900"/>
        <w:gridCol w:w="900"/>
      </w:tblGrid>
      <w:tr w:rsidR="00F228D2" w14:paraId="0E8B1EAB" w14:textId="22CF35DC" w:rsidTr="00297604">
        <w:trPr>
          <w:tblHeader/>
          <w:jc w:val="center"/>
        </w:trPr>
        <w:tc>
          <w:tcPr>
            <w:tcW w:w="1605" w:type="dxa"/>
            <w:tcBorders>
              <w:bottom w:val="single" w:sz="12" w:space="0" w:color="auto"/>
            </w:tcBorders>
            <w:shd w:val="clear" w:color="auto" w:fill="BFBFBF"/>
          </w:tcPr>
          <w:p w14:paraId="10FBC039" w14:textId="72A683F0" w:rsidR="00F228D2" w:rsidRPr="00EB627D" w:rsidRDefault="00F228D2" w:rsidP="00F228D2">
            <w:pPr>
              <w:keepNext/>
            </w:pPr>
            <w:r>
              <w:t>Yaw Offset</w:t>
            </w:r>
          </w:p>
        </w:tc>
        <w:tc>
          <w:tcPr>
            <w:tcW w:w="900" w:type="dxa"/>
            <w:shd w:val="clear" w:color="auto" w:fill="auto"/>
          </w:tcPr>
          <w:p w14:paraId="250A1317" w14:textId="57F47D75" w:rsidR="00F228D2" w:rsidRPr="00EB627D" w:rsidRDefault="00A1637C" w:rsidP="00F228D2">
            <w:pPr>
              <w:keepNext/>
            </w:pPr>
            <w:r>
              <w:t>0</w:t>
            </w:r>
            <w:r w:rsidR="000B3B08">
              <w:t>˚</w:t>
            </w:r>
          </w:p>
        </w:tc>
        <w:tc>
          <w:tcPr>
            <w:tcW w:w="900" w:type="dxa"/>
          </w:tcPr>
          <w:p w14:paraId="38FFF4EA" w14:textId="201D7D36" w:rsidR="00F228D2" w:rsidRDefault="00A1637C" w:rsidP="00F228D2">
            <w:pPr>
              <w:keepNext/>
            </w:pPr>
            <w:r>
              <w:t>25</w:t>
            </w:r>
            <w:r w:rsidR="000B3B08">
              <w:t>˚</w:t>
            </w:r>
          </w:p>
        </w:tc>
        <w:tc>
          <w:tcPr>
            <w:tcW w:w="900" w:type="dxa"/>
          </w:tcPr>
          <w:p w14:paraId="0FE7514C" w14:textId="4ADF23F9" w:rsidR="00F228D2" w:rsidRDefault="00F228D2" w:rsidP="00F228D2">
            <w:pPr>
              <w:keepNext/>
            </w:pPr>
            <w:r>
              <w:t>1</w:t>
            </w:r>
            <w:r w:rsidR="00A1637C">
              <w:t>8</w:t>
            </w:r>
            <w:r w:rsidR="000B3B08">
              <w:t>˚</w:t>
            </w:r>
          </w:p>
        </w:tc>
        <w:tc>
          <w:tcPr>
            <w:tcW w:w="900" w:type="dxa"/>
          </w:tcPr>
          <w:p w14:paraId="27937324" w14:textId="102CC294" w:rsidR="00F228D2" w:rsidRDefault="00F228D2" w:rsidP="00F228D2">
            <w:pPr>
              <w:keepNext/>
            </w:pPr>
            <w:r>
              <w:t>1</w:t>
            </w:r>
            <w:r w:rsidR="00A1637C">
              <w:t>0</w:t>
            </w:r>
            <w:r w:rsidR="000B3B08">
              <w:t>˚</w:t>
            </w:r>
          </w:p>
        </w:tc>
        <w:tc>
          <w:tcPr>
            <w:tcW w:w="900" w:type="dxa"/>
          </w:tcPr>
          <w:p w14:paraId="28BDA8A3" w14:textId="77410053" w:rsidR="00F228D2" w:rsidRDefault="00A1637C" w:rsidP="00F228D2">
            <w:pPr>
              <w:keepNext/>
            </w:pPr>
            <w:r>
              <w:t>-18</w:t>
            </w:r>
            <w:r w:rsidR="000B3B08">
              <w:t>˚</w:t>
            </w:r>
          </w:p>
        </w:tc>
      </w:tr>
      <w:tr w:rsidR="00F228D2" w14:paraId="616C7404" w14:textId="1D8A83D9" w:rsidTr="00297604">
        <w:trPr>
          <w:tblHeader/>
          <w:jc w:val="center"/>
        </w:trPr>
        <w:tc>
          <w:tcPr>
            <w:tcW w:w="1605" w:type="dxa"/>
            <w:shd w:val="clear" w:color="auto" w:fill="BFBFBF" w:themeFill="background1" w:themeFillShade="BF"/>
          </w:tcPr>
          <w:p w14:paraId="0A243A46" w14:textId="03B00910" w:rsidR="00F228D2" w:rsidRDefault="00F228D2" w:rsidP="00F228D2">
            <w:pPr>
              <w:keepNext/>
            </w:pPr>
            <w:r>
              <w:t>Duration</w:t>
            </w:r>
          </w:p>
        </w:tc>
        <w:tc>
          <w:tcPr>
            <w:tcW w:w="900" w:type="dxa"/>
          </w:tcPr>
          <w:p w14:paraId="2ADC5317" w14:textId="7EE373A7" w:rsidR="00F228D2" w:rsidRDefault="00F228D2" w:rsidP="00F228D2">
            <w:pPr>
              <w:keepNext/>
            </w:pPr>
            <w:r>
              <w:t>30 min</w:t>
            </w:r>
          </w:p>
        </w:tc>
        <w:tc>
          <w:tcPr>
            <w:tcW w:w="900" w:type="dxa"/>
          </w:tcPr>
          <w:p w14:paraId="5B8316FA" w14:textId="6EBA256F" w:rsidR="00F228D2" w:rsidRDefault="00F228D2" w:rsidP="00F228D2">
            <w:pPr>
              <w:keepNext/>
            </w:pPr>
            <w:r>
              <w:t>30 min</w:t>
            </w:r>
          </w:p>
        </w:tc>
        <w:tc>
          <w:tcPr>
            <w:tcW w:w="900" w:type="dxa"/>
          </w:tcPr>
          <w:p w14:paraId="3977E839" w14:textId="5056FC78" w:rsidR="00F228D2" w:rsidRDefault="00F228D2" w:rsidP="00F228D2">
            <w:pPr>
              <w:keepNext/>
            </w:pPr>
            <w:r>
              <w:t>30 min</w:t>
            </w:r>
          </w:p>
        </w:tc>
        <w:tc>
          <w:tcPr>
            <w:tcW w:w="900" w:type="dxa"/>
          </w:tcPr>
          <w:p w14:paraId="5C361927" w14:textId="7E3B8C35" w:rsidR="00F228D2" w:rsidRDefault="00F228D2" w:rsidP="00F228D2">
            <w:pPr>
              <w:keepNext/>
            </w:pPr>
            <w:r>
              <w:t>30 min</w:t>
            </w:r>
          </w:p>
        </w:tc>
        <w:tc>
          <w:tcPr>
            <w:tcW w:w="900" w:type="dxa"/>
          </w:tcPr>
          <w:p w14:paraId="57B0594E" w14:textId="72E81AEE" w:rsidR="00F228D2" w:rsidRDefault="00F228D2" w:rsidP="00F228D2">
            <w:pPr>
              <w:keepNext/>
            </w:pPr>
            <w:r>
              <w:t>30 min</w:t>
            </w:r>
          </w:p>
        </w:tc>
      </w:tr>
    </w:tbl>
    <w:p w14:paraId="1092370B" w14:textId="77777777" w:rsidR="005D021A" w:rsidRDefault="005D021A" w:rsidP="002F2570"/>
    <w:p w14:paraId="2A1C27A4" w14:textId="152974E7" w:rsidR="002F2570" w:rsidRDefault="002F2570" w:rsidP="002F2570">
      <w:pPr>
        <w:pStyle w:val="Style1"/>
        <w:numPr>
          <w:ilvl w:val="1"/>
          <w:numId w:val="3"/>
        </w:numPr>
      </w:pPr>
      <w:r>
        <w:t>Data Collection Requirements</w:t>
      </w:r>
    </w:p>
    <w:p w14:paraId="2176EA5A" w14:textId="70137589" w:rsidR="008F7AE4" w:rsidRDefault="008F7AE4" w:rsidP="008F7AE4">
      <w:r>
        <w:t>The test will continue until</w:t>
      </w:r>
      <w:r w:rsidR="00A83323">
        <w:t>, at a minimum,</w:t>
      </w:r>
      <w:r>
        <w:t xml:space="preserve"> all requirements listed in </w:t>
      </w:r>
      <w:r>
        <w:fldChar w:fldCharType="begin"/>
      </w:r>
      <w:r>
        <w:instrText xml:space="preserve"> REF _Ref429969520 \h </w:instrText>
      </w:r>
      <w:r>
        <w:fldChar w:fldCharType="separate"/>
      </w:r>
      <w:r w:rsidR="00AF052B">
        <w:t xml:space="preserve">Table </w:t>
      </w:r>
      <w:r w:rsidR="00AF052B">
        <w:rPr>
          <w:noProof/>
        </w:rPr>
        <w:t>5</w:t>
      </w:r>
      <w:r>
        <w:fldChar w:fldCharType="end"/>
      </w:r>
      <w:r>
        <w:t xml:space="preserve"> are fulfilled</w:t>
      </w:r>
      <w:r w:rsidR="002F2570">
        <w:t xml:space="preserve"> for each target yaw misalignment</w:t>
      </w:r>
      <w:r>
        <w:t>.</w:t>
      </w:r>
      <w:r w:rsidR="00AF052B">
        <w:t xml:space="preserve"> To fulfill the test requirements, each data period must correspond to a mean wind direction within +/-15</w:t>
      </w:r>
      <w:r w:rsidR="000B3B08">
        <w:t>˚</w:t>
      </w:r>
      <w:r w:rsidR="000B3B08">
        <w:t xml:space="preserve"> of the prevailing wind direction of </w:t>
      </w:r>
      <w:r w:rsidR="000B3B08">
        <w:t>285˚</w:t>
      </w:r>
      <w:r w:rsidR="000B3B08">
        <w:t>.</w:t>
      </w:r>
      <w:r w:rsidR="00A83323">
        <w:t xml:space="preserve">  </w:t>
      </w:r>
      <w:proofErr w:type="gramStart"/>
      <w:r w:rsidR="00A83323">
        <w:t>Testing</w:t>
      </w:r>
      <w:proofErr w:type="gramEnd"/>
      <w:r w:rsidR="00A83323">
        <w:t xml:space="preserve"> will continue until </w:t>
      </w:r>
      <w:r w:rsidR="002F2570">
        <w:t>it NREL agrees that</w:t>
      </w:r>
      <w:r w:rsidR="00A83323">
        <w:t xml:space="preserve"> sufficient data has been collected.</w:t>
      </w:r>
    </w:p>
    <w:p w14:paraId="6A0936BD" w14:textId="35017ADD" w:rsidR="008F7AE4" w:rsidRDefault="008F7AE4" w:rsidP="008F7AE4">
      <w:pPr>
        <w:pStyle w:val="Caption"/>
        <w:keepNext/>
      </w:pPr>
      <w:bookmarkStart w:id="4" w:name="_Ref429969520"/>
      <w:bookmarkStart w:id="5" w:name="_Toc429970850"/>
      <w:r>
        <w:lastRenderedPageBreak/>
        <w:t xml:space="preserve">Table </w:t>
      </w:r>
      <w:fldSimple w:instr=" SEQ Table \* ARABIC ">
        <w:r w:rsidR="005D021A">
          <w:rPr>
            <w:noProof/>
          </w:rPr>
          <w:t>5</w:t>
        </w:r>
      </w:fldSimple>
      <w:bookmarkEnd w:id="4"/>
      <w:r>
        <w:t xml:space="preserve">. </w:t>
      </w:r>
      <w:r w:rsidR="00A83323">
        <w:t xml:space="preserve">Minimum </w:t>
      </w:r>
      <w:r>
        <w:t>Data Requirements for Acoustics test</w:t>
      </w:r>
      <w:bookmarkEnd w:id="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3690"/>
      </w:tblGrid>
      <w:tr w:rsidR="00EB627D" w14:paraId="4B00B2FA" w14:textId="77777777" w:rsidTr="00A0530A">
        <w:trPr>
          <w:tblHeader/>
          <w:jc w:val="center"/>
        </w:trPr>
        <w:tc>
          <w:tcPr>
            <w:tcW w:w="4788" w:type="dxa"/>
            <w:shd w:val="clear" w:color="auto" w:fill="BFBFBF"/>
          </w:tcPr>
          <w:p w14:paraId="7E85EBC4" w14:textId="77777777" w:rsidR="00EB627D" w:rsidRPr="00EB627D" w:rsidRDefault="00EB627D" w:rsidP="00060753">
            <w:pPr>
              <w:keepNext/>
            </w:pPr>
            <w:r w:rsidRPr="00EB627D">
              <w:t>Measurement Type</w:t>
            </w:r>
          </w:p>
        </w:tc>
        <w:tc>
          <w:tcPr>
            <w:tcW w:w="3690" w:type="dxa"/>
            <w:shd w:val="clear" w:color="auto" w:fill="BFBFBF"/>
          </w:tcPr>
          <w:p w14:paraId="72B2A8C0" w14:textId="77777777" w:rsidR="00EB627D" w:rsidRPr="00EB627D" w:rsidRDefault="00EB627D" w:rsidP="00060753">
            <w:pPr>
              <w:keepNext/>
            </w:pPr>
            <w:r w:rsidRPr="00EB627D">
              <w:t>Requirements</w:t>
            </w:r>
          </w:p>
        </w:tc>
      </w:tr>
      <w:tr w:rsidR="00EB627D" w14:paraId="69298268" w14:textId="77777777" w:rsidTr="00EB627D">
        <w:trPr>
          <w:tblHeader/>
          <w:jc w:val="center"/>
        </w:trPr>
        <w:tc>
          <w:tcPr>
            <w:tcW w:w="4788" w:type="dxa"/>
          </w:tcPr>
          <w:p w14:paraId="74DF09F1" w14:textId="77777777" w:rsidR="00EB627D" w:rsidRDefault="00EB627D" w:rsidP="00060753">
            <w:pPr>
              <w:keepNext/>
            </w:pPr>
            <w:r>
              <w:t>Overall measurements</w:t>
            </w:r>
          </w:p>
        </w:tc>
        <w:tc>
          <w:tcPr>
            <w:tcW w:w="3690" w:type="dxa"/>
          </w:tcPr>
          <w:p w14:paraId="2B8D5CAF" w14:textId="77777777" w:rsidR="00EB627D" w:rsidRDefault="00EB627D" w:rsidP="00060753">
            <w:pPr>
              <w:keepNext/>
            </w:pPr>
            <w:r>
              <w:t xml:space="preserve">At least 30 one-minute averages. </w:t>
            </w:r>
          </w:p>
        </w:tc>
      </w:tr>
      <w:tr w:rsidR="00EB627D" w14:paraId="4FD210DB" w14:textId="77777777" w:rsidTr="00EB627D">
        <w:trPr>
          <w:tblHeader/>
          <w:jc w:val="center"/>
        </w:trPr>
        <w:tc>
          <w:tcPr>
            <w:tcW w:w="4788" w:type="dxa"/>
          </w:tcPr>
          <w:p w14:paraId="04FF24AD" w14:textId="79788569" w:rsidR="00F83293" w:rsidRDefault="00EB627D" w:rsidP="00060753">
            <w:pPr>
              <w:keepNext/>
            </w:pPr>
            <w:r>
              <w:t>For A-weighted sound pressure level:</w:t>
            </w:r>
          </w:p>
          <w:p w14:paraId="787CD201" w14:textId="0806B94B" w:rsidR="00EB627D" w:rsidRDefault="00EB627D" w:rsidP="00060753">
            <w:pPr>
              <w:keepNext/>
            </w:pPr>
            <w:r>
              <w:t>(for turbine and background measurements)</w:t>
            </w:r>
          </w:p>
        </w:tc>
        <w:tc>
          <w:tcPr>
            <w:tcW w:w="3690" w:type="dxa"/>
          </w:tcPr>
          <w:p w14:paraId="679164BA" w14:textId="77777777" w:rsidR="00EB627D" w:rsidRDefault="00EB627D" w:rsidP="00060753">
            <w:pPr>
              <w:keepNext/>
            </w:pPr>
            <w:r>
              <w:t>At least 3 minutes of data with wind speeds ±0.5 m/s of the integer values of 6, 7, 8, 9, and 10 m/s</w:t>
            </w:r>
          </w:p>
        </w:tc>
      </w:tr>
      <w:tr w:rsidR="00EB627D" w14:paraId="1102EFFB" w14:textId="77777777" w:rsidTr="00EB627D">
        <w:trPr>
          <w:tblHeader/>
          <w:jc w:val="center"/>
        </w:trPr>
        <w:tc>
          <w:tcPr>
            <w:tcW w:w="4788" w:type="dxa"/>
          </w:tcPr>
          <w:p w14:paraId="0A946CE6" w14:textId="77777777" w:rsidR="00FC73F8" w:rsidRDefault="00EB627D" w:rsidP="00060753">
            <w:pPr>
              <w:keepNext/>
            </w:pPr>
            <w:r>
              <w:t>For octave or third octave band measurements</w:t>
            </w:r>
            <w:r w:rsidR="00A83323">
              <w:t>:</w:t>
            </w:r>
          </w:p>
          <w:p w14:paraId="48DD80DE" w14:textId="7BDF2029" w:rsidR="00EB627D" w:rsidRDefault="00A83323" w:rsidP="00060753">
            <w:pPr>
              <w:keepNext/>
            </w:pPr>
            <w:r>
              <w:t>(for turbine and background measurements)</w:t>
            </w:r>
          </w:p>
        </w:tc>
        <w:tc>
          <w:tcPr>
            <w:tcW w:w="3690" w:type="dxa"/>
          </w:tcPr>
          <w:p w14:paraId="74A5A048" w14:textId="77777777" w:rsidR="00EB627D" w:rsidRDefault="00EB627D" w:rsidP="00060753">
            <w:pPr>
              <w:keepNext/>
            </w:pPr>
            <w:r>
              <w:t>At least 3 minutes of data with wind speeds ±0.5 m/s of the integer values of 6, 7, 8, 9, and 10 m/s</w:t>
            </w:r>
          </w:p>
        </w:tc>
      </w:tr>
      <w:tr w:rsidR="00EB627D" w14:paraId="413860E3" w14:textId="77777777" w:rsidTr="00EB627D">
        <w:trPr>
          <w:tblHeader/>
          <w:jc w:val="center"/>
        </w:trPr>
        <w:tc>
          <w:tcPr>
            <w:tcW w:w="4788" w:type="dxa"/>
          </w:tcPr>
          <w:p w14:paraId="38BD338B" w14:textId="255BC185" w:rsidR="00A83323" w:rsidRDefault="00EB627D" w:rsidP="00EB627D">
            <w:pPr>
              <w:keepNext/>
            </w:pPr>
            <w:r>
              <w:t>Narrow band measurements</w:t>
            </w:r>
            <w:r w:rsidR="00A83323">
              <w:t>:</w:t>
            </w:r>
          </w:p>
          <w:p w14:paraId="4D6F40A6" w14:textId="77777777" w:rsidR="00EB627D" w:rsidRDefault="00A83323" w:rsidP="00EB627D">
            <w:pPr>
              <w:keepNext/>
            </w:pPr>
            <w:r>
              <w:t>(for turbine and background measurements)</w:t>
            </w:r>
          </w:p>
        </w:tc>
        <w:tc>
          <w:tcPr>
            <w:tcW w:w="3690" w:type="dxa"/>
          </w:tcPr>
          <w:p w14:paraId="40100263" w14:textId="77777777" w:rsidR="00EB627D" w:rsidRDefault="00EB627D" w:rsidP="00060753">
            <w:pPr>
              <w:keepNext/>
            </w:pPr>
            <w:r>
              <w:t>At least 2 minutes of data with wind speeds ±0.5 m/s of the integer values of 6, 7, 8, 9, and 10 m/s</w:t>
            </w:r>
          </w:p>
        </w:tc>
      </w:tr>
    </w:tbl>
    <w:p w14:paraId="391B007C" w14:textId="5BDC7E99" w:rsidR="00B2324D" w:rsidRDefault="00B2324D" w:rsidP="00B2324D">
      <w:pPr>
        <w:pStyle w:val="Heading1"/>
        <w:spacing w:after="120"/>
      </w:pPr>
    </w:p>
    <w:sdt>
      <w:sdtPr>
        <w:id w:val="-458796429"/>
        <w:docPartObj>
          <w:docPartGallery w:val="Bibliographies"/>
          <w:docPartUnique/>
        </w:docPartObj>
      </w:sdtPr>
      <w:sdtEndPr>
        <w:rPr>
          <w:rFonts w:asciiTheme="minorHAnsi" w:hAnsiTheme="minorHAnsi"/>
          <w:b w:val="0"/>
          <w:color w:val="auto"/>
          <w:kern w:val="0"/>
          <w:sz w:val="22"/>
        </w:rPr>
      </w:sdtEndPr>
      <w:sdtContent>
        <w:p w14:paraId="2551DC9D" w14:textId="1F289121" w:rsidR="000B3B08" w:rsidRDefault="000B3B0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ACC1FC9" w14:textId="77777777" w:rsidR="00CB43CA" w:rsidRDefault="000B3B08" w:rsidP="00CB43C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B43CA">
                <w:rPr>
                  <w:noProof/>
                </w:rPr>
                <w:t xml:space="preserve">Annoni, J., Fleming, P., Scholbrock, A., Roadman, J., Dana, S., Adcock, C., . . . Schlipf, D. (2018). Analysis of Control-Oriented Wake Modeling Tools using Lidar Field Results. </w:t>
              </w:r>
              <w:r w:rsidR="00CB43CA">
                <w:rPr>
                  <w:i/>
                  <w:iCs/>
                  <w:noProof/>
                </w:rPr>
                <w:t>Wind Energy Science</w:t>
              </w:r>
              <w:r w:rsidR="00CB43CA">
                <w:rPr>
                  <w:noProof/>
                </w:rPr>
                <w:t>, 819-831.</w:t>
              </w:r>
            </w:p>
            <w:p w14:paraId="13EC32CC" w14:textId="77777777" w:rsidR="00CB43CA" w:rsidRDefault="00CB43CA" w:rsidP="00CB43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Fleming, P., King, J., Dykes, K., Simley, E., Roadman, J., Scholbrock, A., . . . Lopez, H. (2019). Initial Results from a Field Campaign of Wake Steering Applied at a Commercial Wind Farm - Part 1. </w:t>
              </w:r>
              <w:r>
                <w:rPr>
                  <w:i/>
                  <w:iCs/>
                  <w:noProof/>
                </w:rPr>
                <w:t>Wind Energy Science</w:t>
              </w:r>
              <w:r>
                <w:rPr>
                  <w:noProof/>
                </w:rPr>
                <w:t>, 273-285.</w:t>
              </w:r>
            </w:p>
            <w:p w14:paraId="6765683D" w14:textId="77777777" w:rsidR="00CB43CA" w:rsidRDefault="00CB43CA" w:rsidP="00CB43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Rick Damiani, S. D. (2018). Assessment of Wind Turbine Component Loads under Yaw-Offset Conditions. </w:t>
              </w:r>
              <w:r>
                <w:rPr>
                  <w:i/>
                  <w:iCs/>
                  <w:noProof/>
                </w:rPr>
                <w:t>Wind Energy Science</w:t>
              </w:r>
              <w:r>
                <w:rPr>
                  <w:noProof/>
                </w:rPr>
                <w:t>, 173-189.</w:t>
              </w:r>
            </w:p>
            <w:p w14:paraId="5089313A" w14:textId="05C62FE8" w:rsidR="000B3B08" w:rsidRDefault="000B3B08" w:rsidP="00CB43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0CD88D" w14:textId="19190270" w:rsidR="00B2324D" w:rsidRPr="00B2324D" w:rsidRDefault="00B2324D" w:rsidP="00B2324D">
      <w:pPr>
        <w:rPr>
          <w:rFonts w:asciiTheme="majorHAnsi" w:hAnsiTheme="majorHAnsi"/>
          <w:b/>
          <w:color w:val="4472C4" w:themeColor="accent1"/>
          <w:kern w:val="28"/>
          <w:sz w:val="28"/>
        </w:rPr>
      </w:pPr>
    </w:p>
    <w:sectPr w:rsidR="00B2324D" w:rsidRPr="00B2324D" w:rsidSect="00237C34">
      <w:headerReference w:type="default" r:id="rId8"/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F7086" w14:textId="77777777" w:rsidR="00B43DB0" w:rsidRDefault="00B43DB0">
      <w:r>
        <w:separator/>
      </w:r>
    </w:p>
  </w:endnote>
  <w:endnote w:type="continuationSeparator" w:id="0">
    <w:p w14:paraId="3BFA56E9" w14:textId="77777777" w:rsidR="00B43DB0" w:rsidRDefault="00B4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Univer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DCC2E" w14:textId="77777777" w:rsidR="00B43DB0" w:rsidRDefault="00B43DB0">
      <w:r>
        <w:separator/>
      </w:r>
    </w:p>
  </w:footnote>
  <w:footnote w:type="continuationSeparator" w:id="0">
    <w:p w14:paraId="026F6113" w14:textId="77777777" w:rsidR="00B43DB0" w:rsidRDefault="00B43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A78F" w14:textId="77777777" w:rsidR="00B02E23" w:rsidRDefault="00B02E23">
    <w:pPr>
      <w:pStyle w:val="Header"/>
    </w:pPr>
    <w:r>
      <w:tab/>
    </w:r>
  </w:p>
  <w:p w14:paraId="4DD4CD40" w14:textId="77777777" w:rsidR="00B02E23" w:rsidRDefault="00B02E23">
    <w:pPr>
      <w:pStyle w:val="Header"/>
    </w:pPr>
  </w:p>
  <w:p w14:paraId="77D2E1D8" w14:textId="77777777" w:rsidR="00B02E23" w:rsidRDefault="00B02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AD255D"/>
    <w:multiLevelType w:val="hybridMultilevel"/>
    <w:tmpl w:val="1F6A8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1A19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F9B667D"/>
    <w:multiLevelType w:val="hybridMultilevel"/>
    <w:tmpl w:val="1C541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E63E95"/>
    <w:multiLevelType w:val="multilevel"/>
    <w:tmpl w:val="AD3EB432"/>
    <w:lvl w:ilvl="0">
      <w:start w:val="1"/>
      <w:numFmt w:val="decimal"/>
      <w:pStyle w:val="Style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4D8F251D"/>
    <w:multiLevelType w:val="hybridMultilevel"/>
    <w:tmpl w:val="DD687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A81158"/>
    <w:multiLevelType w:val="hybridMultilevel"/>
    <w:tmpl w:val="2084E8E8"/>
    <w:lvl w:ilvl="0" w:tplc="31249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F5"/>
    <w:rsid w:val="000320A8"/>
    <w:rsid w:val="00060753"/>
    <w:rsid w:val="000664B5"/>
    <w:rsid w:val="00082A58"/>
    <w:rsid w:val="000A5974"/>
    <w:rsid w:val="000B192E"/>
    <w:rsid w:val="000B2A20"/>
    <w:rsid w:val="000B3B08"/>
    <w:rsid w:val="000D3116"/>
    <w:rsid w:val="000F36A0"/>
    <w:rsid w:val="00101DDC"/>
    <w:rsid w:val="00115434"/>
    <w:rsid w:val="00124078"/>
    <w:rsid w:val="001318B1"/>
    <w:rsid w:val="00147E42"/>
    <w:rsid w:val="001536C9"/>
    <w:rsid w:val="00170E69"/>
    <w:rsid w:val="00177C55"/>
    <w:rsid w:val="001855F6"/>
    <w:rsid w:val="001B0744"/>
    <w:rsid w:val="001D6480"/>
    <w:rsid w:val="001E363E"/>
    <w:rsid w:val="001F4634"/>
    <w:rsid w:val="00201DA9"/>
    <w:rsid w:val="00204A71"/>
    <w:rsid w:val="002063E3"/>
    <w:rsid w:val="00216269"/>
    <w:rsid w:val="00233D5E"/>
    <w:rsid w:val="00237C34"/>
    <w:rsid w:val="00257EB1"/>
    <w:rsid w:val="002702AF"/>
    <w:rsid w:val="00272B12"/>
    <w:rsid w:val="00276200"/>
    <w:rsid w:val="00297E4D"/>
    <w:rsid w:val="002B2F9C"/>
    <w:rsid w:val="002B5526"/>
    <w:rsid w:val="002C04C4"/>
    <w:rsid w:val="002D505B"/>
    <w:rsid w:val="002E535A"/>
    <w:rsid w:val="002E7F05"/>
    <w:rsid w:val="002F2570"/>
    <w:rsid w:val="002F616C"/>
    <w:rsid w:val="0033642E"/>
    <w:rsid w:val="00342165"/>
    <w:rsid w:val="00347BE0"/>
    <w:rsid w:val="00355EB1"/>
    <w:rsid w:val="00357D4D"/>
    <w:rsid w:val="00372D66"/>
    <w:rsid w:val="00376760"/>
    <w:rsid w:val="0038610B"/>
    <w:rsid w:val="00393F55"/>
    <w:rsid w:val="00394046"/>
    <w:rsid w:val="003C3B1B"/>
    <w:rsid w:val="003E13B5"/>
    <w:rsid w:val="003E3977"/>
    <w:rsid w:val="003E551A"/>
    <w:rsid w:val="003E6662"/>
    <w:rsid w:val="003F7051"/>
    <w:rsid w:val="0044257C"/>
    <w:rsid w:val="00443274"/>
    <w:rsid w:val="00447EA0"/>
    <w:rsid w:val="004638A4"/>
    <w:rsid w:val="00466461"/>
    <w:rsid w:val="004701E8"/>
    <w:rsid w:val="00476DEF"/>
    <w:rsid w:val="00477830"/>
    <w:rsid w:val="0048571C"/>
    <w:rsid w:val="004C108A"/>
    <w:rsid w:val="004E2AFE"/>
    <w:rsid w:val="004E6286"/>
    <w:rsid w:val="00503D2A"/>
    <w:rsid w:val="0053630E"/>
    <w:rsid w:val="0053643C"/>
    <w:rsid w:val="005507AE"/>
    <w:rsid w:val="005508DE"/>
    <w:rsid w:val="0056248B"/>
    <w:rsid w:val="00563FFE"/>
    <w:rsid w:val="00564487"/>
    <w:rsid w:val="005755F5"/>
    <w:rsid w:val="005A6B58"/>
    <w:rsid w:val="005B3D21"/>
    <w:rsid w:val="005C2C9A"/>
    <w:rsid w:val="005D021A"/>
    <w:rsid w:val="005D1BB0"/>
    <w:rsid w:val="005D4A3C"/>
    <w:rsid w:val="005E4D13"/>
    <w:rsid w:val="005F17D6"/>
    <w:rsid w:val="005F56A2"/>
    <w:rsid w:val="00602C86"/>
    <w:rsid w:val="00606127"/>
    <w:rsid w:val="0061255D"/>
    <w:rsid w:val="00622402"/>
    <w:rsid w:val="006340FD"/>
    <w:rsid w:val="0063736F"/>
    <w:rsid w:val="0064159F"/>
    <w:rsid w:val="00647FA7"/>
    <w:rsid w:val="0065124C"/>
    <w:rsid w:val="006552B0"/>
    <w:rsid w:val="00670942"/>
    <w:rsid w:val="006A114E"/>
    <w:rsid w:val="006A15DE"/>
    <w:rsid w:val="006B0752"/>
    <w:rsid w:val="006B39C0"/>
    <w:rsid w:val="006C2EC5"/>
    <w:rsid w:val="006F2698"/>
    <w:rsid w:val="007014EE"/>
    <w:rsid w:val="00752F88"/>
    <w:rsid w:val="0076054E"/>
    <w:rsid w:val="007751C5"/>
    <w:rsid w:val="00785CD6"/>
    <w:rsid w:val="00794903"/>
    <w:rsid w:val="007A6926"/>
    <w:rsid w:val="007D62BA"/>
    <w:rsid w:val="007E0E0B"/>
    <w:rsid w:val="008079EF"/>
    <w:rsid w:val="00826201"/>
    <w:rsid w:val="008434E9"/>
    <w:rsid w:val="00850325"/>
    <w:rsid w:val="00865D0B"/>
    <w:rsid w:val="008A0875"/>
    <w:rsid w:val="008A44FA"/>
    <w:rsid w:val="008A7427"/>
    <w:rsid w:val="008B5A4E"/>
    <w:rsid w:val="008D4E9E"/>
    <w:rsid w:val="008D6E8D"/>
    <w:rsid w:val="008E7D28"/>
    <w:rsid w:val="008F7AE4"/>
    <w:rsid w:val="0090100A"/>
    <w:rsid w:val="00904557"/>
    <w:rsid w:val="00915778"/>
    <w:rsid w:val="00917B7B"/>
    <w:rsid w:val="00932E41"/>
    <w:rsid w:val="0093377C"/>
    <w:rsid w:val="00936C61"/>
    <w:rsid w:val="00937606"/>
    <w:rsid w:val="00937AE6"/>
    <w:rsid w:val="0094657B"/>
    <w:rsid w:val="00951E39"/>
    <w:rsid w:val="009547DC"/>
    <w:rsid w:val="00960E9A"/>
    <w:rsid w:val="00963F9A"/>
    <w:rsid w:val="00964A21"/>
    <w:rsid w:val="009A5111"/>
    <w:rsid w:val="009D00EB"/>
    <w:rsid w:val="009D3EC7"/>
    <w:rsid w:val="009F7555"/>
    <w:rsid w:val="00A0528A"/>
    <w:rsid w:val="00A0530A"/>
    <w:rsid w:val="00A102C5"/>
    <w:rsid w:val="00A1637C"/>
    <w:rsid w:val="00A34D38"/>
    <w:rsid w:val="00A37A8F"/>
    <w:rsid w:val="00A526DC"/>
    <w:rsid w:val="00A653EB"/>
    <w:rsid w:val="00A81058"/>
    <w:rsid w:val="00A83323"/>
    <w:rsid w:val="00A931FB"/>
    <w:rsid w:val="00A945D0"/>
    <w:rsid w:val="00AA4ECF"/>
    <w:rsid w:val="00AD0AC5"/>
    <w:rsid w:val="00AD72E3"/>
    <w:rsid w:val="00AD78F3"/>
    <w:rsid w:val="00AF052B"/>
    <w:rsid w:val="00AF054F"/>
    <w:rsid w:val="00AF0649"/>
    <w:rsid w:val="00AF09BE"/>
    <w:rsid w:val="00AF1176"/>
    <w:rsid w:val="00AF4ACF"/>
    <w:rsid w:val="00B02E23"/>
    <w:rsid w:val="00B077E6"/>
    <w:rsid w:val="00B10AD4"/>
    <w:rsid w:val="00B13539"/>
    <w:rsid w:val="00B20801"/>
    <w:rsid w:val="00B2324D"/>
    <w:rsid w:val="00B2342A"/>
    <w:rsid w:val="00B31C0F"/>
    <w:rsid w:val="00B33D70"/>
    <w:rsid w:val="00B43C0A"/>
    <w:rsid w:val="00B43DB0"/>
    <w:rsid w:val="00B46A55"/>
    <w:rsid w:val="00B63BE7"/>
    <w:rsid w:val="00B72471"/>
    <w:rsid w:val="00B81B96"/>
    <w:rsid w:val="00B8363B"/>
    <w:rsid w:val="00B85EA2"/>
    <w:rsid w:val="00B87FBA"/>
    <w:rsid w:val="00BA52CB"/>
    <w:rsid w:val="00BB4E24"/>
    <w:rsid w:val="00BB4E8D"/>
    <w:rsid w:val="00BD25CD"/>
    <w:rsid w:val="00BE6A74"/>
    <w:rsid w:val="00C1070C"/>
    <w:rsid w:val="00C16637"/>
    <w:rsid w:val="00C25477"/>
    <w:rsid w:val="00C261FD"/>
    <w:rsid w:val="00C328A9"/>
    <w:rsid w:val="00C356BA"/>
    <w:rsid w:val="00C36E65"/>
    <w:rsid w:val="00C40ACE"/>
    <w:rsid w:val="00C63EDB"/>
    <w:rsid w:val="00C66282"/>
    <w:rsid w:val="00C670EB"/>
    <w:rsid w:val="00C71EB7"/>
    <w:rsid w:val="00C87E1C"/>
    <w:rsid w:val="00C95DA3"/>
    <w:rsid w:val="00C97527"/>
    <w:rsid w:val="00CA5B49"/>
    <w:rsid w:val="00CB43CA"/>
    <w:rsid w:val="00CC5B32"/>
    <w:rsid w:val="00CD2389"/>
    <w:rsid w:val="00CD4B53"/>
    <w:rsid w:val="00CD668A"/>
    <w:rsid w:val="00CE667B"/>
    <w:rsid w:val="00D21093"/>
    <w:rsid w:val="00D22814"/>
    <w:rsid w:val="00D31D1D"/>
    <w:rsid w:val="00D415D4"/>
    <w:rsid w:val="00D51806"/>
    <w:rsid w:val="00D639D2"/>
    <w:rsid w:val="00D66AC2"/>
    <w:rsid w:val="00D726EF"/>
    <w:rsid w:val="00D80E0D"/>
    <w:rsid w:val="00D853C8"/>
    <w:rsid w:val="00DA5F68"/>
    <w:rsid w:val="00DC6FD5"/>
    <w:rsid w:val="00DF33C1"/>
    <w:rsid w:val="00DF3BEC"/>
    <w:rsid w:val="00E12C9E"/>
    <w:rsid w:val="00E158B0"/>
    <w:rsid w:val="00E17385"/>
    <w:rsid w:val="00E36D03"/>
    <w:rsid w:val="00E4191B"/>
    <w:rsid w:val="00E70118"/>
    <w:rsid w:val="00E71214"/>
    <w:rsid w:val="00E862CB"/>
    <w:rsid w:val="00EA1D44"/>
    <w:rsid w:val="00EA5163"/>
    <w:rsid w:val="00EA7843"/>
    <w:rsid w:val="00EA7F22"/>
    <w:rsid w:val="00EB627D"/>
    <w:rsid w:val="00ED19F3"/>
    <w:rsid w:val="00ED342A"/>
    <w:rsid w:val="00EE0733"/>
    <w:rsid w:val="00EE5E96"/>
    <w:rsid w:val="00EF156A"/>
    <w:rsid w:val="00F16E79"/>
    <w:rsid w:val="00F228D2"/>
    <w:rsid w:val="00F26599"/>
    <w:rsid w:val="00F32E28"/>
    <w:rsid w:val="00F40E63"/>
    <w:rsid w:val="00F63F79"/>
    <w:rsid w:val="00F65137"/>
    <w:rsid w:val="00F67A16"/>
    <w:rsid w:val="00F83293"/>
    <w:rsid w:val="00F87403"/>
    <w:rsid w:val="00FA48BD"/>
    <w:rsid w:val="00FA680F"/>
    <w:rsid w:val="00FB4018"/>
    <w:rsid w:val="00FB550C"/>
    <w:rsid w:val="00FB5BF1"/>
    <w:rsid w:val="00FC73F8"/>
    <w:rsid w:val="00FD194D"/>
    <w:rsid w:val="00F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4A5D0"/>
  <w15:chartTrackingRefBased/>
  <w15:docId w15:val="{02E3922D-9390-B84C-964E-E4EC8519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261FD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61FD"/>
    <w:pPr>
      <w:keepNext/>
      <w:spacing w:before="240" w:after="60"/>
      <w:outlineLvl w:val="0"/>
    </w:pPr>
    <w:rPr>
      <w:rFonts w:asciiTheme="majorHAnsi" w:hAnsiTheme="majorHAnsi"/>
      <w:b/>
      <w:color w:val="4472C4" w:themeColor="accent1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720" w:hanging="3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720" w:hanging="3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720" w:hanging="3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qFormat/>
    <w:pPr>
      <w:spacing w:line="240" w:lineRule="exact"/>
      <w:jc w:val="center"/>
      <w:outlineLvl w:val="7"/>
    </w:pPr>
    <w:rPr>
      <w:rFonts w:ascii="Univers (WN)" w:hAnsi="Univers (WN)"/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720" w:hanging="3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1">
    <w:name w:val="table1"/>
    <w:basedOn w:val="Normal"/>
    <w:next w:val="Normal"/>
    <w:pPr>
      <w:spacing w:after="60"/>
      <w:jc w:val="center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">
    <w:name w:val="Body Text"/>
    <w:basedOn w:val="Normal"/>
    <w:rPr>
      <w:color w:val="00000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pPr>
      <w:spacing w:line="240" w:lineRule="atLeast"/>
      <w:ind w:left="360" w:hanging="360"/>
    </w:pPr>
  </w:style>
  <w:style w:type="paragraph" w:styleId="BodyText2">
    <w:name w:val="Body Text 2"/>
    <w:basedOn w:val="Normal"/>
    <w:rPr>
      <w:color w:val="FF0000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</w:tabs>
      <w:ind w:left="720" w:hanging="720"/>
    </w:pPr>
    <w:rPr>
      <w:color w:val="0000FF"/>
    </w:rPr>
  </w:style>
  <w:style w:type="paragraph" w:styleId="BodyTextIndent3">
    <w:name w:val="Body Text Indent 3"/>
    <w:basedOn w:val="Normal"/>
    <w:pPr>
      <w:ind w:left="720"/>
    </w:pPr>
    <w:rPr>
      <w:color w:val="0000FF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sz w:val="24"/>
    </w:rPr>
  </w:style>
  <w:style w:type="paragraph" w:customStyle="1" w:styleId="TitleDate">
    <w:name w:val="TitleDate"/>
    <w:basedOn w:val="Normal"/>
    <w:pPr>
      <w:spacing w:before="240" w:after="720"/>
      <w:jc w:val="center"/>
    </w:pPr>
    <w:rPr>
      <w:rFonts w:ascii="Arial" w:hAnsi="Arial"/>
      <w:b/>
    </w:rPr>
  </w:style>
  <w:style w:type="paragraph" w:customStyle="1" w:styleId="Title1">
    <w:name w:val="Title1"/>
    <w:basedOn w:val="Normal"/>
    <w:pPr>
      <w:spacing w:before="480"/>
      <w:jc w:val="center"/>
    </w:pPr>
    <w:rPr>
      <w:rFonts w:ascii="Arial" w:hAnsi="Arial"/>
      <w:b/>
      <w:sz w:val="36"/>
    </w:rPr>
  </w:style>
  <w:style w:type="paragraph" w:customStyle="1" w:styleId="Title2">
    <w:name w:val="Title2"/>
    <w:basedOn w:val="Title1"/>
    <w:pPr>
      <w:spacing w:before="240"/>
    </w:pPr>
  </w:style>
  <w:style w:type="paragraph" w:customStyle="1" w:styleId="TitlePreps">
    <w:name w:val="TitlePreps"/>
    <w:basedOn w:val="Title1"/>
    <w:pPr>
      <w:spacing w:before="240"/>
    </w:pPr>
    <w:rPr>
      <w:sz w:val="24"/>
    </w:rPr>
  </w:style>
  <w:style w:type="paragraph" w:customStyle="1" w:styleId="Approval">
    <w:name w:val="Approval"/>
    <w:basedOn w:val="TitlePreps"/>
    <w:next w:val="Normal"/>
    <w:pPr>
      <w:tabs>
        <w:tab w:val="left" w:leader="underscore" w:pos="8640"/>
      </w:tabs>
      <w:spacing w:before="720"/>
      <w:jc w:val="left"/>
    </w:pPr>
    <w:rPr>
      <w:sz w:val="22"/>
    </w:rPr>
  </w:style>
  <w:style w:type="paragraph" w:customStyle="1" w:styleId="ApprovalName">
    <w:name w:val="ApprovalName"/>
    <w:basedOn w:val="Approval"/>
    <w:next w:val="Approval"/>
    <w:pPr>
      <w:tabs>
        <w:tab w:val="left" w:pos="1800"/>
        <w:tab w:val="left" w:pos="7740"/>
      </w:tabs>
      <w:spacing w:before="0"/>
    </w:pPr>
    <w:rPr>
      <w:b w:val="0"/>
    </w:rPr>
  </w:style>
  <w:style w:type="paragraph" w:customStyle="1" w:styleId="Authors">
    <w:name w:val="Authors"/>
    <w:basedOn w:val="TitlePreps"/>
  </w:style>
  <w:style w:type="paragraph" w:customStyle="1" w:styleId="NameAddress">
    <w:name w:val="Name&amp;Address"/>
    <w:basedOn w:val="TitlePreps"/>
    <w:pPr>
      <w:spacing w:before="0"/>
    </w:pPr>
  </w:style>
  <w:style w:type="paragraph" w:customStyle="1" w:styleId="tabletext">
    <w:name w:val="table text"/>
    <w:basedOn w:val="Normal"/>
    <w:rPr>
      <w:sz w:val="24"/>
    </w:rPr>
  </w:style>
  <w:style w:type="table" w:styleId="TableGrid">
    <w:name w:val="Table Grid"/>
    <w:basedOn w:val="TableNormal"/>
    <w:rsid w:val="00EE0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6054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6054E"/>
    <w:rPr>
      <w:sz w:val="16"/>
      <w:szCs w:val="16"/>
    </w:rPr>
  </w:style>
  <w:style w:type="paragraph" w:styleId="CommentText">
    <w:name w:val="annotation text"/>
    <w:basedOn w:val="Normal"/>
    <w:semiHidden/>
    <w:rsid w:val="0076054E"/>
    <w:rPr>
      <w:sz w:val="20"/>
    </w:rPr>
  </w:style>
  <w:style w:type="paragraph" w:styleId="CommentSubject">
    <w:name w:val="annotation subject"/>
    <w:basedOn w:val="CommentText"/>
    <w:next w:val="CommentText"/>
    <w:semiHidden/>
    <w:rsid w:val="0076054E"/>
    <w:rPr>
      <w:b/>
      <w:bCs/>
    </w:rPr>
  </w:style>
  <w:style w:type="character" w:styleId="Emphasis">
    <w:name w:val="Emphasis"/>
    <w:qFormat/>
    <w:rsid w:val="001D6480"/>
    <w:rPr>
      <w:i/>
      <w:iCs/>
    </w:rPr>
  </w:style>
  <w:style w:type="character" w:customStyle="1" w:styleId="pp-headline-item">
    <w:name w:val="pp-headline-item"/>
    <w:basedOn w:val="DefaultParagraphFont"/>
    <w:rsid w:val="00393F55"/>
  </w:style>
  <w:style w:type="paragraph" w:customStyle="1" w:styleId="Default">
    <w:name w:val="Default"/>
    <w:rsid w:val="00F32E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EC7"/>
    <w:pPr>
      <w:ind w:left="720"/>
      <w:contextualSpacing/>
    </w:pPr>
  </w:style>
  <w:style w:type="paragraph" w:customStyle="1" w:styleId="Style1">
    <w:name w:val="Style1"/>
    <w:basedOn w:val="Heading1"/>
    <w:qFormat/>
    <w:rsid w:val="00B2324D"/>
    <w:pPr>
      <w:numPr>
        <w:numId w:val="3"/>
      </w:numPr>
      <w:spacing w:after="120"/>
    </w:pPr>
  </w:style>
  <w:style w:type="character" w:customStyle="1" w:styleId="apple-converted-space">
    <w:name w:val="apple-converted-space"/>
    <w:basedOn w:val="DefaultParagraphFont"/>
    <w:rsid w:val="00B2324D"/>
  </w:style>
  <w:style w:type="character" w:customStyle="1" w:styleId="Heading1Char">
    <w:name w:val="Heading 1 Char"/>
    <w:basedOn w:val="DefaultParagraphFont"/>
    <w:link w:val="Heading1"/>
    <w:uiPriority w:val="9"/>
    <w:rsid w:val="000B3B08"/>
    <w:rPr>
      <w:rFonts w:asciiTheme="majorHAnsi" w:hAnsiTheme="majorHAnsi"/>
      <w:b/>
      <w:color w:val="4472C4" w:themeColor="accent1"/>
      <w:kern w:val="28"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0B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Ric18</b:Tag>
    <b:SourceType>JournalArticle</b:SourceType>
    <b:Guid>{06CF58AD-9912-1943-BCC4-EC598E0722A9}</b:Guid>
    <b:Author>
      <b:Author>
        <b:NameList>
          <b:Person>
            <b:Last>Rick Damiani</b:Last>
            <b:First>Scott</b:First>
            <b:Middle>Dana, Jennifer Annoni, Paul Fleming, Jason Roadman, Jeroen van Dam, and Katherine Dykes</b:Middle>
          </b:Person>
        </b:NameList>
      </b:Author>
    </b:Author>
    <b:Title>Assessment of Wind Turbine Component Loads under Yaw-Offset Conditions</b:Title>
    <b:JournalName>Wind Energy Science</b:JournalName>
    <b:Year>2018</b:Year>
    <b:Pages>173-189</b:Pages>
    <b:RefOrder>2</b:RefOrder>
  </b:Source>
  <b:Source>
    <b:Tag>Jen18</b:Tag>
    <b:SourceType>JournalArticle</b:SourceType>
    <b:Guid>{4EC9DB40-528C-6642-A475-2C84E077316D}</b:Guid>
    <b:Author>
      <b:Author>
        <b:NameList>
          <b:Person>
            <b:Last>Annoni</b:Last>
            <b:First>Jennifer</b:First>
          </b:Person>
          <b:Person>
            <b:Last>Fleming</b:Last>
            <b:First>Paul</b:First>
          </b:Person>
          <b:Person>
            <b:Last>Scholbrock</b:Last>
            <b:First>Andrew</b:First>
          </b:Person>
          <b:Person>
            <b:Last>Roadman</b:Last>
            <b:First>Jason</b:First>
          </b:Person>
          <b:Person>
            <b:Last>Dana</b:Last>
            <b:First>Scott</b:First>
          </b:Person>
          <b:Person>
            <b:Last>Adcock</b:Last>
            <b:First>Christiane</b:First>
          </b:Person>
          <b:Person>
            <b:Last>Porte-Agel</b:Last>
            <b:First>Fernando</b:First>
          </b:Person>
          <b:Person>
            <b:Last>Raach</b:Last>
            <b:First>Steffen</b:First>
          </b:Person>
          <b:Person>
            <b:Last>Haizmann</b:Last>
            <b:First>Florian</b:First>
          </b:Person>
          <b:Person>
            <b:Last>Schlipf</b:Last>
            <b:First>David</b:First>
          </b:Person>
        </b:NameList>
      </b:Author>
    </b:Author>
    <b:Title>Analysis of Control-Oriented Wake Modeling Tools using Lidar Field Results</b:Title>
    <b:JournalName>Wind Energy Science</b:JournalName>
    <b:Year>2018</b:Year>
    <b:Pages>819-831</b:Pages>
    <b:RefOrder>3</b:RefOrder>
  </b:Source>
  <b:Source>
    <b:Tag>PFl19</b:Tag>
    <b:SourceType>JournalArticle</b:SourceType>
    <b:Guid>{11887A03-3681-4B45-B0CC-3EDB65411A7B}</b:Guid>
    <b:Author>
      <b:Author>
        <b:NameList>
          <b:Person>
            <b:Last>Fleming</b:Last>
            <b:First>Paul</b:First>
          </b:Person>
          <b:Person>
            <b:Last>King</b:Last>
            <b:First>Jennifer</b:First>
          </b:Person>
          <b:Person>
            <b:Last>Dykes</b:Last>
            <b:First>Katherine</b:First>
          </b:Person>
          <b:Person>
            <b:Last>Simley</b:Last>
            <b:First>Eric</b:First>
          </b:Person>
          <b:Person>
            <b:Last>Roadman</b:Last>
            <b:First>Jason</b:First>
          </b:Person>
          <b:Person>
            <b:Last>Scholbrock</b:Last>
            <b:First>Andrew</b:First>
          </b:Person>
          <b:Person>
            <b:Last>Murphy</b:Last>
            <b:First>Patrick</b:First>
          </b:Person>
          <b:Person>
            <b:Last>Lundquist</b:Last>
            <b:First>Julie</b:First>
            <b:Middle>K.</b:Middle>
          </b:Person>
          <b:Person>
            <b:Last>Moriarty</b:Last>
            <b:First>Patrick</b:First>
          </b:Person>
          <b:Person>
            <b:Last>Fleming</b:Last>
            <b:First>Katherine</b:First>
          </b:Person>
          <b:Person>
            <b:Last>Dam</b:Last>
            <b:First>Jeroen</b:First>
            <b:Middle>van</b:Middle>
          </b:Person>
          <b:Person>
            <b:Last>Bay</b:Last>
            <b:First>Christopher</b:First>
          </b:Person>
          <b:Person>
            <b:Last>Mudafort</b:Last>
            <b:First>Rafael</b:First>
          </b:Person>
          <b:Person>
            <b:Last>Lopez</b:Last>
            <b:First>Hector</b:First>
          </b:Person>
        </b:NameList>
      </b:Author>
    </b:Author>
    <b:Title>Initial Results from a Field Campaign of Wake Steering Applied at a Commercial Wind Farm - Part 1</b:Title>
    <b:Year>2019</b:Year>
    <b:JournalName>Wind Energy Science</b:JournalName>
    <b:Pages>273-285</b:Pages>
    <b:RefOrder>1</b:RefOrder>
  </b:Source>
</b:Sources>
</file>

<file path=customXml/itemProps1.xml><?xml version="1.0" encoding="utf-8"?>
<ds:datastoreItem xmlns:ds="http://schemas.openxmlformats.org/officeDocument/2006/customXml" ds:itemID="{08FBC5DF-2143-7A43-9EE0-2502C3ED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Wind Turbine Noise Testing Procedure</vt:lpstr>
      <vt:lpstr>Wind Turbine Noise Testing Procedure</vt:lpstr>
    </vt:vector>
  </TitlesOfParts>
  <Company>National Wind Technology Cente</Company>
  <LinksUpToDate>false</LinksUpToDate>
  <CharactersWithSpaces>3952</CharactersWithSpaces>
  <SharedDoc>false</SharedDoc>
  <HLinks>
    <vt:vector size="6" baseType="variant">
      <vt:variant>
        <vt:i4>1048642</vt:i4>
      </vt:variant>
      <vt:variant>
        <vt:i4>-1</vt:i4>
      </vt:variant>
      <vt:variant>
        <vt:i4>1026</vt:i4>
      </vt:variant>
      <vt:variant>
        <vt:i4>1</vt:i4>
      </vt:variant>
      <vt:variant>
        <vt:lpwstr>http://thesource.nrel.gov/communications/images/nrel_logo_large.jpg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 Turbine Noise Testing Procedure</dc:title>
  <dc:subject/>
  <dc:creator>Jana L. Pisciotta</dc:creator>
  <cp:keywords/>
  <cp:lastModifiedBy>Simley, Eric</cp:lastModifiedBy>
  <cp:revision>10</cp:revision>
  <cp:lastPrinted>2013-07-31T15:21:00Z</cp:lastPrinted>
  <dcterms:created xsi:type="dcterms:W3CDTF">2019-10-03T21:52:00Z</dcterms:created>
  <dcterms:modified xsi:type="dcterms:W3CDTF">2019-10-03T23:30:00Z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-157911861</vt:i4>
  </property>
</Properties>
</file>