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5045"/>
        <w:gridCol w:w="5045"/>
      </w:tblGrid>
      <w:tr>
        <w:tc>
          <w:tcPr>
            <w:tcW w:type="dxa" w:w="2100"/>
            <w:tcMar>
              <w:top w:w="0" w:type="dxa"/>
              <w:bottom w:w="0" w:type="dxa"/>
              <w:left w:w="0" w:type="dxa"/>
              <w:right w:w="160" w:type="dxa"/>
            </w:tcMar>
          </w:tcPr>
          <w:p>
            <w:pPr>
              <w:spacing w:before="0" w:after="0"/>
            </w:pPr>
            <w:r>
              <w:drawing>
                <wp:inline xmlns:a="http://schemas.openxmlformats.org/drawingml/2006/main" xmlns:pic="http://schemas.openxmlformats.org/drawingml/2006/picture">
                  <wp:extent cx="1280160" cy="1713230"/>
                  <wp:docPr id="1" name="Picture 1"/>
                  <wp:cNvGraphicFramePr>
                    <a:graphicFrameLocks noChangeAspect="1"/>
                  </wp:cNvGraphicFramePr>
                  <a:graphic>
                    <a:graphicData uri="http://schemas.openxmlformats.org/drawingml/2006/picture">
                      <pic:pic>
                        <pic:nvPicPr>
                          <pic:cNvPr id="0" name="avatar_word.png"/>
                          <pic:cNvPicPr/>
                        </pic:nvPicPr>
                        <pic:blipFill>
                          <a:blip r:embed="rId9"/>
                          <a:stretch>
                            <a:fillRect/>
                          </a:stretch>
                        </pic:blipFill>
                        <pic:spPr>
                          <a:xfrm>
                            <a:off x="0" y="0"/>
                            <a:ext cx="1280160" cy="1713230"/>
                          </a:xfrm>
                          <a:prstGeom prst="rect"/>
                        </pic:spPr>
                      </pic:pic>
                    </a:graphicData>
                  </a:graphic>
                </wp:inline>
              </w:drawing>
            </w:r>
          </w:p>
        </w:tc>
        <w:tc>
          <w:tcPr>
            <w:tcW w:type="dxa" w:w="7990"/>
            <w:tcMar>
              <w:top w:w="140" w:type="dxa"/>
              <w:bottom w:w="0" w:type="dxa"/>
              <w:left w:w="160" w:type="dxa"/>
              <w:right w:w="0" w:type="dxa"/>
            </w:tcMar>
          </w:tcPr>
          <w:p>
            <w:pPr>
              <w:spacing w:before="0" w:after="70"/>
              <w:pBdr>
                <w:bottom w:val="single" w:sz="6" w:space="3" w:color="000000"/>
              </w:pBdr>
            </w:pPr>
            <w:r>
              <w:rPr>
                <w:rFonts w:ascii="Times New Roman" w:hAnsi="Times New Roman" w:cs="Times New Roman" w:eastAsia="Times New Roman"/>
                <w:b/>
                <w:i w:val="0"/>
                <w:sz w:val="28"/>
                <w:u w:val="none"/>
              </w:rPr>
              <w:t>HỒ ĐỨC NHÂN</w:t>
            </w:r>
          </w:p>
          <w:p>
            <w:pPr>
              <w:spacing w:before="50" w:after="90" w:line="276" w:lineRule="auto"/>
            </w:pPr>
            <w:r>
              <w:rPr>
                <w:rFonts w:ascii="Times New Roman" w:hAnsi="Times New Roman" w:cs="Times New Roman" w:eastAsia="Times New Roman"/>
                <w:b w:val="0"/>
                <w:i w:val="0"/>
                <w:sz w:val="21"/>
                <w:u w:val="none"/>
              </w:rPr>
              <w:t xml:space="preserve">hoducnhan240905@gmail.com  |  0338 114 890  |  </w:t>
            </w:r>
            <w:r>
              <w:rPr>
                <w:rFonts w:ascii="Times New Roman" w:hAnsi="Times New Roman" w:cs="Times New Roman" w:eastAsia="Times New Roman"/>
                <w:b w:val="0"/>
                <w:i w:val="0"/>
                <w:sz w:val="21"/>
                <w:u w:val="single"/>
              </w:rPr>
              <w:t>LinkedIn</w:t>
            </w:r>
            <w:r>
              <w:rPr>
                <w:rFonts w:ascii="Times New Roman" w:hAnsi="Times New Roman" w:cs="Times New Roman" w:eastAsia="Times New Roman"/>
                <w:b w:val="0"/>
                <w:i w:val="0"/>
                <w:sz w:val="21"/>
                <w:u w:val="none"/>
              </w:rPr>
              <w:t xml:space="preserve">  |  TP. Hồ Chí Minh</w:t>
            </w:r>
          </w:p>
          <w:p>
            <w:pPr>
              <w:spacing w:before="0" w:after="0" w:line="276" w:lineRule="auto"/>
              <w:jc w:val="both"/>
            </w:pPr>
            <w:r>
              <w:rPr>
                <w:rFonts w:ascii="Times New Roman" w:hAnsi="Times New Roman" w:cs="Times New Roman" w:eastAsia="Times New Roman"/>
                <w:b w:val="0"/>
                <w:i w:val="0"/>
                <w:sz w:val="20"/>
                <w:u w:val="none"/>
              </w:rPr>
              <w:t>Sinh viên định hướng chuyên môn Kế toán với niềm đam mê sâu sắc đối với kế toán tài chính, lập báo cáo và kiểm soát tài chính doanh nghiệp. Mục tiêu phát triển năng lực chuyên môn thực tế trong việc lập báo cáo tài chính, đối soát tài khoản, phân tích giao dịch và đảm bảo tuân thủ các chuẩn mực kế toán. Cẩn trọng, tỉ mỉ và có tư duy phân tích, tôi luôn đề cao tính chính xác, tính chính trực và sự minh bạch của báo cáo tài chính như nền tảng then chốt cho việc ra quyết định kinh doanh hiệu quả.</w:t>
            </w:r>
          </w:p>
        </w:tc>
      </w:tr>
    </w:tbl>
    <w:p>
      <w:pPr>
        <w:spacing w:before="180" w:after="90"/>
        <w:pBdr>
          <w:bottom w:val="single" w:sz="6" w:space="2" w:color="000000"/>
        </w:pBdr>
      </w:pPr>
      <w:r>
        <w:rPr>
          <w:rFonts w:ascii="Times New Roman" w:hAnsi="Times New Roman" w:cs="Times New Roman" w:eastAsia="Times New Roman"/>
          <w:b/>
          <w:i w:val="0"/>
          <w:sz w:val="22"/>
          <w:u w:val="none"/>
        </w:rPr>
        <w:t>KINH NGHIỆM</w:t>
      </w:r>
    </w:p>
    <w:p>
      <w:pPr>
        <w:tabs>
          <w:tab w:pos="10090" w:val="right"/>
        </w:tabs>
        <w:spacing w:before="30" w:after="20"/>
      </w:pPr>
      <w:r>
        <w:rPr>
          <w:rFonts w:ascii="Times New Roman" w:hAnsi="Times New Roman" w:cs="Times New Roman" w:eastAsia="Times New Roman"/>
          <w:b/>
          <w:i w:val="0"/>
          <w:sz w:val="22"/>
          <w:u w:val="none"/>
        </w:rPr>
        <w:t>Thực tập sinh Kiểm soát Nội bộ - Kiểm toán &amp; Đối soát</w:t>
      </w:r>
      <w:r>
        <w:tab/>
      </w:r>
      <w:r>
        <w:rPr>
          <w:rFonts w:ascii="Times New Roman" w:hAnsi="Times New Roman" w:cs="Times New Roman" w:eastAsia="Times New Roman"/>
          <w:b w:val="0"/>
          <w:i/>
          <w:sz w:val="20"/>
          <w:u w:val="none"/>
        </w:rPr>
        <w:t>Tháng 10/2025 – Tháng 06/2026</w:t>
      </w:r>
    </w:p>
    <w:p>
      <w:pPr>
        <w:spacing w:before="0" w:after="50"/>
      </w:pPr>
      <w:r>
        <w:rPr>
          <w:rFonts w:ascii="Times New Roman" w:hAnsi="Times New Roman" w:cs="Times New Roman" w:eastAsia="Times New Roman"/>
          <w:b w:val="0"/>
          <w:i/>
          <w:sz w:val="20"/>
          <w:u w:val="none"/>
        </w:rPr>
        <w:t>Công ty Cổ phần Hesman Group | Chi nhánh miền Nam (TP. Hồ Chí Minh)</w:t>
      </w:r>
    </w:p>
    <w:p>
      <w:pPr>
        <w:spacing w:before="0" w:after="5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val="0"/>
          <w:i w:val="0"/>
          <w:sz w:val="20"/>
          <w:u w:val="none"/>
        </w:rPr>
        <w:t xml:space="preserve">Kiểm tra và xác thực </w:t>
      </w:r>
      <w:r>
        <w:rPr>
          <w:rFonts w:ascii="Times New Roman" w:hAnsi="Times New Roman" w:cs="Times New Roman" w:eastAsia="Times New Roman"/>
          <w:b/>
          <w:i w:val="0"/>
          <w:sz w:val="20"/>
          <w:u w:val="none"/>
        </w:rPr>
        <w:t>hơn 500 bản ghi giao dịch mỗi ngày</w:t>
      </w:r>
      <w:r>
        <w:rPr>
          <w:rFonts w:ascii="Times New Roman" w:hAnsi="Times New Roman" w:cs="Times New Roman" w:eastAsia="Times New Roman"/>
          <w:b w:val="0"/>
          <w:i w:val="0"/>
          <w:sz w:val="20"/>
          <w:u w:val="none"/>
        </w:rPr>
        <w:t xml:space="preserve"> bằng cách đối chiếu dữ liệu hệ thống với chứng từ kế toán, truy vết các bút toán bất thường và sai lệch kiểm soát, nhằm xác minh tính đầy đủ, chính xác và củng cố độ tin cậy của thông tin tài chính - vận hành.</w:t>
      </w:r>
    </w:p>
    <w:p>
      <w:pPr>
        <w:spacing w:before="0" w:after="5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val="0"/>
          <w:i w:val="0"/>
          <w:sz w:val="20"/>
          <w:u w:val="none"/>
        </w:rPr>
        <w:t xml:space="preserve">Thực hiện kiểm kê và đối soát hàng tồn kho trên </w:t>
      </w:r>
      <w:r>
        <w:rPr>
          <w:rFonts w:ascii="Times New Roman" w:hAnsi="Times New Roman" w:cs="Times New Roman" w:eastAsia="Times New Roman"/>
          <w:b/>
          <w:i w:val="0"/>
          <w:sz w:val="20"/>
          <w:u w:val="none"/>
        </w:rPr>
        <w:t>3 chuỗi bán lẻ - Shopdunk, Samcenter, Xiaomi và 25 cửa hàng miền Nam</w:t>
      </w:r>
      <w:r>
        <w:rPr>
          <w:rFonts w:ascii="Times New Roman" w:hAnsi="Times New Roman" w:cs="Times New Roman" w:eastAsia="Times New Roman"/>
          <w:b w:val="0"/>
          <w:i w:val="0"/>
          <w:sz w:val="20"/>
          <w:u w:val="none"/>
        </w:rPr>
        <w:t>, đối soát số dư trên hệ thống với kết quả kiểm kê thực tế, điều tra sai lệch, xác định nguyên nhân gốc rễ và đề xuất điều chỉnh nhằm nâng cao độ chính xác của dữ liệu tồn kho.</w:t>
      </w:r>
    </w:p>
    <w:p>
      <w:pPr>
        <w:spacing w:before="0" w:after="7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val="0"/>
          <w:i w:val="0"/>
          <w:sz w:val="20"/>
          <w:u w:val="none"/>
        </w:rPr>
        <w:t xml:space="preserve">Theo dõi và xử lý </w:t>
      </w:r>
      <w:r>
        <w:rPr>
          <w:rFonts w:ascii="Times New Roman" w:hAnsi="Times New Roman" w:cs="Times New Roman" w:eastAsia="Times New Roman"/>
          <w:b/>
          <w:i w:val="0"/>
          <w:sz w:val="20"/>
          <w:u w:val="none"/>
        </w:rPr>
        <w:t>hơn 50 trường hợp ngoại lệ kiểm soát nội bộ mỗi tháng</w:t>
      </w:r>
      <w:r>
        <w:rPr>
          <w:rFonts w:ascii="Times New Roman" w:hAnsi="Times New Roman" w:cs="Times New Roman" w:eastAsia="Times New Roman"/>
          <w:b w:val="0"/>
          <w:i w:val="0"/>
          <w:sz w:val="20"/>
          <w:u w:val="none"/>
        </w:rPr>
        <w:t>, phối hợp chặt chẽ với các phòng ban liên quan để làm rõ phát hiện, xác định biện pháp khắc phục, giám sát tiến độ xử lý và đảm bảo mọi vấn đề được giải quyết dứt điểm trước thời hạn báo cáo.</w:t>
      </w:r>
    </w:p>
    <w:p>
      <w:pPr>
        <w:tabs>
          <w:tab w:pos="10090" w:val="right"/>
        </w:tabs>
        <w:spacing w:before="40" w:after="20"/>
      </w:pPr>
      <w:r>
        <w:rPr>
          <w:rFonts w:ascii="Times New Roman" w:hAnsi="Times New Roman" w:cs="Times New Roman" w:eastAsia="Times New Roman"/>
          <w:b/>
          <w:i w:val="0"/>
          <w:sz w:val="22"/>
          <w:u w:val="none"/>
        </w:rPr>
        <w:t>Thực tập sinh Quan hệ Khách hàng - Hỗ trợ Thẩm định Tín dụng</w:t>
      </w:r>
      <w:r>
        <w:tab/>
      </w:r>
      <w:r>
        <w:rPr>
          <w:rFonts w:ascii="Times New Roman" w:hAnsi="Times New Roman" w:cs="Times New Roman" w:eastAsia="Times New Roman"/>
          <w:b w:val="0"/>
          <w:i/>
          <w:sz w:val="20"/>
          <w:u w:val="none"/>
        </w:rPr>
        <w:t>Tháng 09/2024 – Tháng 12/2024</w:t>
      </w:r>
    </w:p>
    <w:p>
      <w:pPr>
        <w:spacing w:before="0" w:after="50"/>
      </w:pPr>
      <w:r>
        <w:rPr>
          <w:rFonts w:ascii="Times New Roman" w:hAnsi="Times New Roman" w:cs="Times New Roman" w:eastAsia="Times New Roman"/>
          <w:b w:val="0"/>
          <w:i/>
          <w:sz w:val="20"/>
          <w:u w:val="none"/>
        </w:rPr>
        <w:t>Phòng Giao dịch Đô Thành - Vietcombank | TP. Hồ Chí Minh</w:t>
      </w:r>
    </w:p>
    <w:p>
      <w:pPr>
        <w:spacing w:before="0" w:after="5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val="0"/>
          <w:i w:val="0"/>
          <w:sz w:val="20"/>
          <w:u w:val="none"/>
        </w:rPr>
        <w:t xml:space="preserve">Tích lũy kinh nghiệm thực tế trong </w:t>
      </w:r>
      <w:r>
        <w:rPr>
          <w:rFonts w:ascii="Times New Roman" w:hAnsi="Times New Roman" w:cs="Times New Roman" w:eastAsia="Times New Roman"/>
          <w:b/>
          <w:i w:val="0"/>
          <w:sz w:val="20"/>
          <w:u w:val="none"/>
        </w:rPr>
        <w:t>thẩm tra thông tin tài chính, đánh giá năng lực trả nợ</w:t>
      </w:r>
      <w:r>
        <w:rPr>
          <w:rFonts w:ascii="Times New Roman" w:hAnsi="Times New Roman" w:cs="Times New Roman" w:eastAsia="Times New Roman"/>
          <w:b w:val="0"/>
          <w:i w:val="0"/>
          <w:sz w:val="20"/>
          <w:u w:val="none"/>
        </w:rPr>
        <w:t xml:space="preserve"> và nắm vững các tiêu chí cốt lõi trong việc thẩm định khách hàng cá nhân và doanh nghiệp vay vốn.</w:t>
      </w:r>
    </w:p>
    <w:p>
      <w:pPr>
        <w:spacing w:before="0" w:after="5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val="0"/>
          <w:i w:val="0"/>
          <w:sz w:val="20"/>
          <w:u w:val="none"/>
        </w:rPr>
        <w:t xml:space="preserve">Hỗ trợ </w:t>
      </w:r>
      <w:r>
        <w:rPr>
          <w:rFonts w:ascii="Times New Roman" w:hAnsi="Times New Roman" w:cs="Times New Roman" w:eastAsia="Times New Roman"/>
          <w:b/>
          <w:i w:val="0"/>
          <w:sz w:val="20"/>
          <w:u w:val="none"/>
        </w:rPr>
        <w:t>rà soát và hoàn thiện hồ sơ tín dụng khách hàng</w:t>
      </w:r>
      <w:r>
        <w:rPr>
          <w:rFonts w:ascii="Times New Roman" w:hAnsi="Times New Roman" w:cs="Times New Roman" w:eastAsia="Times New Roman"/>
          <w:b w:val="0"/>
          <w:i w:val="0"/>
          <w:sz w:val="20"/>
          <w:u w:val="none"/>
        </w:rPr>
        <w:t>, kiểm tra tính đầy đủ, hợp lệ của chứng từ và đôn đốc hoàn thiện các tài liệu còn thiếu trước khi đưa vào quy trình xử lý nội bộ.</w:t>
      </w:r>
    </w:p>
    <w:p>
      <w:pPr>
        <w:spacing w:before="0" w:after="5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Theo dõi sát sao tiến độ các bộ hồ sơ khách hàng được phân công</w:t>
      </w:r>
      <w:r>
        <w:rPr>
          <w:rFonts w:ascii="Times New Roman" w:hAnsi="Times New Roman" w:cs="Times New Roman" w:eastAsia="Times New Roman"/>
          <w:b w:val="0"/>
          <w:i w:val="0"/>
          <w:sz w:val="20"/>
          <w:u w:val="none"/>
        </w:rPr>
        <w:t>, phối hợp với Chuyên viên Quản lý Khách hàng (RM) và các bên liên quan, đảm bảo hồ sơ được thẩm định và phê duyệt đúng thời hạn.</w:t>
      </w:r>
    </w:p>
    <w:p>
      <w:pPr>
        <w:spacing w:before="0" w:after="7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val="0"/>
          <w:i w:val="0"/>
          <w:sz w:val="20"/>
          <w:u w:val="none"/>
        </w:rPr>
        <w:t xml:space="preserve">Vinh dự nhận danh hiệu cao quý </w:t>
      </w:r>
      <w:r>
        <w:rPr>
          <w:rFonts w:ascii="Times New Roman" w:hAnsi="Times New Roman" w:cs="Times New Roman" w:eastAsia="Times New Roman"/>
          <w:b/>
          <w:i w:val="0"/>
          <w:sz w:val="20"/>
          <w:u w:val="none"/>
        </w:rPr>
        <w:t>Thực tập sinh Xuất sắc nhất (Best Intern) Quý 3 năm 2024.</w:t>
      </w:r>
    </w:p>
    <w:p>
      <w:pPr>
        <w:spacing w:before="140" w:after="80"/>
        <w:pBdr>
          <w:bottom w:val="single" w:sz="6" w:space="2" w:color="000000"/>
        </w:pBdr>
      </w:pPr>
      <w:r>
        <w:rPr>
          <w:rFonts w:ascii="Times New Roman" w:hAnsi="Times New Roman" w:cs="Times New Roman" w:eastAsia="Times New Roman"/>
          <w:b/>
          <w:i w:val="0"/>
          <w:sz w:val="22"/>
          <w:u w:val="none"/>
        </w:rPr>
        <w:t>HỌC VẤN</w:t>
      </w:r>
    </w:p>
    <w:p>
      <w:pPr>
        <w:tabs>
          <w:tab w:pos="10090" w:val="right"/>
        </w:tabs>
        <w:spacing w:before="20" w:after="20"/>
      </w:pPr>
      <w:r>
        <w:rPr>
          <w:rFonts w:ascii="Times New Roman" w:hAnsi="Times New Roman" w:cs="Times New Roman" w:eastAsia="Times New Roman"/>
          <w:b/>
          <w:i w:val="0"/>
          <w:sz w:val="22"/>
          <w:u w:val="none"/>
        </w:rPr>
        <w:t>Đại học Kinh tế Thành phố Hồ Chí Minh (UEH)</w:t>
      </w:r>
      <w:r>
        <w:tab/>
      </w:r>
      <w:r>
        <w:rPr>
          <w:rFonts w:ascii="Times New Roman" w:hAnsi="Times New Roman" w:cs="Times New Roman" w:eastAsia="Times New Roman"/>
          <w:b w:val="0"/>
          <w:i/>
          <w:sz w:val="20"/>
          <w:u w:val="none"/>
        </w:rPr>
        <w:t>Tốt nghiệp tháng 03/2027</w:t>
      </w:r>
    </w:p>
    <w:p>
      <w:pPr>
        <w:spacing w:before="0" w:after="50"/>
      </w:pPr>
      <w:r>
        <w:rPr>
          <w:rFonts w:ascii="Times New Roman" w:hAnsi="Times New Roman" w:cs="Times New Roman" w:eastAsia="Times New Roman"/>
          <w:b/>
          <w:i w:val="0"/>
          <w:sz w:val="20"/>
          <w:u w:val="none"/>
        </w:rPr>
        <w:t>Cử nhân Tài chính Quốc tế  |  GPA: 3.8/ 4.0</w:t>
      </w:r>
    </w:p>
    <w:p>
      <w:pPr>
        <w:spacing w:before="20" w:after="20"/>
      </w:pPr>
      <w:r>
        <w:rPr>
          <w:rFonts w:ascii="Times New Roman" w:hAnsi="Times New Roman" w:cs="Times New Roman" w:eastAsia="Times New Roman"/>
          <w:b w:val="0"/>
          <w:i w:val="0"/>
          <w:sz w:val="20"/>
          <w:u w:val="none"/>
        </w:rPr>
        <w:t>Điểm kết thúc học phần các môn chuyên ngành Kế toán:</w:t>
      </w:r>
    </w:p>
    <w:p>
      <w:pPr>
        <w:spacing w:before="0" w:after="24" w:line="269" w:lineRule="auto"/>
        <w:ind w:left="320" w:hanging="32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val="0"/>
          <w:i w:val="0"/>
          <w:sz w:val="20"/>
          <w:u w:val="none"/>
        </w:rPr>
        <w:t>10/10 môn Nguyên lý Kế toán (Principles of Accounting)</w:t>
      </w:r>
    </w:p>
    <w:p>
      <w:pPr>
        <w:spacing w:before="0" w:after="24" w:line="269" w:lineRule="auto"/>
        <w:ind w:left="320" w:hanging="32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val="0"/>
          <w:i w:val="0"/>
          <w:sz w:val="20"/>
          <w:u w:val="none"/>
        </w:rPr>
        <w:t>9.8/10 môn Kế toán Tài chính (Financial Accounting)</w:t>
      </w:r>
    </w:p>
    <w:p>
      <w:pPr>
        <w:spacing w:before="0" w:after="50" w:line="269" w:lineRule="auto"/>
        <w:ind w:left="320" w:hanging="32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val="0"/>
          <w:i w:val="0"/>
          <w:sz w:val="20"/>
          <w:u w:val="none"/>
        </w:rPr>
        <w:t>9.0/10 môn Chuẩn mực Báo cáo Tài chính Quốc tế (IFRS)</w:t>
      </w:r>
    </w:p>
    <w:p>
      <w:pPr>
        <w:spacing w:before="20" w:after="20"/>
      </w:pPr>
      <w:r>
        <w:rPr>
          <w:rFonts w:ascii="Times New Roman" w:hAnsi="Times New Roman" w:cs="Times New Roman" w:eastAsia="Times New Roman"/>
          <w:b/>
          <w:i w:val="0"/>
          <w:sz w:val="20"/>
          <w:u w:val="none"/>
        </w:rPr>
        <w:t>Chứng chỉ ACCA</w:t>
      </w:r>
    </w:p>
    <w:p>
      <w:pPr>
        <w:spacing w:before="0" w:after="24" w:line="269" w:lineRule="auto"/>
        <w:ind w:left="320" w:hanging="32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val="0"/>
          <w:i w:val="0"/>
          <w:sz w:val="20"/>
          <w:u w:val="none"/>
        </w:rPr>
        <w:t>Đã vượt qua các môn F1, F2 (Kế toán Quản trị), F3 (Kế toán Tài chính)</w:t>
      </w:r>
    </w:p>
    <w:p>
      <w:pPr>
        <w:spacing w:before="0" w:after="50" w:line="269" w:lineRule="auto"/>
        <w:ind w:left="320" w:hanging="32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val="0"/>
          <w:i w:val="0"/>
          <w:sz w:val="20"/>
          <w:u w:val="none"/>
        </w:rPr>
        <w:t>Đang chuẩn bị thi môn Thuế (TX/F6) và Báo cáo Tài chính (FR/F7)</w:t>
      </w:r>
    </w:p>
    <w:p>
      <w:pPr>
        <w:spacing w:before="20" w:after="70"/>
      </w:pPr>
      <w:r>
        <w:rPr>
          <w:rFonts w:ascii="Times New Roman" w:hAnsi="Times New Roman" w:cs="Times New Roman" w:eastAsia="Times New Roman"/>
          <w:b/>
          <w:i w:val="0"/>
          <w:sz w:val="20"/>
          <w:u w:val="none"/>
        </w:rPr>
        <w:t xml:space="preserve">Khóa đào tạo bổ trợ: </w:t>
      </w:r>
      <w:r>
        <w:rPr>
          <w:rFonts w:ascii="Times New Roman" w:hAnsi="Times New Roman" w:cs="Times New Roman" w:eastAsia="Times New Roman"/>
          <w:b w:val="0"/>
          <w:i w:val="0"/>
          <w:sz w:val="20"/>
          <w:u w:val="none"/>
        </w:rPr>
        <w:t>Mô hình hóa Tài chính (Financial Modeling), Phân tích Báo cáo Tài chính, Phân tích Thị trường Vĩ mô</w:t>
      </w:r>
    </w:p>
    <w:p>
      <w:pPr>
        <w:spacing w:before="140" w:after="80"/>
        <w:pBdr>
          <w:bottom w:val="single" w:sz="6" w:space="2" w:color="000000"/>
        </w:pBdr>
      </w:pPr>
      <w:r>
        <w:rPr>
          <w:rFonts w:ascii="Times New Roman" w:hAnsi="Times New Roman" w:cs="Times New Roman" w:eastAsia="Times New Roman"/>
          <w:b/>
          <w:i w:val="0"/>
          <w:sz w:val="22"/>
          <w:u w:val="none"/>
        </w:rPr>
        <w:t>THÀNH TÍCH</w:t>
      </w:r>
    </w:p>
    <w:p>
      <w:pPr>
        <w:spacing w:before="0" w:after="5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Học bổng Khuyến khích Học tập Xuất sắc </w:t>
      </w:r>
      <w:r>
        <w:rPr>
          <w:rFonts w:ascii="Times New Roman" w:hAnsi="Times New Roman" w:cs="Times New Roman" w:eastAsia="Times New Roman"/>
          <w:b w:val="0"/>
          <w:i w:val="0"/>
          <w:sz w:val="20"/>
          <w:u w:val="none"/>
        </w:rPr>
        <w:t>cho sinh viên có thành tích học tập và hoạt động ngoại khóa xuất sắc 3 năm liên tiếp 2024, 2025, 2026.</w:t>
      </w:r>
    </w:p>
    <w:p>
      <w:pPr>
        <w:spacing w:before="0" w:after="5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Đại diện Sinh viên chuyên ngành Tài chính Quốc tế UEH </w:t>
      </w:r>
      <w:r>
        <w:rPr>
          <w:rFonts w:ascii="Times New Roman" w:hAnsi="Times New Roman" w:cs="Times New Roman" w:eastAsia="Times New Roman"/>
          <w:b w:val="0"/>
          <w:i w:val="0"/>
          <w:sz w:val="20"/>
          <w:u w:val="none"/>
        </w:rPr>
        <w:t>tham gia Đánh giá Kiểm định Chất lượng Giáo dục FIBAA (Châu Âu) năm 2026.</w:t>
      </w:r>
    </w:p>
    <w:p>
      <w:pPr>
        <w:spacing w:before="0" w:after="2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Giải Nhất (Giải A) </w:t>
      </w:r>
      <w:r>
        <w:rPr>
          <w:rFonts w:ascii="Times New Roman" w:hAnsi="Times New Roman" w:cs="Times New Roman" w:eastAsia="Times New Roman"/>
          <w:b w:val="0"/>
          <w:i w:val="0"/>
          <w:sz w:val="20"/>
          <w:u w:val="none"/>
        </w:rPr>
        <w:t>tại Giải thưởng Nghiên cứu Khoa học Sinh viên Kế toán &amp; Kiểm toán lần thứ 7 (SRAA 2025).</w:t>
      </w:r>
    </w:p>
    <w:p>
      <w:pPr>
        <w:spacing w:before="0" w:after="50" w:line="269" w:lineRule="auto"/>
        <w:ind w:left="200"/>
        <w:jc w:val="both"/>
      </w:pPr>
      <w:r>
        <w:rPr>
          <w:rFonts w:ascii="Times New Roman" w:hAnsi="Times New Roman" w:cs="Times New Roman" w:eastAsia="Times New Roman"/>
          <w:b/>
          <w:i/>
          <w:sz w:val="20"/>
          <w:u w:val="none"/>
        </w:rPr>
        <w:t xml:space="preserve">Đề tài nghiên cứu: </w:t>
      </w:r>
      <w:r>
        <w:rPr>
          <w:rFonts w:ascii="Times New Roman" w:hAnsi="Times New Roman" w:cs="Times New Roman" w:eastAsia="Times New Roman"/>
          <w:b w:val="0"/>
          <w:i/>
          <w:sz w:val="20"/>
          <w:u w:val="none"/>
        </w:rPr>
        <w:t>Vạch trần Quản trị Lợi nhuận trong Kỷ nguyên Số: Vai trò của Tính Thận trọng Kế toán trong việc Định hình Hành vi Doanh nghiệp tại TP. Hồ Chí Minh</w:t>
      </w:r>
    </w:p>
    <w:p>
      <w:pPr>
        <w:spacing w:before="0" w:after="5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Giải Nhì </w:t>
      </w:r>
      <w:r>
        <w:rPr>
          <w:rFonts w:ascii="Times New Roman" w:hAnsi="Times New Roman" w:cs="Times New Roman" w:eastAsia="Times New Roman"/>
          <w:b w:val="0"/>
          <w:i w:val="0"/>
          <w:sz w:val="20"/>
          <w:u w:val="none"/>
        </w:rPr>
        <w:t>tại Cuộc thi Thử thách Kinh tế Vĩ mô (Macroeconomics Challenge) 2025.</w:t>
      </w:r>
    </w:p>
    <w:p>
      <w:pPr>
        <w:spacing w:before="0" w:after="5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Giải Nhì </w:t>
      </w:r>
      <w:r>
        <w:rPr>
          <w:rFonts w:ascii="Times New Roman" w:hAnsi="Times New Roman" w:cs="Times New Roman" w:eastAsia="Times New Roman"/>
          <w:b w:val="0"/>
          <w:i w:val="0"/>
          <w:sz w:val="20"/>
          <w:u w:val="none"/>
        </w:rPr>
        <w:t>tại Cuộc thi Tranh biện Sinh viên Kinh tế UEH 2025.</w:t>
      </w:r>
    </w:p>
    <w:p>
      <w:pPr>
        <w:spacing w:before="0" w:after="5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Giải Ba </w:t>
      </w:r>
      <w:r>
        <w:rPr>
          <w:rFonts w:ascii="Times New Roman" w:hAnsi="Times New Roman" w:cs="Times New Roman" w:eastAsia="Times New Roman"/>
          <w:b w:val="0"/>
          <w:i w:val="0"/>
          <w:sz w:val="20"/>
          <w:u w:val="none"/>
        </w:rPr>
        <w:t>tại Cuộc thi Học thuật Ngân hàng E-Banker lần thứ 5.</w:t>
      </w:r>
    </w:p>
    <w:p>
      <w:pPr>
        <w:spacing w:before="0" w:after="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Giải Ba </w:t>
      </w:r>
      <w:r>
        <w:rPr>
          <w:rFonts w:ascii="Times New Roman" w:hAnsi="Times New Roman" w:cs="Times New Roman" w:eastAsia="Times New Roman"/>
          <w:b w:val="0"/>
          <w:i w:val="0"/>
          <w:sz w:val="20"/>
          <w:u w:val="none"/>
        </w:rPr>
        <w:t>tại Cuộc thi Thử thách Kinh tế Vi mô (Microeconomics Challenge) 2024.</w:t>
      </w:r>
    </w:p>
    <w:p>
      <w:r>
        <w:br w:type="page"/>
      </w:r>
    </w:p>
    <w:p>
      <w:pPr>
        <w:spacing w:before="240" w:after="100"/>
        <w:pBdr>
          <w:bottom w:val="single" w:sz="6" w:space="2" w:color="000000"/>
        </w:pBdr>
      </w:pPr>
      <w:r>
        <w:rPr>
          <w:rFonts w:ascii="Times New Roman" w:hAnsi="Times New Roman" w:cs="Times New Roman" w:eastAsia="Times New Roman"/>
          <w:b/>
          <w:i w:val="0"/>
          <w:sz w:val="22"/>
          <w:u w:val="none"/>
        </w:rPr>
        <w:t>KỸ NĂNG</w:t>
      </w:r>
    </w:p>
    <w:p>
      <w:pPr>
        <w:spacing w:before="0" w:after="7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Ngoại ngữ: </w:t>
      </w:r>
      <w:r>
        <w:rPr>
          <w:rFonts w:ascii="Times New Roman" w:hAnsi="Times New Roman" w:cs="Times New Roman" w:eastAsia="Times New Roman"/>
          <w:b w:val="0"/>
          <w:i w:val="0"/>
          <w:sz w:val="20"/>
          <w:u w:val="none"/>
        </w:rPr>
        <w:t>Tiếng Anh (</w:t>
      </w:r>
      <w:r>
        <w:rPr>
          <w:rFonts w:ascii="Times New Roman" w:hAnsi="Times New Roman" w:cs="Times New Roman" w:eastAsia="Times New Roman"/>
          <w:b/>
          <w:i w:val="0"/>
          <w:sz w:val="20"/>
          <w:u w:val="none"/>
        </w:rPr>
        <w:t>IELTS 7.0 Overall</w:t>
      </w:r>
      <w:r>
        <w:rPr>
          <w:rFonts w:ascii="Times New Roman" w:hAnsi="Times New Roman" w:cs="Times New Roman" w:eastAsia="Times New Roman"/>
          <w:b w:val="0"/>
          <w:i w:val="0"/>
          <w:sz w:val="20"/>
          <w:u w:val="none"/>
        </w:rPr>
        <w:t>) – Tiếng Việt</w:t>
      </w:r>
    </w:p>
    <w:p>
      <w:pPr>
        <w:spacing w:before="0" w:after="7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Phân tích Tài chính &amp; Kế toán: </w:t>
      </w:r>
      <w:r>
        <w:rPr>
          <w:rFonts w:ascii="Times New Roman" w:hAnsi="Times New Roman" w:cs="Times New Roman" w:eastAsia="Times New Roman"/>
          <w:b w:val="0"/>
          <w:i w:val="0"/>
          <w:sz w:val="20"/>
          <w:u w:val="none"/>
        </w:rPr>
        <w:t>Phân tích Báo cáo Tài chính – Nguyên lý Báo cáo Tài chính – Quản trị Ngân sách &amp; Hoạch định Dự báo</w:t>
      </w:r>
    </w:p>
    <w:p>
      <w:pPr>
        <w:spacing w:before="0" w:after="7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Kiểm soát Nội bộ &amp; Kiểm toán: </w:t>
      </w:r>
      <w:r>
        <w:rPr>
          <w:rFonts w:ascii="Times New Roman" w:hAnsi="Times New Roman" w:cs="Times New Roman" w:eastAsia="Times New Roman"/>
          <w:b w:val="0"/>
          <w:i w:val="0"/>
          <w:sz w:val="20"/>
          <w:u w:val="none"/>
        </w:rPr>
        <w:t>Kiểm tra Giao dịch – Đối soát Dữ liệu – Kiểm kê Hàng tồn kho – Thử nghiệm Kiểm soát – Điều tra Biến động &amp; Chênh lệch</w:t>
      </w:r>
    </w:p>
    <w:p>
      <w:pPr>
        <w:spacing w:before="0" w:after="7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Phân tích Dữ liệu &amp; Báo cáo: </w:t>
      </w:r>
      <w:r>
        <w:rPr>
          <w:rFonts w:ascii="Times New Roman" w:hAnsi="Times New Roman" w:cs="Times New Roman" w:eastAsia="Times New Roman"/>
          <w:b w:val="0"/>
          <w:i w:val="0"/>
          <w:sz w:val="20"/>
          <w:u w:val="none"/>
        </w:rPr>
        <w:t>Xác thực Dữ liệu – Phân tích Tập Dữ liệu lớn – Báo cáo Dashboard – Trực quan hóa Dữ liệu Tài chính</w:t>
      </w:r>
    </w:p>
    <w:p>
      <w:pPr>
        <w:spacing w:before="0" w:after="28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Giao tiếp &amp; Soạn thảo Chuyên nghiệp: </w:t>
      </w:r>
      <w:r>
        <w:rPr>
          <w:rFonts w:ascii="Times New Roman" w:hAnsi="Times New Roman" w:cs="Times New Roman" w:eastAsia="Times New Roman"/>
          <w:b w:val="0"/>
          <w:i w:val="0"/>
          <w:sz w:val="20"/>
          <w:u w:val="none"/>
        </w:rPr>
        <w:t xml:space="preserve">Viết phân tích – Soạn thảo Báo cáo – Giao tiếp với các bên liên quan – Phối hợp liên phòng ban – Thuyết trình – </w:t>
      </w:r>
      <w:r>
        <w:rPr>
          <w:rFonts w:ascii="Times New Roman" w:hAnsi="Times New Roman" w:cs="Times New Roman" w:eastAsia="Times New Roman"/>
          <w:b/>
          <w:i w:val="0"/>
          <w:sz w:val="20"/>
          <w:u w:val="none"/>
        </w:rPr>
        <w:t>Giải Ba cuộc thi viết “Tự hào UEH” (2023)</w:t>
      </w:r>
    </w:p>
    <w:p>
      <w:pPr>
        <w:spacing w:before="160" w:after="100"/>
        <w:pBdr>
          <w:bottom w:val="single" w:sz="6" w:space="2" w:color="000000"/>
        </w:pBdr>
      </w:pPr>
      <w:r>
        <w:rPr>
          <w:rFonts w:ascii="Times New Roman" w:hAnsi="Times New Roman" w:cs="Times New Roman" w:eastAsia="Times New Roman"/>
          <w:b/>
          <w:i w:val="0"/>
          <w:sz w:val="22"/>
          <w:u w:val="none"/>
        </w:rPr>
        <w:t>CÔNG CỤ</w:t>
      </w:r>
    </w:p>
    <w:p>
      <w:pPr>
        <w:spacing w:before="0" w:after="2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Tin học Văn phòng &amp; Phân tích: </w:t>
      </w:r>
      <w:r>
        <w:rPr>
          <w:rFonts w:ascii="Times New Roman" w:hAnsi="Times New Roman" w:cs="Times New Roman" w:eastAsia="Times New Roman"/>
          <w:b w:val="0"/>
          <w:i w:val="0"/>
          <w:sz w:val="20"/>
          <w:u w:val="none"/>
        </w:rPr>
        <w:t xml:space="preserve">Microsoft Office – Google Workspace – </w:t>
      </w:r>
      <w:r>
        <w:rPr>
          <w:rFonts w:ascii="Times New Roman" w:hAnsi="Times New Roman" w:cs="Times New Roman" w:eastAsia="Times New Roman"/>
          <w:b/>
          <w:i w:val="0"/>
          <w:sz w:val="20"/>
          <w:u w:val="none"/>
        </w:rPr>
        <w:t>Chứng chỉ Microsoft Office Specialist (MOS)</w:t>
      </w:r>
    </w:p>
    <w:p>
      <w:pPr>
        <w:spacing w:before="0" w:after="70"/>
        <w:ind w:left="200"/>
      </w:pPr>
      <w:r>
        <w:rPr>
          <w:rFonts w:ascii="Times New Roman" w:hAnsi="Times New Roman" w:cs="Times New Roman" w:eastAsia="Times New Roman"/>
          <w:b w:val="0"/>
          <w:i/>
          <w:sz w:val="20"/>
          <w:u w:val="none"/>
        </w:rPr>
        <w:t>(Excel: VLookup, XLookup, Pivot Table, Power Query, ...)</w:t>
      </w:r>
    </w:p>
    <w:p>
      <w:pPr>
        <w:spacing w:before="0" w:after="7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Business Intelligence: </w:t>
      </w:r>
      <w:r>
        <w:rPr>
          <w:rFonts w:ascii="Times New Roman" w:hAnsi="Times New Roman" w:cs="Times New Roman" w:eastAsia="Times New Roman"/>
          <w:b w:val="0"/>
          <w:i w:val="0"/>
          <w:sz w:val="20"/>
          <w:u w:val="none"/>
        </w:rPr>
        <w:t>Power BI</w:t>
      </w:r>
    </w:p>
    <w:p>
      <w:pPr>
        <w:spacing w:before="0" w:after="7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Nghiên cứu &amp; Thống kê: </w:t>
      </w:r>
      <w:r>
        <w:rPr>
          <w:rFonts w:ascii="Times New Roman" w:hAnsi="Times New Roman" w:cs="Times New Roman" w:eastAsia="Times New Roman"/>
          <w:b w:val="0"/>
          <w:i w:val="0"/>
          <w:sz w:val="20"/>
          <w:u w:val="none"/>
        </w:rPr>
        <w:t>Stata 17 – Python</w:t>
      </w:r>
    </w:p>
    <w:p>
      <w:pPr>
        <w:spacing w:before="0" w:after="70" w:line="269" w:lineRule="auto"/>
        <w:ind w:left="200" w:hanging="200"/>
        <w:jc w:val="both"/>
      </w:pPr>
      <w:r>
        <w:rPr>
          <w:rFonts w:ascii="Times New Roman" w:hAnsi="Times New Roman" w:cs="Times New Roman" w:eastAsia="Times New Roman"/>
          <w:b w:val="0"/>
          <w:i w:val="0"/>
          <w:sz w:val="16"/>
          <w:u w:val="none"/>
        </w:rPr>
        <w:t xml:space="preserve">▪  </w:t>
      </w:r>
      <w:r>
        <w:rPr>
          <w:rFonts w:ascii="Times New Roman" w:hAnsi="Times New Roman" w:cs="Times New Roman" w:eastAsia="Times New Roman"/>
          <w:b/>
          <w:i w:val="0"/>
          <w:sz w:val="20"/>
          <w:u w:val="none"/>
        </w:rPr>
        <w:t xml:space="preserve">AI &amp; Tự động hóa: </w:t>
      </w:r>
      <w:r>
        <w:rPr>
          <w:rFonts w:ascii="Times New Roman" w:hAnsi="Times New Roman" w:cs="Times New Roman" w:eastAsia="Times New Roman"/>
          <w:b w:val="0"/>
          <w:i w:val="0"/>
          <w:sz w:val="20"/>
          <w:u w:val="none"/>
        </w:rPr>
        <w:t>Kỹ thuật Đặt câu lệnh (Prompt Engineering) – VS code – GitHub – ChatGPT – Claude</w:t>
      </w:r>
    </w:p>
    <w:sectPr w:rsidR="00FC693F" w:rsidRPr="0006063C" w:rsidSect="00034616">
      <w:pgSz w:w="11906" w:h="16838"/>
      <w:pgMar w:top="400" w:right="986" w:bottom="400" w:left="83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