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hAnsi="Calibri"/>
          <w:b/>
          <w:color w:val="321E60"/>
          <w:sz w:val="32"/>
        </w:rPr>
        <w:t>EMPLOYMENT OFFER LETTER</w:t>
      </w:r>
    </w:p>
    <w:p>
      <w:pPr>
        <w:spacing w:after="20"/>
        <w:jc w:val="right"/>
      </w:pPr>
      <w:r>
        <w:rPr>
          <w:rFonts w:ascii="Calibri" w:hAnsi="Calibri"/>
          <w:color w:val="1F1F24"/>
          <w:sz w:val="19"/>
        </w:rPr>
        <w:t>25 June 2025</w:t>
      </w:r>
    </w:p>
    <w:p>
      <w:pPr>
        <w:spacing w:after="100"/>
        <w:jc w:val="right"/>
      </w:pPr>
      <w:r>
        <w:rPr>
          <w:rFonts w:ascii="Calibri" w:hAnsi="Calibri"/>
          <w:color w:val="60636E"/>
          <w:sz w:val="18"/>
        </w:rPr>
        <w:t>Reference: NH-EMP-DN-001</w:t>
      </w:r>
    </w:p>
    <w:p>
      <w:pPr>
        <w:spacing w:after="40"/>
      </w:pPr>
      <w:r>
        <w:rPr>
          <w:rFonts w:ascii="Calibri" w:hAnsi="Calibri"/>
          <w:b/>
          <w:color w:val="1F1F24"/>
          <w:sz w:val="19"/>
        </w:rPr>
        <w:t xml:space="preserve">To: </w:t>
      </w:r>
      <w:r>
        <w:rPr>
          <w:rFonts w:ascii="Calibri" w:hAnsi="Calibri"/>
          <w:color w:val="1F1F24"/>
          <w:sz w:val="19"/>
        </w:rPr>
        <w:t>Didigam Nithin</w:t>
      </w:r>
    </w:p>
    <w:p>
      <w:pPr>
        <w:spacing w:after="80"/>
      </w:pPr>
      <w:r>
        <w:rPr>
          <w:rFonts w:ascii="Calibri" w:hAnsi="Calibri"/>
          <w:b/>
          <w:color w:val="321E60"/>
          <w:sz w:val="19"/>
        </w:rPr>
        <w:t>Subject: Offer of employment as Senior Developer</w:t>
      </w:r>
    </w:p>
    <w:p>
      <w:pPr>
        <w:spacing w:after="80"/>
      </w:pPr>
      <w:r>
        <w:t>Dear Didigam Nithin,</w:t>
      </w:r>
    </w:p>
    <w:p>
      <w:r>
        <w:t xml:space="preserve">We are pleased to offer you full-time employment with </w:t>
      </w:r>
      <w:r>
        <w:rPr>
          <w:b/>
        </w:rPr>
        <w:t>Nhancio</w:t>
      </w:r>
      <w:r>
        <w:t xml:space="preserve"> as Senior Developer. This letter records the principal terms of your employment. Please read it carefully and retain a copy for your records.</w:t>
      </w:r>
    </w:p>
    <w:p>
      <w:pPr>
        <w:pStyle w:val="Heading1"/>
      </w:pPr>
      <w:r>
        <w:t>Key terms</w:t>
      </w:r>
    </w:p>
    <w:tbl>
      <w:tblPr>
        <w:tblStyle w:val="TableGrid"/>
        <w:tblW w:type="dxa" w:w="10322"/>
        <w:jc w:val="left"/>
        <w:tblLayout w:type="fixed"/>
        <w:tblLook w:firstColumn="1" w:firstRow="1" w:lastColumn="0" w:lastRow="0" w:noHBand="0" w:noVBand="1" w:val="04A0"/>
        <w:tblInd w:w="0" w:type="dxa"/>
      </w:tblPr>
      <w:tblGrid>
        <w:gridCol w:w="3000"/>
        <w:gridCol w:w="7322"/>
      </w:tblGrid>
      <w:tr>
        <w:tc>
          <w:tcPr>
            <w:tcW w:type="dxa" w:w="3000"/>
            <w:vAlign w:val="center"/>
            <w:tcMar>
              <w:top w:w="55" w:type="dxa"/>
              <w:bottom w:w="55" w:type="dxa"/>
              <w:start w:w="100" w:type="dxa"/>
              <w:end w:w="100" w:type="dxa"/>
            </w:tcMar>
            <w:shd w:fill="F3F0FC"/>
          </w:tcPr>
          <w:p>
            <w:pPr>
              <w:spacing w:before="0" w:after="0" w:line="240" w:lineRule="auto"/>
            </w:pPr>
            <w:r>
              <w:rPr>
                <w:rFonts w:ascii="Calibri" w:hAnsi="Calibri"/>
                <w:b/>
                <w:color w:val="321E60"/>
                <w:sz w:val="18"/>
              </w:rPr>
              <w:t>Role</w:t>
            </w:r>
          </w:p>
        </w:tc>
        <w:tc>
          <w:tcPr>
            <w:tcW w:type="dxa" w:w="7322"/>
            <w:vAlign w:val="center"/>
            <w:tcMar>
              <w:top w:w="55" w:type="dxa"/>
              <w:bottom w:w="55" w:type="dxa"/>
              <w:start w:w="100" w:type="dxa"/>
              <w:end w:w="100" w:type="dxa"/>
            </w:tcMar>
          </w:tcPr>
          <w:p>
            <w:pPr>
              <w:spacing w:before="0" w:after="0" w:line="240" w:lineRule="auto"/>
            </w:pPr>
            <w:r>
              <w:rPr>
                <w:rFonts w:ascii="Calibri" w:hAnsi="Calibri"/>
                <w:b w:val="0"/>
                <w:color w:val="1F1F24"/>
                <w:sz w:val="18"/>
              </w:rPr>
              <w:t>Senior Developer</w:t>
            </w:r>
          </w:p>
        </w:tc>
      </w:tr>
      <w:tr>
        <w:tc>
          <w:tcPr>
            <w:tcW w:type="dxa" w:w="3000"/>
            <w:vAlign w:val="center"/>
            <w:tcMar>
              <w:top w:w="55" w:type="dxa"/>
              <w:bottom w:w="55" w:type="dxa"/>
              <w:start w:w="100" w:type="dxa"/>
              <w:end w:w="100" w:type="dxa"/>
            </w:tcMar>
            <w:shd w:fill="F3F0FC"/>
          </w:tcPr>
          <w:p>
            <w:pPr>
              <w:spacing w:before="0" w:after="0" w:line="240" w:lineRule="auto"/>
            </w:pPr>
            <w:r>
              <w:rPr>
                <w:rFonts w:ascii="Calibri" w:hAnsi="Calibri"/>
                <w:b/>
                <w:color w:val="321E60"/>
                <w:sz w:val="18"/>
              </w:rPr>
              <w:t>Department</w:t>
            </w:r>
          </w:p>
        </w:tc>
        <w:tc>
          <w:tcPr>
            <w:tcW w:type="dxa" w:w="7322"/>
            <w:vAlign w:val="center"/>
            <w:tcMar>
              <w:top w:w="55" w:type="dxa"/>
              <w:bottom w:w="55" w:type="dxa"/>
              <w:start w:w="100" w:type="dxa"/>
              <w:end w:w="100" w:type="dxa"/>
            </w:tcMar>
            <w:shd w:fill="FBFAFE"/>
          </w:tcPr>
          <w:p>
            <w:pPr>
              <w:spacing w:before="0" w:after="0" w:line="240" w:lineRule="auto"/>
            </w:pPr>
            <w:r>
              <w:rPr>
                <w:rFonts w:ascii="Calibri" w:hAnsi="Calibri"/>
                <w:b w:val="0"/>
                <w:color w:val="1F1F24"/>
                <w:sz w:val="18"/>
              </w:rPr>
              <w:t>Technology</w:t>
            </w:r>
          </w:p>
        </w:tc>
      </w:tr>
      <w:tr>
        <w:tc>
          <w:tcPr>
            <w:tcW w:type="dxa" w:w="3000"/>
            <w:vAlign w:val="center"/>
            <w:tcMar>
              <w:top w:w="55" w:type="dxa"/>
              <w:bottom w:w="55" w:type="dxa"/>
              <w:start w:w="100" w:type="dxa"/>
              <w:end w:w="100" w:type="dxa"/>
            </w:tcMar>
            <w:shd w:fill="F3F0FC"/>
          </w:tcPr>
          <w:p>
            <w:pPr>
              <w:spacing w:before="0" w:after="0" w:line="240" w:lineRule="auto"/>
            </w:pPr>
            <w:r>
              <w:rPr>
                <w:rFonts w:ascii="Calibri" w:hAnsi="Calibri"/>
                <w:b/>
                <w:color w:val="321E60"/>
                <w:sz w:val="18"/>
              </w:rPr>
              <w:t>Employment type</w:t>
            </w:r>
          </w:p>
        </w:tc>
        <w:tc>
          <w:tcPr>
            <w:tcW w:type="dxa" w:w="7322"/>
            <w:vAlign w:val="center"/>
            <w:tcMar>
              <w:top w:w="55" w:type="dxa"/>
              <w:bottom w:w="55" w:type="dxa"/>
              <w:start w:w="100" w:type="dxa"/>
              <w:end w:w="100" w:type="dxa"/>
            </w:tcMar>
          </w:tcPr>
          <w:p>
            <w:pPr>
              <w:spacing w:before="0" w:after="0" w:line="240" w:lineRule="auto"/>
            </w:pPr>
            <w:r>
              <w:rPr>
                <w:rFonts w:ascii="Calibri" w:hAnsi="Calibri"/>
                <w:b w:val="0"/>
                <w:color w:val="1F1F24"/>
                <w:sz w:val="18"/>
              </w:rPr>
              <w:t>Full-time</w:t>
            </w:r>
          </w:p>
        </w:tc>
      </w:tr>
      <w:tr>
        <w:tc>
          <w:tcPr>
            <w:tcW w:type="dxa" w:w="3000"/>
            <w:vAlign w:val="center"/>
            <w:tcMar>
              <w:top w:w="55" w:type="dxa"/>
              <w:bottom w:w="55" w:type="dxa"/>
              <w:start w:w="100" w:type="dxa"/>
              <w:end w:w="100" w:type="dxa"/>
            </w:tcMar>
            <w:shd w:fill="F3F0FC"/>
          </w:tcPr>
          <w:p>
            <w:pPr>
              <w:spacing w:before="0" w:after="0" w:line="240" w:lineRule="auto"/>
            </w:pPr>
            <w:r>
              <w:rPr>
                <w:rFonts w:ascii="Calibri" w:hAnsi="Calibri"/>
                <w:b/>
                <w:color w:val="321E60"/>
                <w:sz w:val="18"/>
              </w:rPr>
              <w:t>Joining date</w:t>
            </w:r>
          </w:p>
        </w:tc>
        <w:tc>
          <w:tcPr>
            <w:tcW w:type="dxa" w:w="7322"/>
            <w:vAlign w:val="center"/>
            <w:tcMar>
              <w:top w:w="55" w:type="dxa"/>
              <w:bottom w:w="55" w:type="dxa"/>
              <w:start w:w="100" w:type="dxa"/>
              <w:end w:w="100" w:type="dxa"/>
            </w:tcMar>
            <w:shd w:fill="FBFAFE"/>
          </w:tcPr>
          <w:p>
            <w:pPr>
              <w:spacing w:before="0" w:after="0" w:line="240" w:lineRule="auto"/>
            </w:pPr>
            <w:r>
              <w:rPr>
                <w:rFonts w:ascii="Calibri" w:hAnsi="Calibri"/>
                <w:b w:val="0"/>
                <w:color w:val="1F1F24"/>
                <w:sz w:val="18"/>
              </w:rPr>
              <w:t>1 July 2025</w:t>
            </w:r>
          </w:p>
        </w:tc>
      </w:tr>
      <w:tr>
        <w:tc>
          <w:tcPr>
            <w:tcW w:type="dxa" w:w="3000"/>
            <w:vAlign w:val="center"/>
            <w:tcMar>
              <w:top w:w="55" w:type="dxa"/>
              <w:bottom w:w="55" w:type="dxa"/>
              <w:start w:w="100" w:type="dxa"/>
              <w:end w:w="100" w:type="dxa"/>
            </w:tcMar>
            <w:shd w:fill="F3F0FC"/>
          </w:tcPr>
          <w:p>
            <w:pPr>
              <w:spacing w:before="0" w:after="0" w:line="240" w:lineRule="auto"/>
            </w:pPr>
            <w:r>
              <w:rPr>
                <w:rFonts w:ascii="Calibri" w:hAnsi="Calibri"/>
                <w:b/>
                <w:color w:val="321E60"/>
                <w:sz w:val="18"/>
              </w:rPr>
              <w:t>Work arrangement</w:t>
            </w:r>
          </w:p>
        </w:tc>
        <w:tc>
          <w:tcPr>
            <w:tcW w:type="dxa" w:w="7322"/>
            <w:vAlign w:val="center"/>
            <w:tcMar>
              <w:top w:w="55" w:type="dxa"/>
              <w:bottom w:w="55" w:type="dxa"/>
              <w:start w:w="100" w:type="dxa"/>
              <w:end w:w="100" w:type="dxa"/>
            </w:tcMar>
          </w:tcPr>
          <w:p>
            <w:pPr>
              <w:spacing w:before="0" w:after="0" w:line="240" w:lineRule="auto"/>
            </w:pPr>
            <w:r>
              <w:rPr>
                <w:rFonts w:ascii="Calibri" w:hAnsi="Calibri"/>
                <w:b w:val="0"/>
                <w:color w:val="1F1F24"/>
                <w:sz w:val="18"/>
              </w:rPr>
              <w:t>Remote</w:t>
            </w:r>
          </w:p>
        </w:tc>
      </w:tr>
      <w:tr>
        <w:tc>
          <w:tcPr>
            <w:tcW w:type="dxa" w:w="3000"/>
            <w:vAlign w:val="center"/>
            <w:tcMar>
              <w:top w:w="55" w:type="dxa"/>
              <w:bottom w:w="55" w:type="dxa"/>
              <w:start w:w="100" w:type="dxa"/>
              <w:end w:w="100" w:type="dxa"/>
            </w:tcMar>
            <w:shd w:fill="F3F0FC"/>
          </w:tcPr>
          <w:p>
            <w:pPr>
              <w:spacing w:before="0" w:after="0" w:line="240" w:lineRule="auto"/>
            </w:pPr>
            <w:r>
              <w:rPr>
                <w:rFonts w:ascii="Calibri" w:hAnsi="Calibri"/>
                <w:b/>
                <w:color w:val="321E60"/>
                <w:sz w:val="18"/>
              </w:rPr>
              <w:t>Working schedule</w:t>
            </w:r>
          </w:p>
        </w:tc>
        <w:tc>
          <w:tcPr>
            <w:tcW w:type="dxa" w:w="7322"/>
            <w:vAlign w:val="center"/>
            <w:tcMar>
              <w:top w:w="55" w:type="dxa"/>
              <w:bottom w:w="55" w:type="dxa"/>
              <w:start w:w="100" w:type="dxa"/>
              <w:end w:w="100" w:type="dxa"/>
            </w:tcMar>
            <w:shd w:fill="FBFAFE"/>
          </w:tcPr>
          <w:p>
            <w:pPr>
              <w:spacing w:before="0" w:after="0" w:line="240" w:lineRule="auto"/>
            </w:pPr>
            <w:r>
              <w:rPr>
                <w:rFonts w:ascii="Calibri" w:hAnsi="Calibri"/>
                <w:b w:val="0"/>
                <w:color w:val="1F1F24"/>
                <w:sz w:val="18"/>
              </w:rPr>
              <w:t>Monday to Friday | 40 hours per week, with timing agreed with Didigam Nithin (CEO)</w:t>
            </w:r>
          </w:p>
        </w:tc>
      </w:tr>
      <w:tr>
        <w:tc>
          <w:tcPr>
            <w:tcW w:type="dxa" w:w="3000"/>
            <w:vAlign w:val="center"/>
            <w:tcMar>
              <w:top w:w="55" w:type="dxa"/>
              <w:bottom w:w="55" w:type="dxa"/>
              <w:start w:w="100" w:type="dxa"/>
              <w:end w:w="100" w:type="dxa"/>
            </w:tcMar>
            <w:shd w:fill="F3F0FC"/>
          </w:tcPr>
          <w:p>
            <w:pPr>
              <w:spacing w:before="0" w:after="0" w:line="240" w:lineRule="auto"/>
            </w:pPr>
            <w:r>
              <w:rPr>
                <w:rFonts w:ascii="Calibri" w:hAnsi="Calibri"/>
                <w:b/>
                <w:color w:val="321E60"/>
                <w:sz w:val="18"/>
              </w:rPr>
              <w:t>Reporting to</w:t>
            </w:r>
          </w:p>
        </w:tc>
        <w:tc>
          <w:tcPr>
            <w:tcW w:type="dxa" w:w="7322"/>
            <w:vAlign w:val="center"/>
            <w:tcMar>
              <w:top w:w="55" w:type="dxa"/>
              <w:bottom w:w="55" w:type="dxa"/>
              <w:start w:w="100" w:type="dxa"/>
              <w:end w:w="100" w:type="dxa"/>
            </w:tcMar>
          </w:tcPr>
          <w:p>
            <w:pPr>
              <w:spacing w:before="0" w:after="0" w:line="240" w:lineRule="auto"/>
            </w:pPr>
            <w:r>
              <w:rPr>
                <w:rFonts w:ascii="Calibri" w:hAnsi="Calibri"/>
                <w:b w:val="0"/>
                <w:color w:val="1F1F24"/>
                <w:sz w:val="18"/>
              </w:rPr>
              <w:t>Didigam Nithin (CEO)</w:t>
            </w:r>
          </w:p>
        </w:tc>
      </w:tr>
      <w:tr>
        <w:tc>
          <w:tcPr>
            <w:tcW w:type="dxa" w:w="3000"/>
            <w:vAlign w:val="center"/>
            <w:tcMar>
              <w:top w:w="55" w:type="dxa"/>
              <w:bottom w:w="55" w:type="dxa"/>
              <w:start w:w="100" w:type="dxa"/>
              <w:end w:w="100" w:type="dxa"/>
            </w:tcMar>
            <w:shd w:fill="F3F0FC"/>
          </w:tcPr>
          <w:p>
            <w:pPr>
              <w:spacing w:before="0" w:after="0" w:line="240" w:lineRule="auto"/>
            </w:pPr>
            <w:r>
              <w:rPr>
                <w:rFonts w:ascii="Calibri" w:hAnsi="Calibri"/>
                <w:b/>
                <w:color w:val="321E60"/>
                <w:sz w:val="18"/>
              </w:rPr>
              <w:t>Annual compensation</w:t>
            </w:r>
          </w:p>
        </w:tc>
        <w:tc>
          <w:tcPr>
            <w:tcW w:type="dxa" w:w="7322"/>
            <w:vAlign w:val="center"/>
            <w:tcMar>
              <w:top w:w="55" w:type="dxa"/>
              <w:bottom w:w="55" w:type="dxa"/>
              <w:start w:w="100" w:type="dxa"/>
              <w:end w:w="100" w:type="dxa"/>
            </w:tcMar>
            <w:shd w:fill="FBFAFE"/>
          </w:tcPr>
          <w:p>
            <w:pPr>
              <w:spacing w:before="0" w:after="0" w:line="240" w:lineRule="auto"/>
            </w:pPr>
            <w:r>
              <w:rPr>
                <w:rFonts w:ascii="Calibri" w:hAnsi="Calibri"/>
                <w:b w:val="0"/>
                <w:color w:val="1F1F24"/>
                <w:sz w:val="18"/>
              </w:rPr>
              <w:t>INR 16,00,000 per annum (16 LPA), equivalent to approximately INR 1,33,333 per month before applicable deductions</w:t>
            </w:r>
          </w:p>
        </w:tc>
      </w:tr>
    </w:tbl>
    <w:p>
      <w:pPr>
        <w:spacing w:after="0"/>
      </w:pPr>
    </w:p>
    <w:p>
      <w:pPr>
        <w:pStyle w:val="Heading2"/>
      </w:pPr>
      <w:r>
        <w:t>1. Appointment and employment</w:t>
      </w:r>
    </w:p>
    <w:p>
      <w:pPr>
        <w:keepLines w:val="0"/>
      </w:pPr>
      <w:r>
        <w:t>Your appointment as Senior Developer will commence on 1 July 2025. This is a full-time position. Your continued employment is subject to satisfactory performance, professional conduct, eligibility to work, and compliance with this letter and Nhancio policies.</w:t>
      </w:r>
    </w:p>
    <w:p>
      <w:pPr>
        <w:pStyle w:val="Heading2"/>
      </w:pPr>
      <w:r>
        <w:t>2. Role responsibilities and standards</w:t>
      </w:r>
    </w:p>
    <w:p>
      <w:pPr>
        <w:numPr>
          <w:ilvl w:val="0"/>
          <w:numId w:val="10"/>
        </w:numPr>
      </w:pPr>
      <w:r>
        <w:rPr>
          <w:rFonts w:ascii="Calibri" w:hAnsi="Calibri"/>
          <w:color w:val="1F1F24"/>
          <w:sz w:val="19"/>
        </w:rPr>
        <w:t>Lead the design, development, testing, deployment, and maintenance of reliable software products and services.</w:t>
      </w:r>
    </w:p>
    <w:p>
      <w:pPr>
        <w:numPr>
          <w:ilvl w:val="0"/>
          <w:numId w:val="10"/>
        </w:numPr>
      </w:pPr>
      <w:r>
        <w:rPr>
          <w:rFonts w:ascii="Calibri" w:hAnsi="Calibri"/>
          <w:color w:val="1F1F24"/>
          <w:sz w:val="19"/>
        </w:rPr>
        <w:t>Own technical decisions, code quality, architecture documentation, and delivery of assigned engineering work.</w:t>
      </w:r>
    </w:p>
    <w:p>
      <w:pPr>
        <w:numPr>
          <w:ilvl w:val="0"/>
          <w:numId w:val="10"/>
        </w:numPr>
      </w:pPr>
      <w:r>
        <w:rPr>
          <w:rFonts w:ascii="Calibri" w:hAnsi="Calibri"/>
          <w:color w:val="1F1F24"/>
          <w:sz w:val="19"/>
        </w:rPr>
        <w:t>Collaborate with product, design, data, and business stakeholders to translate requirements into maintainable solutions.</w:t>
      </w:r>
    </w:p>
    <w:p>
      <w:pPr>
        <w:numPr>
          <w:ilvl w:val="0"/>
          <w:numId w:val="10"/>
        </w:numPr>
      </w:pPr>
      <w:r>
        <w:rPr>
          <w:rFonts w:ascii="Calibri" w:hAnsi="Calibri"/>
          <w:color w:val="1F1F24"/>
          <w:sz w:val="19"/>
        </w:rPr>
        <w:t>Review code, mentor team members, improve engineering practices, and communicate risks and progress clearly.</w:t>
      </w:r>
    </w:p>
    <w:p>
      <w:pPr>
        <w:numPr>
          <w:ilvl w:val="0"/>
          <w:numId w:val="10"/>
        </w:numPr>
      </w:pPr>
      <w:r>
        <w:rPr>
          <w:rFonts w:ascii="Calibri" w:hAnsi="Calibri"/>
          <w:color w:val="1F1F24"/>
          <w:sz w:val="19"/>
        </w:rPr>
        <w:t>Protect company, client, and user information and follow all security, privacy, and responsible-AI requirements.</w:t>
      </w:r>
    </w:p>
    <w:p>
      <w:pPr>
        <w:spacing w:before="40"/>
      </w:pPr>
      <w:r>
        <w:t>Responsibilities may reasonably evolve with business needs. You are expected to perform assigned work diligently, communicate blockers promptly, maintain accurate records, participate in reviews, and follow lawful instructions relevant to the role.</w:t>
      </w:r>
    </w:p>
    <w:p>
      <w:pPr>
        <w:pStyle w:val="Heading2"/>
      </w:pPr>
      <w:r>
        <w:t>3. Working arrangements, attendance, and leave</w:t>
      </w:r>
    </w:p>
    <w:p>
      <w:pPr>
        <w:keepLines w:val="0"/>
      </w:pPr>
      <w:r>
        <w:t>Your normal arrangement is remote. Work will be performed remotely on Monday to Friday, for 40 hours per week, with timing agreed with Didigam Nithin (CEO). Reasonable schedule changes may be agreed with Didigam Nithin (CEO). You are eligible for leave in accordance with Nhancio's leave policy and applicable law. Planned leave must be requested in advance and approved by your reporting manager; emergencies should be communicated as soon as reasonably possible. Leave balances, holidays, and any carry-forward rules will be administered under the policy in force from time to time. Persistent unapproved absence, material lateness, or failure to communicate availability may result in review or disciplinary action.</w:t>
      </w:r>
    </w:p>
    <w:p>
      <w:pPr>
        <w:pStyle w:val="Heading2"/>
      </w:pPr>
      <w:r>
        <w:t>4. Compensation, deductions, and expenses</w:t>
      </w:r>
    </w:p>
    <w:p>
      <w:pPr>
        <w:keepLines w:val="0"/>
      </w:pPr>
      <w:r>
        <w:t>Your annual compensation is INR 16,00,000 per annum (16 LPA), equivalent to approximately INR 1,33,333 per month before applicable deductions. Salary is subject to applicable deductions, taxes, payroll rules, and statutory requirements. Only expenses approved in writing before they are incurred will be eligible for reimbursement against valid receipts.</w:t>
      </w:r>
    </w:p>
    <w:p>
      <w:pPr>
        <w:pStyle w:val="Heading2"/>
      </w:pPr>
      <w:r>
        <w:t>5. Reporting and performance</w:t>
      </w:r>
    </w:p>
    <w:p>
      <w:pPr>
        <w:keepLines w:val="0"/>
      </w:pPr>
      <w:r>
        <w:t>You will report to Didigam Nithin (CEO). Nhancio may set goals, request status updates, review work quality, and provide feedback. Performance reviews, role progression, and any compensation changes are subject to company processes and business requirements.</w:t>
      </w:r>
    </w:p>
    <w:p>
      <w:pPr>
        <w:pStyle w:val="Heading2"/>
      </w:pPr>
      <w:r>
        <w:t>6. Confidentiality and information security</w:t>
      </w:r>
    </w:p>
    <w:p>
      <w:pPr>
        <w:keepLines w:val="0"/>
      </w:pPr>
      <w:r>
        <w:t>During and after employment, you must keep confidential all non-public company, client, partner, employee, applicant, and user information learned through your work. Confidential information includes business plans, pricing, credentials, source code, models, prompts, datasets, designs, research, processes, and personal data. Use such information only for authorized work; do not copy it to personal systems, disclose it, publish it, or use it for an external portfolio without prior written approval. Immediately report suspected loss, unauthorized access, or disclosure. These duties survive the end of employment.</w:t>
      </w:r>
    </w:p>
    <w:p>
      <w:pPr>
        <w:pStyle w:val="Heading2"/>
      </w:pPr>
      <w:r>
        <w:t>7. Intellectual property and work product</w:t>
      </w:r>
    </w:p>
    <w:p>
      <w:pPr>
        <w:keepLines w:val="0"/>
      </w:pPr>
      <w:r>
        <w:t>To the extent permitted by applicable law, work product created within the scope of assigned duties using Nhancio or client time, information, systems, or resources will belong to Nhancio or the relevant client, as directed. You agree to disclose such work product and reasonably assist with documentation needed to confirm ownership. Pre-existing intellectual property remains yours if disclosed in writing before it is incorporated into assigned work; its inclusion requires prior approval and an appropriate licence. No company or client material may be open-sourced, published, demonstrated, or included in a portfolio without written authorization.</w:t>
      </w:r>
    </w:p>
    <w:p>
      <w:pPr>
        <w:pStyle w:val="Heading2"/>
      </w:pPr>
      <w:r>
        <w:t>8. Conduct, conflicts, and policies</w:t>
      </w:r>
    </w:p>
    <w:p>
      <w:pPr>
        <w:keepLines w:val="0"/>
      </w:pPr>
      <w:r>
        <w:t>You must act professionally, respectfully, lawfully, and without discrimination or harassment. Disclose any actual or potential conflict of interest, including overlapping work that could compromise confidentiality, availability, or ownership of work product. You must follow applicable Nhancio and client policies communicated to you, including responsible-AI, acceptable-use, security, privacy, and workplace-conduct requirements. You may not represent that you can bind Nhancio or make commitments on its behalf unless expressly authorized in writing.</w:t>
      </w:r>
    </w:p>
    <w:p>
      <w:pPr>
        <w:pStyle w:val="Heading2"/>
      </w:pPr>
      <w:r>
        <w:t>9. Systems, equipment, and return of property</w:t>
      </w:r>
    </w:p>
    <w:p>
      <w:pPr>
        <w:keepLines w:val="0"/>
      </w:pPr>
      <w:r>
        <w:t>Nhancio may provide accounts, repositories, datasets, or equipment needed for approved work. All access remains company property and must be returned or disabled when requested or when employment ends. On request or when employment ends, you must promptly return physical property, transfer current work, delete company or client information from personal devices and accounts where permitted, and complete offboarding steps.</w:t>
      </w:r>
    </w:p>
    <w:p>
      <w:pPr>
        <w:pStyle w:val="Heading2"/>
      </w:pPr>
      <w:r>
        <w:t>10. Verification and eligibility</w:t>
      </w:r>
    </w:p>
    <w:p>
      <w:pPr>
        <w:keepLines w:val="0"/>
      </w:pPr>
      <w:r>
        <w:t>This offer is subject to the accuracy of the information and documents provided by you and any reasonable identity, education, employment, or background checks requested by Nhancio. You are responsible for maintaining any work authorization, identification, or other eligibility required for employment and for promptly disclosing any change that affects eligibility.</w:t>
      </w:r>
    </w:p>
    <w:p>
      <w:pPr>
        <w:pStyle w:val="Heading2"/>
      </w:pPr>
      <w:r>
        <w:t>11. Ending employment</w:t>
      </w:r>
    </w:p>
    <w:p>
      <w:pPr>
        <w:keepLines w:val="0"/>
      </w:pPr>
      <w:r>
        <w:t>Either you or Nhancio may end employment by giving the notice period stated in your employment terms and applicable law written notice, unless a shorter period is mutually agreed. Nhancio may end employment immediately for serious misconduct, material breach of confidentiality or security, falsification, unlawful conduct, repeated non-performance, policy violations, loss of eligibility, or conduct that reasonably creates material risk to Nhancio, its clients, or users. On termination, salary and eligible dues will be handled according to the stated terms and applicable law for the period completed.</w:t>
      </w:r>
    </w:p>
    <w:p>
      <w:pPr>
        <w:pStyle w:val="Heading2"/>
      </w:pPr>
      <w:r>
        <w:t>12. Governing terms and changes</w:t>
      </w:r>
    </w:p>
    <w:p>
      <w:pPr>
        <w:keepLines w:val="0"/>
      </w:pPr>
      <w:r>
        <w:t>This letter and any policies expressly incorporated into it record the understanding for your employment and replace prior discussions about the same engagement. Any amendment must be in writing and approved by an authorized Nhancio representative. If a provision is unenforceable, the remaining provisions continue to apply to the extent permitted by law. This letter is governed by the laws applicable in Telangana, India, and the competent courts there will have jurisdiction, subject to any mandatory law that applies.</w:t>
      </w:r>
    </w:p>
    <w:p>
      <w:pPr>
        <w:pStyle w:val="Heading1"/>
      </w:pPr>
      <w:r>
        <w:t>Authorization</w:t>
      </w:r>
    </w:p>
    <w:p>
      <w:pPr>
        <w:spacing w:after="80"/>
      </w:pPr>
      <w:r>
        <w:t>We look forward to your contribution and professional growth with Nhancio.</w:t>
      </w:r>
    </w:p>
    <w:p>
      <w:pPr>
        <w:spacing w:after="40"/>
      </w:pPr>
      <w:r>
        <w:rPr>
          <w:rFonts w:ascii="Calibri" w:hAnsi="Calibri"/>
          <w:b/>
          <w:color w:val="321E60"/>
          <w:sz w:val="19"/>
        </w:rPr>
        <w:t>For and on behalf of Nhancio</w:t>
      </w:r>
    </w:p>
    <w:p>
      <w:pPr>
        <w:spacing w:after="40"/>
      </w:pPr>
      <w:r>
        <w:drawing>
          <wp:inline xmlns:a="http://schemas.openxmlformats.org/drawingml/2006/main" xmlns:pic="http://schemas.openxmlformats.org/drawingml/2006/picture">
            <wp:extent cx="1143000" cy="631448"/>
            <wp:docPr id="1" name="Picture 1" title="Authorized signature" descr="Signature of Didigam Sathyanarayana"/>
            <wp:cNvGraphicFramePr>
              <a:graphicFrameLocks noChangeAspect="1"/>
            </wp:cNvGraphicFramePr>
            <a:graphic>
              <a:graphicData uri="http://schemas.openxmlformats.org/drawingml/2006/picture">
                <pic:pic>
                  <pic:nvPicPr>
                    <pic:cNvPr id="0" name="authorized-signature.png"/>
                    <pic:cNvPicPr/>
                  </pic:nvPicPr>
                  <pic:blipFill>
                    <a:blip r:embed="rId11"/>
                    <a:stretch>
                      <a:fillRect/>
                    </a:stretch>
                  </pic:blipFill>
                  <pic:spPr>
                    <a:xfrm>
                      <a:off x="0" y="0"/>
                      <a:ext cx="1143000" cy="631448"/>
                    </a:xfrm>
                    <a:prstGeom prst="rect"/>
                  </pic:spPr>
                </pic:pic>
              </a:graphicData>
            </a:graphic>
          </wp:inline>
        </w:drawing>
      </w:r>
    </w:p>
    <w:p>
      <w:pPr>
        <w:spacing w:after="20"/>
      </w:pPr>
      <w:r>
        <w:rPr>
          <w:rFonts w:ascii="Calibri" w:hAnsi="Calibri"/>
          <w:b/>
          <w:color w:val="1F1F24"/>
          <w:sz w:val="19"/>
        </w:rPr>
        <w:t>Didigam Sathyanarayana</w:t>
      </w:r>
    </w:p>
    <w:p>
      <w:pPr>
        <w:spacing w:after="40"/>
      </w:pPr>
      <w:r>
        <w:rPr>
          <w:rFonts w:ascii="Calibri" w:hAnsi="Calibri"/>
          <w:b/>
          <w:color w:val="1F1F24"/>
          <w:sz w:val="19"/>
        </w:rPr>
        <w:t xml:space="preserve">Title: </w:t>
      </w:r>
      <w:r>
        <w:rPr>
          <w:rFonts w:ascii="Calibri" w:hAnsi="Calibri"/>
          <w:color w:val="1F1F24"/>
          <w:sz w:val="19"/>
        </w:rPr>
        <w:t>Director, Nhancio</w:t>
      </w:r>
    </w:p>
    <w:sectPr w:rsidR="00FC693F" w:rsidRPr="0006063C" w:rsidSect="00034616">
      <w:headerReference w:type="default" r:id="rId9"/>
      <w:footerReference w:type="default" r:id="rId10"/>
      <w:pgSz w:w="11906" w:h="16838"/>
      <w:pgMar w:top="792" w:right="792" w:bottom="792" w:left="792"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4" w:val="left"/>
      </w:tabs>
      <w:spacing w:before="0" w:after="0"/>
    </w:pPr>
    <w:r>
      <w:rPr>
        <w:rFonts w:ascii="Calibri" w:hAnsi="Calibri"/>
        <w:color w:val="60636E"/>
        <w:sz w:val="17"/>
      </w:rPr>
      <w:t>Nhancio | Confidential | Employment Offer Letter</w:t>
    </w:r>
    <w:r>
      <w:rPr>
        <w:rFonts w:ascii="Calibri" w:hAnsi="Calibri"/>
        <w:color w:val="60636E"/>
        <w:sz w:val="17"/>
      </w:rPr>
      <w:tab/>
      <w:t xml:space="preserve">Page </w:t>
    </w:r>
    <w:fldSimple w:instr="PAGE">
      <w:r>
        <w:rPr>
          <w:color w:val="6B6E78"/>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 w:lineRule="auto"/>
    </w:pPr>
    <w:r>
      <w:rPr>
        <w:rFonts w:ascii="Calibri" w:hAnsi="Calibri"/>
        <w:color w:val="FFFFFF"/>
        <w:sz w:val="2"/>
      </w:rPr>
      <w:t xml:space="preserve"> </w:t>
    </w:r>
  </w:p>
  <w:tbl>
    <w:tblPr>
      <w:tblW w:type="dxa" w:w="10322"/>
      <w:jc w:val="left"/>
      <w:tblLayout w:type="fixed"/>
      <w:tblLook w:firstColumn="1" w:firstRow="1" w:lastColumn="0" w:lastRow="0" w:noHBand="0" w:noVBand="1" w:val="04A0"/>
      <w:tblInd w:w="0" w:type="dxa"/>
    </w:tblPr>
    <w:tblGrid>
      <w:gridCol w:w="1900"/>
      <w:gridCol w:w="8422"/>
    </w:tblGrid>
    <w:tr>
      <w:tc>
        <w:tcPr>
          <w:tcW w:type="dxa" w:w="1900"/>
          <w:vAlign w:val="center"/>
          <w:tcMar>
            <w:top w:w="55" w:type="dxa"/>
            <w:bottom w:w="55" w:type="dxa"/>
            <w:start w:w="100" w:type="dxa"/>
            <w:end w:w="100" w:type="dxa"/>
          </w:tcMar>
          <w:tcBorders>
            <w:top w:val="nil"/>
            <w:bottom w:val="nil"/>
            <w:start w:val="nil"/>
            <w:end w:val="nil"/>
          </w:tcBorders>
        </w:tcPr>
        <w:p>
          <w:pPr>
            <w:spacing w:after="0"/>
            <w:jc w:val="left"/>
          </w:pPr>
          <w:r>
            <w:drawing>
              <wp:inline xmlns:a="http://schemas.openxmlformats.org/drawingml/2006/main" xmlns:pic="http://schemas.openxmlformats.org/drawingml/2006/picture">
                <wp:extent cx="420624" cy="420624"/>
                <wp:docPr id="1" name="Picture 1" title="Nhancio logo" descr="Nhancio brand logo"/>
                <wp:cNvGraphicFramePr>
                  <a:graphicFrameLocks noChangeAspect="1"/>
                </wp:cNvGraphicFramePr>
                <a:graphic>
                  <a:graphicData uri="http://schemas.openxmlformats.org/drawingml/2006/picture">
                    <pic:pic>
                      <pic:nvPicPr>
                        <pic:cNvPr id="0" name="nhancio-logo.png"/>
                        <pic:cNvPicPr/>
                      </pic:nvPicPr>
                      <pic:blipFill>
                        <a:blip r:embed="rId1"/>
                        <a:stretch>
                          <a:fillRect/>
                        </a:stretch>
                      </pic:blipFill>
                      <pic:spPr>
                        <a:xfrm>
                          <a:off x="0" y="0"/>
                          <a:ext cx="420624" cy="420624"/>
                        </a:xfrm>
                        <a:prstGeom prst="rect"/>
                      </pic:spPr>
                    </pic:pic>
                  </a:graphicData>
                </a:graphic>
              </wp:inline>
            </w:drawing>
          </w:r>
        </w:p>
      </w:tc>
      <w:tc>
        <w:tcPr>
          <w:tcW w:type="dxa" w:w="8422"/>
          <w:vAlign w:val="center"/>
          <w:tcMar>
            <w:top w:w="55" w:type="dxa"/>
            <w:bottom w:w="55" w:type="dxa"/>
            <w:start w:w="100" w:type="dxa"/>
            <w:end w:w="100" w:type="dxa"/>
          </w:tcMar>
          <w:tcBorders>
            <w:top w:val="nil"/>
            <w:bottom w:val="nil"/>
            <w:start w:val="nil"/>
            <w:end w:val="nil"/>
          </w:tcBorders>
        </w:tcPr>
        <w:p>
          <w:pPr>
            <w:spacing w:after="0"/>
          </w:pPr>
          <w:r>
            <w:rPr>
              <w:rFonts w:ascii="Calibri" w:hAnsi="Calibri"/>
              <w:b/>
              <w:color w:val="5B2DCB"/>
              <w:sz w:val="23"/>
            </w:rPr>
            <w:t>NHANCIO</w:t>
          </w:r>
          <w:r>
            <w:t xml:space="preserve">  ✦  </w:t>
          </w:r>
          <w:r>
            <w:rPr>
              <w:rFonts w:ascii="Calibri" w:hAnsi="Calibri"/>
              <w:color w:val="60636E"/>
              <w:sz w:val="18"/>
            </w:rPr>
            <w:t>nhancio.com</w:t>
          </w:r>
        </w:p>
        <w:p>
          <w:pPr>
            <w:spacing w:before="0" w:after="0"/>
          </w:pPr>
          <w:r>
            <w:rPr>
              <w:rFonts w:ascii="Calibri" w:hAnsi="Calibri"/>
              <w:color w:val="60636E"/>
              <w:sz w:val="16"/>
            </w:rPr>
            <w:t>✦  Incubated at T-HUB, Hyd   ✦  AI Deployment Services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80" w:line="24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Calibri" w:hAnsi="Calibri"/>
      <w:color w:val="1F1F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5B2DCB"/>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5B2DCB"/>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libri" w:hAnsi="Calibri"/>
      <w:b/>
      <w:bCs/>
      <w:color w:val="321E6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Offer Letter - Didigam Nithin</dc:title>
  <dc:subject>Offer for Senior Developer</dc:subject>
  <dc:creator>Nhancio</dc:creator>
  <cp:keywords/>
  <dc:description>generated by python-docx</dc:description>
  <cp:lastModifiedBy/>
  <cp:revision>1</cp:revision>
  <dcterms:created xsi:type="dcterms:W3CDTF">2013-12-23T23:15:00Z</dcterms:created>
  <dcterms:modified xsi:type="dcterms:W3CDTF">2013-12-23T23:15:00Z</dcterms:modified>
  <cp:category/>
</cp:coreProperties>
</file>