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1F818">
      <w:pPr>
        <w:spacing w:before="80" w:after="40"/>
        <w:jc w:val="center"/>
      </w:pPr>
      <w:r>
        <w:rPr>
          <w:rFonts w:ascii="Calibri" w:hAnsi="Calibri"/>
          <w:b/>
          <w:color w:val="321E60"/>
          <w:sz w:val="32"/>
        </w:rPr>
        <w:t>APPLICATION DEVELOPMENT QUOTATION</w:t>
      </w:r>
    </w:p>
    <w:p w14:paraId="759A8C49">
      <w:pPr>
        <w:spacing w:after="160"/>
        <w:jc w:val="center"/>
      </w:pPr>
      <w:r>
        <w:rPr>
          <w:rFonts w:ascii="Calibri" w:hAnsi="Calibri"/>
          <w:b/>
          <w:color w:val="5B2DCB"/>
          <w:sz w:val="22"/>
        </w:rPr>
        <w:t xml:space="preserve">Worker X  ·  Pronto and </w:t>
      </w:r>
      <w:r>
        <w:rPr>
          <w:rFonts w:hint="default"/>
          <w:b/>
          <w:color w:val="5B2DCB"/>
          <w:sz w:val="22"/>
          <w:lang w:val="en-US"/>
        </w:rPr>
        <w:t>Snabbit</w:t>
      </w:r>
      <w:bookmarkStart w:id="0" w:name="_GoBack"/>
      <w:bookmarkEnd w:id="0"/>
      <w:r>
        <w:rPr>
          <w:rFonts w:hint="default"/>
          <w:b/>
          <w:color w:val="5B2DCB"/>
          <w:sz w:val="22"/>
          <w:lang w:val="en-US"/>
        </w:rPr>
        <w:t xml:space="preserve"> </w:t>
      </w:r>
      <w:r>
        <w:rPr>
          <w:rFonts w:ascii="Calibri" w:hAnsi="Calibri"/>
          <w:b/>
          <w:color w:val="5B2DCB"/>
          <w:sz w:val="22"/>
        </w:rPr>
        <w:t>for Hyderabad</w:t>
      </w:r>
    </w:p>
    <w:p w14:paraId="28E034DD">
      <w:pPr>
        <w:spacing w:after="20"/>
        <w:jc w:val="right"/>
      </w:pPr>
      <w:r>
        <w:rPr>
          <w:rFonts w:ascii="Calibri" w:hAnsi="Calibri"/>
          <w:color w:val="1F1F24"/>
          <w:sz w:val="20"/>
        </w:rPr>
        <w:t>14 August 2026</w:t>
      </w:r>
    </w:p>
    <w:p w14:paraId="2934E929">
      <w:pPr>
        <w:spacing w:after="160"/>
        <w:jc w:val="right"/>
      </w:pPr>
      <w:r>
        <w:rPr>
          <w:rFonts w:ascii="Calibri" w:hAnsi="Calibri"/>
          <w:color w:val="60636E"/>
          <w:sz w:val="19"/>
        </w:rPr>
        <w:t>Reference: NH-QUO-WX-001</w:t>
      </w:r>
    </w:p>
    <w:p w14:paraId="3C57F2B3">
      <w:pPr>
        <w:spacing w:after="40"/>
      </w:pPr>
      <w:r>
        <w:rPr>
          <w:rFonts w:ascii="Calibri" w:hAnsi="Calibri"/>
          <w:b/>
          <w:color w:val="1F1F24"/>
          <w:sz w:val="19"/>
        </w:rPr>
        <w:t xml:space="preserve">To: </w:t>
      </w:r>
      <w:r>
        <w:rPr>
          <w:rFonts w:ascii="Calibri" w:hAnsi="Calibri"/>
          <w:color w:val="1F1F24"/>
          <w:sz w:val="19"/>
        </w:rPr>
        <w:t>Worker X</w:t>
      </w:r>
    </w:p>
    <w:p w14:paraId="0D5AFA34">
      <w:pPr>
        <w:spacing w:after="20"/>
      </w:pPr>
      <w:r>
        <w:t>Hyderabad, Telangana, India</w:t>
      </w:r>
    </w:p>
    <w:p w14:paraId="3F0F9F37">
      <w:pPr>
        <w:spacing w:before="120" w:after="120"/>
      </w:pPr>
      <w:r>
        <w:rPr>
          <w:rFonts w:ascii="Calibri" w:hAnsi="Calibri"/>
          <w:b/>
          <w:color w:val="321E60"/>
          <w:sz w:val="21"/>
        </w:rPr>
        <w:t xml:space="preserve">Subject: Quotation for Worker X — Pronto and </w:t>
      </w:r>
      <w:r>
        <w:rPr>
          <w:b/>
          <w:color w:val="321E60"/>
          <w:sz w:val="21"/>
          <w:lang w:val="en-US"/>
        </w:rPr>
        <w:t>Snabbit</w:t>
      </w:r>
      <w:r>
        <w:rPr>
          <w:rFonts w:ascii="Calibri" w:hAnsi="Calibri"/>
          <w:b/>
          <w:color w:val="321E60"/>
          <w:sz w:val="21"/>
        </w:rPr>
        <w:t xml:space="preserve"> copy for Hyderabad</w:t>
      </w:r>
    </w:p>
    <w:p w14:paraId="6EF7BAC3">
      <w:pPr>
        <w:spacing w:after="120"/>
      </w:pPr>
      <w:r>
        <w:t>Dear Team,</w:t>
      </w:r>
    </w:p>
    <w:p w14:paraId="1E78CAA2">
      <w:r>
        <w:t xml:space="preserve">Nhancio is pleased to quote for the design, development, deployment, and ongoing operation of </w:t>
      </w:r>
      <w:r>
        <w:rPr>
          <w:b/>
        </w:rPr>
        <w:t>Worker X</w:t>
      </w:r>
      <w:r>
        <w:t xml:space="preserve">, a Hyderabad worker application modelled on Pronto-style shift booking and </w:t>
      </w:r>
      <w:r>
        <w:rPr>
          <w:lang w:val="en-US"/>
        </w:rPr>
        <w:t>Snabbit</w:t>
      </w:r>
      <w:r>
        <w:t xml:space="preserve">-style nearby-job discovery. Design, build, deploy, and operate a Hyderabad-focused worker application modelled on Pronto-style shift booking and </w:t>
      </w:r>
      <w:r>
        <w:rPr>
          <w:lang w:val="en-US"/>
        </w:rPr>
        <w:t>Snabbit</w:t>
      </w:r>
      <w:r>
        <w:t>-style nearby-job discovery. The first release is a worker-facing product for gig and shift workers in Hyderabad, with English and Telugu copy, local zones, and UPI-oriented earnings.</w:t>
      </w:r>
    </w:p>
    <w:p w14:paraId="30451187">
      <w:pPr>
        <w:pStyle w:val="2"/>
      </w:pPr>
      <w:r>
        <w:t>1. Commercial snapshot</w:t>
      </w:r>
    </w:p>
    <w:tbl>
      <w:tblPr>
        <w:tblStyle w:val="35"/>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7202"/>
      </w:tblGrid>
      <w:tr w14:paraId="658B3990">
        <w:tc>
          <w:tcPr>
            <w:tcW w:w="3120" w:type="dxa"/>
            <w:shd w:val="clear" w:color="auto" w:fill="F3F0FC"/>
            <w:tcMar>
              <w:top w:w="55" w:type="dxa"/>
              <w:left w:w="100" w:type="dxa"/>
              <w:bottom w:w="55" w:type="dxa"/>
              <w:right w:w="100" w:type="dxa"/>
            </w:tcMar>
            <w:vAlign w:val="center"/>
          </w:tcPr>
          <w:p w14:paraId="05E29EA6">
            <w:pPr>
              <w:spacing w:before="20" w:after="20" w:line="252" w:lineRule="auto"/>
              <w:jc w:val="center"/>
            </w:pPr>
            <w:r>
              <w:rPr>
                <w:rFonts w:ascii="Calibri" w:hAnsi="Calibri"/>
                <w:b/>
                <w:color w:val="321E60"/>
                <w:sz w:val="19"/>
              </w:rPr>
              <w:t>Project</w:t>
            </w:r>
          </w:p>
        </w:tc>
        <w:tc>
          <w:tcPr>
            <w:tcW w:w="7202" w:type="dxa"/>
            <w:tcMar>
              <w:top w:w="55" w:type="dxa"/>
              <w:left w:w="100" w:type="dxa"/>
              <w:bottom w:w="55" w:type="dxa"/>
              <w:right w:w="100" w:type="dxa"/>
            </w:tcMar>
            <w:vAlign w:val="center"/>
          </w:tcPr>
          <w:p w14:paraId="6DDABC6D">
            <w:pPr>
              <w:spacing w:before="20" w:after="20" w:line="252" w:lineRule="auto"/>
              <w:jc w:val="center"/>
            </w:pPr>
            <w:r>
              <w:rPr>
                <w:rFonts w:ascii="Calibri" w:hAnsi="Calibri"/>
                <w:b w:val="0"/>
                <w:color w:val="1F1F24"/>
                <w:sz w:val="19"/>
              </w:rPr>
              <w:t xml:space="preserve">Worker X — Pronto and </w:t>
            </w:r>
            <w:r>
              <w:rPr>
                <w:b w:val="0"/>
                <w:color w:val="1F1F24"/>
                <w:sz w:val="19"/>
                <w:lang w:val="en-US"/>
              </w:rPr>
              <w:t>Snabbit</w:t>
            </w:r>
            <w:r>
              <w:rPr>
                <w:rFonts w:ascii="Calibri" w:hAnsi="Calibri"/>
                <w:b w:val="0"/>
                <w:color w:val="1F1F24"/>
                <w:sz w:val="19"/>
              </w:rPr>
              <w:t xml:space="preserve"> copy for Hyderabad</w:t>
            </w:r>
          </w:p>
        </w:tc>
      </w:tr>
      <w:tr w14:paraId="59383C9C">
        <w:tc>
          <w:tcPr>
            <w:tcW w:w="3120" w:type="dxa"/>
            <w:shd w:val="clear" w:color="auto" w:fill="F3F0FC"/>
            <w:tcMar>
              <w:top w:w="55" w:type="dxa"/>
              <w:left w:w="100" w:type="dxa"/>
              <w:bottom w:w="55" w:type="dxa"/>
              <w:right w:w="100" w:type="dxa"/>
            </w:tcMar>
            <w:vAlign w:val="center"/>
          </w:tcPr>
          <w:p w14:paraId="561D831D">
            <w:pPr>
              <w:spacing w:before="20" w:after="20" w:line="252" w:lineRule="auto"/>
              <w:jc w:val="center"/>
            </w:pPr>
            <w:r>
              <w:rPr>
                <w:rFonts w:ascii="Calibri" w:hAnsi="Calibri"/>
                <w:b/>
                <w:color w:val="321E60"/>
                <w:sz w:val="19"/>
              </w:rPr>
              <w:t>Client</w:t>
            </w:r>
          </w:p>
        </w:tc>
        <w:tc>
          <w:tcPr>
            <w:tcW w:w="7202" w:type="dxa"/>
            <w:shd w:val="clear" w:color="auto" w:fill="FBFAFE"/>
            <w:tcMar>
              <w:top w:w="55" w:type="dxa"/>
              <w:left w:w="100" w:type="dxa"/>
              <w:bottom w:w="55" w:type="dxa"/>
              <w:right w:w="100" w:type="dxa"/>
            </w:tcMar>
            <w:vAlign w:val="center"/>
          </w:tcPr>
          <w:p w14:paraId="5F52E0AA">
            <w:pPr>
              <w:spacing w:before="20" w:after="20" w:line="252" w:lineRule="auto"/>
              <w:jc w:val="center"/>
            </w:pPr>
            <w:r>
              <w:rPr>
                <w:rFonts w:ascii="Calibri" w:hAnsi="Calibri"/>
                <w:b w:val="0"/>
                <w:color w:val="1F1F24"/>
                <w:sz w:val="19"/>
              </w:rPr>
              <w:t>Worker X</w:t>
            </w:r>
          </w:p>
        </w:tc>
      </w:tr>
      <w:tr w14:paraId="67C122C2">
        <w:tc>
          <w:tcPr>
            <w:tcW w:w="3120" w:type="dxa"/>
            <w:shd w:val="clear" w:color="auto" w:fill="F3F0FC"/>
            <w:tcMar>
              <w:top w:w="55" w:type="dxa"/>
              <w:left w:w="100" w:type="dxa"/>
              <w:bottom w:w="55" w:type="dxa"/>
              <w:right w:w="100" w:type="dxa"/>
            </w:tcMar>
            <w:vAlign w:val="center"/>
          </w:tcPr>
          <w:p w14:paraId="6BFA27DA">
            <w:pPr>
              <w:spacing w:before="20" w:after="20" w:line="252" w:lineRule="auto"/>
              <w:jc w:val="center"/>
            </w:pPr>
            <w:r>
              <w:rPr>
                <w:rFonts w:ascii="Calibri" w:hAnsi="Calibri"/>
                <w:b/>
                <w:color w:val="321E60"/>
                <w:sz w:val="19"/>
              </w:rPr>
              <w:t>Delivery location</w:t>
            </w:r>
          </w:p>
        </w:tc>
        <w:tc>
          <w:tcPr>
            <w:tcW w:w="7202" w:type="dxa"/>
            <w:tcMar>
              <w:top w:w="55" w:type="dxa"/>
              <w:left w:w="100" w:type="dxa"/>
              <w:bottom w:w="55" w:type="dxa"/>
              <w:right w:w="100" w:type="dxa"/>
            </w:tcMar>
            <w:vAlign w:val="center"/>
          </w:tcPr>
          <w:p w14:paraId="36D97E60">
            <w:pPr>
              <w:spacing w:before="20" w:after="20" w:line="252" w:lineRule="auto"/>
              <w:jc w:val="center"/>
            </w:pPr>
            <w:r>
              <w:rPr>
                <w:rFonts w:ascii="Calibri" w:hAnsi="Calibri"/>
                <w:b w:val="0"/>
                <w:color w:val="1F1F24"/>
                <w:sz w:val="19"/>
              </w:rPr>
              <w:t>Hyderabad, Telangana</w:t>
            </w:r>
          </w:p>
        </w:tc>
      </w:tr>
      <w:tr w14:paraId="49C1965E">
        <w:tc>
          <w:tcPr>
            <w:tcW w:w="3120" w:type="dxa"/>
            <w:shd w:val="clear" w:color="auto" w:fill="F3F0FC"/>
            <w:tcMar>
              <w:top w:w="55" w:type="dxa"/>
              <w:left w:w="100" w:type="dxa"/>
              <w:bottom w:w="55" w:type="dxa"/>
              <w:right w:w="100" w:type="dxa"/>
            </w:tcMar>
            <w:vAlign w:val="center"/>
          </w:tcPr>
          <w:p w14:paraId="4720E85F">
            <w:pPr>
              <w:spacing w:before="20" w:after="20" w:line="252" w:lineRule="auto"/>
              <w:jc w:val="center"/>
            </w:pPr>
            <w:r>
              <w:rPr>
                <w:rFonts w:ascii="Calibri" w:hAnsi="Calibri"/>
                <w:b/>
                <w:color w:val="321E60"/>
                <w:sz w:val="19"/>
              </w:rPr>
              <w:t>Engagement</w:t>
            </w:r>
          </w:p>
        </w:tc>
        <w:tc>
          <w:tcPr>
            <w:tcW w:w="7202" w:type="dxa"/>
            <w:shd w:val="clear" w:color="auto" w:fill="FBFAFE"/>
            <w:tcMar>
              <w:top w:w="55" w:type="dxa"/>
              <w:left w:w="100" w:type="dxa"/>
              <w:bottom w:w="55" w:type="dxa"/>
              <w:right w:w="100" w:type="dxa"/>
            </w:tcMar>
            <w:vAlign w:val="center"/>
          </w:tcPr>
          <w:p w14:paraId="20F6480E">
            <w:pPr>
              <w:spacing w:before="20" w:after="20" w:line="252" w:lineRule="auto"/>
              <w:jc w:val="center"/>
            </w:pPr>
            <w:r>
              <w:rPr>
                <w:rFonts w:ascii="Calibri" w:hAnsi="Calibri"/>
                <w:b w:val="0"/>
                <w:color w:val="1F1F24"/>
                <w:sz w:val="19"/>
              </w:rPr>
              <w:t>Fixed-price application build with monthly managed services</w:t>
            </w:r>
          </w:p>
        </w:tc>
      </w:tr>
      <w:tr w14:paraId="461934A9">
        <w:tc>
          <w:tcPr>
            <w:tcW w:w="3120" w:type="dxa"/>
            <w:shd w:val="clear" w:color="auto" w:fill="F3F0FC"/>
            <w:tcMar>
              <w:top w:w="55" w:type="dxa"/>
              <w:left w:w="100" w:type="dxa"/>
              <w:bottom w:w="55" w:type="dxa"/>
              <w:right w:w="100" w:type="dxa"/>
            </w:tcMar>
            <w:vAlign w:val="center"/>
          </w:tcPr>
          <w:p w14:paraId="385ACE04">
            <w:pPr>
              <w:spacing w:before="20" w:after="20" w:line="252" w:lineRule="auto"/>
              <w:jc w:val="center"/>
            </w:pPr>
            <w:r>
              <w:rPr>
                <w:rFonts w:ascii="Calibri" w:hAnsi="Calibri"/>
                <w:b/>
                <w:color w:val="321E60"/>
                <w:sz w:val="19"/>
              </w:rPr>
              <w:t>Work arrangement</w:t>
            </w:r>
          </w:p>
        </w:tc>
        <w:tc>
          <w:tcPr>
            <w:tcW w:w="7202" w:type="dxa"/>
            <w:tcMar>
              <w:top w:w="55" w:type="dxa"/>
              <w:left w:w="100" w:type="dxa"/>
              <w:bottom w:w="55" w:type="dxa"/>
              <w:right w:w="100" w:type="dxa"/>
            </w:tcMar>
            <w:vAlign w:val="center"/>
          </w:tcPr>
          <w:p w14:paraId="66242DFD">
            <w:pPr>
              <w:spacing w:before="20" w:after="20" w:line="252" w:lineRule="auto"/>
              <w:jc w:val="center"/>
            </w:pPr>
            <w:r>
              <w:rPr>
                <w:rFonts w:ascii="Calibri" w:hAnsi="Calibri"/>
                <w:b w:val="0"/>
                <w:color w:val="1F1F24"/>
                <w:sz w:val="19"/>
              </w:rPr>
              <w:t>Remote</w:t>
            </w:r>
          </w:p>
        </w:tc>
      </w:tr>
      <w:tr w14:paraId="5C6755FC">
        <w:tc>
          <w:tcPr>
            <w:tcW w:w="3120" w:type="dxa"/>
            <w:shd w:val="clear" w:color="auto" w:fill="F3F0FC"/>
            <w:tcMar>
              <w:top w:w="55" w:type="dxa"/>
              <w:left w:w="100" w:type="dxa"/>
              <w:bottom w:w="55" w:type="dxa"/>
              <w:right w:w="100" w:type="dxa"/>
            </w:tcMar>
            <w:vAlign w:val="center"/>
          </w:tcPr>
          <w:p w14:paraId="2503B66A">
            <w:pPr>
              <w:spacing w:before="20" w:after="20" w:line="252" w:lineRule="auto"/>
              <w:jc w:val="center"/>
            </w:pPr>
            <w:r>
              <w:rPr>
                <w:rFonts w:ascii="Calibri" w:hAnsi="Calibri"/>
                <w:b/>
                <w:color w:val="321E60"/>
                <w:sz w:val="19"/>
              </w:rPr>
              <w:t>Proposed start</w:t>
            </w:r>
          </w:p>
        </w:tc>
        <w:tc>
          <w:tcPr>
            <w:tcW w:w="7202" w:type="dxa"/>
            <w:shd w:val="clear" w:color="auto" w:fill="FBFAFE"/>
            <w:tcMar>
              <w:top w:w="55" w:type="dxa"/>
              <w:left w:w="100" w:type="dxa"/>
              <w:bottom w:w="55" w:type="dxa"/>
              <w:right w:w="100" w:type="dxa"/>
            </w:tcMar>
            <w:vAlign w:val="center"/>
          </w:tcPr>
          <w:p w14:paraId="28D5A2C7">
            <w:pPr>
              <w:spacing w:before="20" w:after="20" w:line="252" w:lineRule="auto"/>
              <w:jc w:val="center"/>
            </w:pPr>
            <w:r>
              <w:rPr>
                <w:rFonts w:hint="default"/>
                <w:b w:val="0"/>
                <w:color w:val="1F1F24"/>
                <w:sz w:val="19"/>
                <w:lang w:val="en-US"/>
              </w:rPr>
              <w:t xml:space="preserve">17 August </w:t>
            </w:r>
            <w:r>
              <w:rPr>
                <w:rFonts w:ascii="Calibri" w:hAnsi="Calibri"/>
                <w:b w:val="0"/>
                <w:color w:val="1F1F24"/>
                <w:sz w:val="19"/>
              </w:rPr>
              <w:t xml:space="preserve"> 2026</w:t>
            </w:r>
          </w:p>
        </w:tc>
      </w:tr>
      <w:tr w14:paraId="2230E937">
        <w:tc>
          <w:tcPr>
            <w:tcW w:w="3120" w:type="dxa"/>
            <w:shd w:val="clear" w:color="auto" w:fill="F3F0FC"/>
            <w:tcMar>
              <w:top w:w="55" w:type="dxa"/>
              <w:left w:w="100" w:type="dxa"/>
              <w:bottom w:w="55" w:type="dxa"/>
              <w:right w:w="100" w:type="dxa"/>
            </w:tcMar>
            <w:vAlign w:val="center"/>
          </w:tcPr>
          <w:p w14:paraId="51A7A588">
            <w:pPr>
              <w:spacing w:before="20" w:after="20" w:line="252" w:lineRule="auto"/>
              <w:jc w:val="center"/>
            </w:pPr>
            <w:r>
              <w:rPr>
                <w:rFonts w:ascii="Calibri" w:hAnsi="Calibri"/>
                <w:b/>
                <w:color w:val="321E60"/>
                <w:sz w:val="19"/>
              </w:rPr>
              <w:t>Build window</w:t>
            </w:r>
          </w:p>
        </w:tc>
        <w:tc>
          <w:tcPr>
            <w:tcW w:w="7202" w:type="dxa"/>
            <w:tcMar>
              <w:top w:w="55" w:type="dxa"/>
              <w:left w:w="100" w:type="dxa"/>
              <w:bottom w:w="55" w:type="dxa"/>
              <w:right w:w="100" w:type="dxa"/>
            </w:tcMar>
            <w:vAlign w:val="center"/>
          </w:tcPr>
          <w:p w14:paraId="730A5C7A">
            <w:pPr>
              <w:spacing w:before="20" w:after="20" w:line="252" w:lineRule="auto"/>
              <w:jc w:val="center"/>
            </w:pPr>
            <w:r>
              <w:rPr>
                <w:rFonts w:ascii="Calibri" w:hAnsi="Calibri"/>
                <w:b w:val="0"/>
                <w:color w:val="1F1F24"/>
                <w:sz w:val="19"/>
              </w:rPr>
              <w:t>Approximately 4 to 6 weeks from kickoff, subject to timely content, approvals, and store accounts</w:t>
            </w:r>
          </w:p>
        </w:tc>
      </w:tr>
      <w:tr w14:paraId="7ABB4B58">
        <w:tc>
          <w:tcPr>
            <w:tcW w:w="3120" w:type="dxa"/>
            <w:shd w:val="clear" w:color="auto" w:fill="F3F0FC"/>
            <w:tcMar>
              <w:top w:w="55" w:type="dxa"/>
              <w:left w:w="100" w:type="dxa"/>
              <w:bottom w:w="55" w:type="dxa"/>
              <w:right w:w="100" w:type="dxa"/>
            </w:tcMar>
            <w:vAlign w:val="center"/>
          </w:tcPr>
          <w:p w14:paraId="0A44E274">
            <w:pPr>
              <w:spacing w:before="20" w:after="20" w:line="252" w:lineRule="auto"/>
              <w:jc w:val="center"/>
            </w:pPr>
            <w:r>
              <w:rPr>
                <w:rFonts w:ascii="Calibri" w:hAnsi="Calibri"/>
                <w:b/>
                <w:color w:val="321E60"/>
                <w:sz w:val="19"/>
              </w:rPr>
              <w:t>One-time build fee</w:t>
            </w:r>
          </w:p>
        </w:tc>
        <w:tc>
          <w:tcPr>
            <w:tcW w:w="7202" w:type="dxa"/>
            <w:shd w:val="clear" w:color="auto" w:fill="FBFAFE"/>
            <w:tcMar>
              <w:top w:w="55" w:type="dxa"/>
              <w:left w:w="100" w:type="dxa"/>
              <w:bottom w:w="55" w:type="dxa"/>
              <w:right w:w="100" w:type="dxa"/>
            </w:tcMar>
            <w:vAlign w:val="center"/>
          </w:tcPr>
          <w:p w14:paraId="0F08A8EE">
            <w:pPr>
              <w:spacing w:before="20" w:after="20" w:line="252" w:lineRule="auto"/>
              <w:jc w:val="center"/>
            </w:pPr>
            <w:r>
              <w:rPr>
                <w:rFonts w:ascii="Calibri" w:hAnsi="Calibri"/>
                <w:b w:val="0"/>
                <w:color w:val="1F1F24"/>
                <w:sz w:val="19"/>
              </w:rPr>
              <w:t>INR 60,000</w:t>
            </w:r>
          </w:p>
        </w:tc>
      </w:tr>
      <w:tr w14:paraId="4F914B65">
        <w:tc>
          <w:tcPr>
            <w:tcW w:w="3120" w:type="dxa"/>
            <w:shd w:val="clear" w:color="auto" w:fill="F3F0FC"/>
            <w:tcMar>
              <w:top w:w="55" w:type="dxa"/>
              <w:left w:w="100" w:type="dxa"/>
              <w:bottom w:w="55" w:type="dxa"/>
              <w:right w:w="100" w:type="dxa"/>
            </w:tcMar>
            <w:vAlign w:val="center"/>
          </w:tcPr>
          <w:p w14:paraId="6C73805A">
            <w:pPr>
              <w:spacing w:before="20" w:after="20" w:line="252" w:lineRule="auto"/>
              <w:jc w:val="center"/>
            </w:pPr>
            <w:r>
              <w:rPr>
                <w:rFonts w:ascii="Calibri" w:hAnsi="Calibri"/>
                <w:b/>
                <w:color w:val="321E60"/>
                <w:sz w:val="19"/>
              </w:rPr>
              <w:t>Monthly managed services</w:t>
            </w:r>
          </w:p>
        </w:tc>
        <w:tc>
          <w:tcPr>
            <w:tcW w:w="7202" w:type="dxa"/>
            <w:tcMar>
              <w:top w:w="55" w:type="dxa"/>
              <w:left w:w="100" w:type="dxa"/>
              <w:bottom w:w="55" w:type="dxa"/>
              <w:right w:w="100" w:type="dxa"/>
            </w:tcMar>
            <w:vAlign w:val="center"/>
          </w:tcPr>
          <w:p w14:paraId="44723DB5">
            <w:pPr>
              <w:spacing w:before="20" w:after="20" w:line="252" w:lineRule="auto"/>
              <w:jc w:val="center"/>
            </w:pPr>
            <w:r>
              <w:rPr>
                <w:rFonts w:ascii="Calibri" w:hAnsi="Calibri"/>
                <w:b w:val="0"/>
                <w:color w:val="1F1F24"/>
                <w:sz w:val="19"/>
              </w:rPr>
              <w:t>INR 10,000 per month</w:t>
            </w:r>
          </w:p>
        </w:tc>
      </w:tr>
      <w:tr w14:paraId="085D3BCF">
        <w:tc>
          <w:tcPr>
            <w:tcW w:w="3120" w:type="dxa"/>
            <w:shd w:val="clear" w:color="auto" w:fill="F3F0FC"/>
            <w:tcMar>
              <w:top w:w="55" w:type="dxa"/>
              <w:left w:w="100" w:type="dxa"/>
              <w:bottom w:w="55" w:type="dxa"/>
              <w:right w:w="100" w:type="dxa"/>
            </w:tcMar>
            <w:vAlign w:val="center"/>
          </w:tcPr>
          <w:p w14:paraId="407EF9E6">
            <w:pPr>
              <w:spacing w:before="20" w:after="20" w:line="252" w:lineRule="auto"/>
              <w:jc w:val="center"/>
            </w:pPr>
            <w:r>
              <w:rPr>
                <w:rFonts w:ascii="Calibri" w:hAnsi="Calibri"/>
                <w:b/>
                <w:color w:val="321E60"/>
                <w:sz w:val="19"/>
              </w:rPr>
              <w:t>Quotation valid until</w:t>
            </w:r>
          </w:p>
        </w:tc>
        <w:tc>
          <w:tcPr>
            <w:tcW w:w="7202" w:type="dxa"/>
            <w:shd w:val="clear" w:color="auto" w:fill="FBFAFE"/>
            <w:tcMar>
              <w:top w:w="55" w:type="dxa"/>
              <w:left w:w="100" w:type="dxa"/>
              <w:bottom w:w="55" w:type="dxa"/>
              <w:right w:w="100" w:type="dxa"/>
            </w:tcMar>
            <w:vAlign w:val="center"/>
          </w:tcPr>
          <w:p w14:paraId="64EE7EA1">
            <w:pPr>
              <w:spacing w:before="20" w:after="20" w:line="252" w:lineRule="auto"/>
              <w:jc w:val="center"/>
            </w:pPr>
            <w:r>
              <w:rPr>
                <w:rFonts w:ascii="Calibri" w:hAnsi="Calibri"/>
                <w:b w:val="0"/>
                <w:color w:val="1F1F24"/>
                <w:sz w:val="19"/>
              </w:rPr>
              <w:t>28 August 2026</w:t>
            </w:r>
          </w:p>
        </w:tc>
      </w:tr>
    </w:tbl>
    <w:p w14:paraId="50148373">
      <w:pPr>
        <w:spacing w:after="40"/>
      </w:pPr>
    </w:p>
    <w:p w14:paraId="6B0A483E">
      <w:pPr>
        <w:spacing w:after="120"/>
      </w:pPr>
      <w:r>
        <w:rPr>
          <w:rFonts w:ascii="Calibri" w:hAnsi="Calibri"/>
          <w:i/>
          <w:color w:val="60636E"/>
          <w:sz w:val="19"/>
        </w:rPr>
        <w:t>All amounts are in Indian Rupees and exclusive of applicable GST unless stated otherwise.</w:t>
      </w:r>
    </w:p>
    <w:p w14:paraId="023A9329">
      <w:pPr>
        <w:pStyle w:val="2"/>
      </w:pPr>
      <w:r>
        <w:t>2. Project understanding</w:t>
      </w:r>
    </w:p>
    <w:p w14:paraId="6B135561">
      <w:pPr>
        <w:pStyle w:val="3"/>
      </w:pPr>
      <w:r>
        <w:t>What Worker X is</w:t>
      </w:r>
    </w:p>
    <w:p w14:paraId="04EF1683">
      <w:pPr>
        <w:keepLines w:val="0"/>
      </w:pPr>
      <w:r>
        <w:t xml:space="preserve">Worker X is a worker-facing marketplace for Hyderabad. It copies the practical worker loop of Pronto (see available shift, claim it, check in, get paid) and the nearby-job loop of </w:t>
      </w:r>
      <w:r>
        <w:rPr>
          <w:lang w:val="en-US"/>
        </w:rPr>
        <w:t>Snabbit</w:t>
      </w:r>
      <w:r>
        <w:t xml:space="preserve"> (browse local work, apply quickly, track status). The first release is for workers in Hyderabad, not a national multi-city platform and not an employer-suite rebuild.</w:t>
      </w:r>
    </w:p>
    <w:p w14:paraId="26EC480B">
      <w:pPr>
        <w:pStyle w:val="3"/>
      </w:pPr>
      <w:r>
        <w:t>Why this quotation is structured this way</w:t>
      </w:r>
    </w:p>
    <w:p w14:paraId="3EFBA273">
      <w:pPr>
        <w:keepLines w:val="0"/>
      </w:pPr>
      <w:r>
        <w:t>The one-time fee of INR 60,000 covers the build, server setup, deployment, localization, and launch support. The monthly fee of INR 10,000 is a managed-services retainer for bug management and content updates after go-live. New feature work, extra products, or paid media campaigns are outside this quotation.</w:t>
      </w:r>
    </w:p>
    <w:p w14:paraId="17088DBC">
      <w:pPr>
        <w:pStyle w:val="2"/>
      </w:pPr>
      <w:r>
        <w:t>3. Scope of work — first release</w:t>
      </w:r>
    </w:p>
    <w:p w14:paraId="71B2BD54">
      <w:pPr>
        <w:spacing w:after="120"/>
      </w:pPr>
      <w:r>
        <w:t xml:space="preserve">The first release maps Pronto and </w:t>
      </w:r>
      <w:r>
        <w:rPr>
          <w:lang w:val="en-US"/>
        </w:rPr>
        <w:t>Snabbit</w:t>
      </w:r>
      <w:r>
        <w:t xml:space="preserve"> worker capabilities onto a single Hyderabad product. The table below is the agreed reference, not a licence of those brands.</w:t>
      </w:r>
    </w:p>
    <w:tbl>
      <w:tblPr>
        <w:tblStyle w:val="35"/>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2500"/>
        <w:gridCol w:w="2500"/>
        <w:gridCol w:w="3122"/>
      </w:tblGrid>
      <w:tr w14:paraId="0E61BC88">
        <w:tc>
          <w:tcPr>
            <w:tcW w:w="2200" w:type="dxa"/>
            <w:shd w:val="clear" w:color="auto" w:fill="5B2DCB"/>
            <w:tcMar>
              <w:top w:w="55" w:type="dxa"/>
              <w:left w:w="100" w:type="dxa"/>
              <w:bottom w:w="55" w:type="dxa"/>
              <w:right w:w="100" w:type="dxa"/>
            </w:tcMar>
            <w:vAlign w:val="center"/>
          </w:tcPr>
          <w:p w14:paraId="290C2E09">
            <w:pPr>
              <w:spacing w:before="20" w:after="20"/>
              <w:jc w:val="center"/>
            </w:pPr>
            <w:r>
              <w:rPr>
                <w:rFonts w:ascii="Calibri" w:hAnsi="Calibri"/>
                <w:b/>
                <w:color w:val="FFFFFF"/>
                <w:sz w:val="18"/>
              </w:rPr>
              <w:t>Capability</w:t>
            </w:r>
          </w:p>
        </w:tc>
        <w:tc>
          <w:tcPr>
            <w:tcW w:w="2500" w:type="dxa"/>
            <w:shd w:val="clear" w:color="auto" w:fill="5B2DCB"/>
            <w:tcMar>
              <w:top w:w="55" w:type="dxa"/>
              <w:left w:w="100" w:type="dxa"/>
              <w:bottom w:w="55" w:type="dxa"/>
              <w:right w:w="100" w:type="dxa"/>
            </w:tcMar>
            <w:vAlign w:val="center"/>
          </w:tcPr>
          <w:p w14:paraId="12B2136B">
            <w:pPr>
              <w:spacing w:before="20" w:after="20"/>
              <w:jc w:val="center"/>
            </w:pPr>
            <w:r>
              <w:rPr>
                <w:rFonts w:ascii="Calibri" w:hAnsi="Calibri"/>
                <w:b/>
                <w:color w:val="FFFFFF"/>
                <w:sz w:val="18"/>
              </w:rPr>
              <w:t>Pronto-style</w:t>
            </w:r>
          </w:p>
        </w:tc>
        <w:tc>
          <w:tcPr>
            <w:tcW w:w="2500" w:type="dxa"/>
            <w:shd w:val="clear" w:color="auto" w:fill="5B2DCB"/>
            <w:tcMar>
              <w:top w:w="55" w:type="dxa"/>
              <w:left w:w="100" w:type="dxa"/>
              <w:bottom w:w="55" w:type="dxa"/>
              <w:right w:w="100" w:type="dxa"/>
            </w:tcMar>
            <w:vAlign w:val="center"/>
          </w:tcPr>
          <w:p w14:paraId="1A74173D">
            <w:pPr>
              <w:spacing w:before="20" w:after="20"/>
              <w:jc w:val="center"/>
            </w:pPr>
            <w:r>
              <w:rPr>
                <w:b/>
                <w:color w:val="FFFFFF"/>
                <w:sz w:val="18"/>
                <w:lang w:val="en-US"/>
              </w:rPr>
              <w:t>Snabbit</w:t>
            </w:r>
            <w:r>
              <w:rPr>
                <w:rFonts w:ascii="Calibri" w:hAnsi="Calibri"/>
                <w:b/>
                <w:color w:val="FFFFFF"/>
                <w:sz w:val="18"/>
              </w:rPr>
              <w:t>-style</w:t>
            </w:r>
          </w:p>
        </w:tc>
        <w:tc>
          <w:tcPr>
            <w:tcW w:w="3122" w:type="dxa"/>
            <w:shd w:val="clear" w:color="auto" w:fill="5B2DCB"/>
            <w:tcMar>
              <w:top w:w="55" w:type="dxa"/>
              <w:left w:w="100" w:type="dxa"/>
              <w:bottom w:w="55" w:type="dxa"/>
              <w:right w:w="100" w:type="dxa"/>
            </w:tcMar>
            <w:vAlign w:val="center"/>
          </w:tcPr>
          <w:p w14:paraId="1E61202C">
            <w:pPr>
              <w:spacing w:before="20" w:after="20"/>
              <w:jc w:val="center"/>
            </w:pPr>
            <w:r>
              <w:rPr>
                <w:rFonts w:ascii="Calibri" w:hAnsi="Calibri"/>
                <w:b/>
                <w:color w:val="FFFFFF"/>
                <w:sz w:val="18"/>
              </w:rPr>
              <w:t>Worker X (Hyderabad)</w:t>
            </w:r>
          </w:p>
        </w:tc>
      </w:tr>
      <w:tr w14:paraId="386F8237">
        <w:tc>
          <w:tcPr>
            <w:tcW w:w="2200" w:type="dxa"/>
            <w:tcMar>
              <w:top w:w="55" w:type="dxa"/>
              <w:left w:w="100" w:type="dxa"/>
              <w:bottom w:w="55" w:type="dxa"/>
              <w:right w:w="100" w:type="dxa"/>
            </w:tcMar>
            <w:vAlign w:val="center"/>
          </w:tcPr>
          <w:p w14:paraId="5E23935F">
            <w:pPr>
              <w:spacing w:before="20" w:after="20"/>
              <w:jc w:val="center"/>
            </w:pPr>
            <w:r>
              <w:rPr>
                <w:rFonts w:ascii="Calibri" w:hAnsi="Calibri"/>
                <w:b w:val="0"/>
                <w:color w:val="1F1F24"/>
                <w:sz w:val="19"/>
              </w:rPr>
              <w:t>Find work</w:t>
            </w:r>
          </w:p>
        </w:tc>
        <w:tc>
          <w:tcPr>
            <w:tcW w:w="2500" w:type="dxa"/>
            <w:tcMar>
              <w:top w:w="55" w:type="dxa"/>
              <w:left w:w="100" w:type="dxa"/>
              <w:bottom w:w="55" w:type="dxa"/>
              <w:right w:w="100" w:type="dxa"/>
            </w:tcMar>
            <w:vAlign w:val="center"/>
          </w:tcPr>
          <w:p w14:paraId="675E026A">
            <w:pPr>
              <w:spacing w:before="20" w:after="20"/>
              <w:jc w:val="center"/>
            </w:pPr>
            <w:r>
              <w:rPr>
                <w:rFonts w:ascii="Calibri" w:hAnsi="Calibri"/>
                <w:b w:val="0"/>
                <w:color w:val="1F1F24"/>
                <w:sz w:val="19"/>
              </w:rPr>
              <w:t>Open shifts by time and site</w:t>
            </w:r>
          </w:p>
        </w:tc>
        <w:tc>
          <w:tcPr>
            <w:tcW w:w="2500" w:type="dxa"/>
            <w:tcMar>
              <w:top w:w="55" w:type="dxa"/>
              <w:left w:w="100" w:type="dxa"/>
              <w:bottom w:w="55" w:type="dxa"/>
              <w:right w:w="100" w:type="dxa"/>
            </w:tcMar>
            <w:vAlign w:val="center"/>
          </w:tcPr>
          <w:p w14:paraId="55D3CC30">
            <w:pPr>
              <w:spacing w:before="20" w:after="20"/>
              <w:jc w:val="center"/>
            </w:pPr>
            <w:r>
              <w:rPr>
                <w:rFonts w:ascii="Calibri" w:hAnsi="Calibri"/>
                <w:b w:val="0"/>
                <w:color w:val="1F1F24"/>
                <w:sz w:val="19"/>
              </w:rPr>
              <w:t>Nearby jobs on a map/list</w:t>
            </w:r>
          </w:p>
        </w:tc>
        <w:tc>
          <w:tcPr>
            <w:tcW w:w="3122" w:type="dxa"/>
            <w:tcMar>
              <w:top w:w="55" w:type="dxa"/>
              <w:left w:w="100" w:type="dxa"/>
              <w:bottom w:w="55" w:type="dxa"/>
              <w:right w:w="100" w:type="dxa"/>
            </w:tcMar>
            <w:vAlign w:val="center"/>
          </w:tcPr>
          <w:p w14:paraId="3D85586E">
            <w:pPr>
              <w:spacing w:before="20" w:after="20"/>
              <w:jc w:val="center"/>
            </w:pPr>
            <w:r>
              <w:rPr>
                <w:rFonts w:ascii="Calibri" w:hAnsi="Calibri"/>
                <w:b w:val="0"/>
                <w:color w:val="1F1F24"/>
                <w:sz w:val="19"/>
              </w:rPr>
              <w:t>Hyderabad zone feed of shifts and nearby jobs</w:t>
            </w:r>
          </w:p>
        </w:tc>
      </w:tr>
      <w:tr w14:paraId="098B1DC8">
        <w:tc>
          <w:tcPr>
            <w:tcW w:w="2200" w:type="dxa"/>
            <w:shd w:val="clear" w:color="auto" w:fill="FBFAFE"/>
            <w:tcMar>
              <w:top w:w="55" w:type="dxa"/>
              <w:left w:w="100" w:type="dxa"/>
              <w:bottom w:w="55" w:type="dxa"/>
              <w:right w:w="100" w:type="dxa"/>
            </w:tcMar>
            <w:vAlign w:val="center"/>
          </w:tcPr>
          <w:p w14:paraId="1468A823">
            <w:pPr>
              <w:spacing w:before="20" w:after="20"/>
              <w:jc w:val="center"/>
            </w:pPr>
            <w:r>
              <w:rPr>
                <w:rFonts w:ascii="Calibri" w:hAnsi="Calibri"/>
                <w:b w:val="0"/>
                <w:color w:val="1F1F24"/>
                <w:sz w:val="19"/>
              </w:rPr>
              <w:t>Take work</w:t>
            </w:r>
          </w:p>
        </w:tc>
        <w:tc>
          <w:tcPr>
            <w:tcW w:w="2500" w:type="dxa"/>
            <w:shd w:val="clear" w:color="auto" w:fill="FBFAFE"/>
            <w:tcMar>
              <w:top w:w="55" w:type="dxa"/>
              <w:left w:w="100" w:type="dxa"/>
              <w:bottom w:w="55" w:type="dxa"/>
              <w:right w:w="100" w:type="dxa"/>
            </w:tcMar>
            <w:vAlign w:val="center"/>
          </w:tcPr>
          <w:p w14:paraId="299B76D7">
            <w:pPr>
              <w:spacing w:before="20" w:after="20"/>
              <w:jc w:val="center"/>
            </w:pPr>
            <w:r>
              <w:rPr>
                <w:rFonts w:ascii="Calibri" w:hAnsi="Calibri"/>
                <w:b w:val="0"/>
                <w:color w:val="1F1F24"/>
                <w:sz w:val="19"/>
              </w:rPr>
              <w:t>Claim / confirm a shift</w:t>
            </w:r>
          </w:p>
        </w:tc>
        <w:tc>
          <w:tcPr>
            <w:tcW w:w="2500" w:type="dxa"/>
            <w:shd w:val="clear" w:color="auto" w:fill="FBFAFE"/>
            <w:tcMar>
              <w:top w:w="55" w:type="dxa"/>
              <w:left w:w="100" w:type="dxa"/>
              <w:bottom w:w="55" w:type="dxa"/>
              <w:right w:w="100" w:type="dxa"/>
            </w:tcMar>
            <w:vAlign w:val="center"/>
          </w:tcPr>
          <w:p w14:paraId="306D02CE">
            <w:pPr>
              <w:spacing w:before="20" w:after="20"/>
              <w:jc w:val="center"/>
            </w:pPr>
            <w:r>
              <w:rPr>
                <w:rFonts w:ascii="Calibri" w:hAnsi="Calibri"/>
                <w:b w:val="0"/>
                <w:color w:val="1F1F24"/>
                <w:sz w:val="19"/>
              </w:rPr>
              <w:t>Quick apply from the job card</w:t>
            </w:r>
          </w:p>
        </w:tc>
        <w:tc>
          <w:tcPr>
            <w:tcW w:w="3122" w:type="dxa"/>
            <w:shd w:val="clear" w:color="auto" w:fill="FBFAFE"/>
            <w:tcMar>
              <w:top w:w="55" w:type="dxa"/>
              <w:left w:w="100" w:type="dxa"/>
              <w:bottom w:w="55" w:type="dxa"/>
              <w:right w:w="100" w:type="dxa"/>
            </w:tcMar>
            <w:vAlign w:val="center"/>
          </w:tcPr>
          <w:p w14:paraId="313DBB80">
            <w:pPr>
              <w:spacing w:before="20" w:after="20"/>
              <w:jc w:val="center"/>
            </w:pPr>
            <w:r>
              <w:rPr>
                <w:rFonts w:ascii="Calibri" w:hAnsi="Calibri"/>
                <w:b w:val="0"/>
                <w:color w:val="1F1F24"/>
                <w:sz w:val="19"/>
              </w:rPr>
              <w:t>Claim shift or apply to a local job in-app</w:t>
            </w:r>
          </w:p>
        </w:tc>
      </w:tr>
      <w:tr w14:paraId="21067CF1">
        <w:tc>
          <w:tcPr>
            <w:tcW w:w="2200" w:type="dxa"/>
            <w:tcMar>
              <w:top w:w="55" w:type="dxa"/>
              <w:left w:w="100" w:type="dxa"/>
              <w:bottom w:w="55" w:type="dxa"/>
              <w:right w:w="100" w:type="dxa"/>
            </w:tcMar>
            <w:vAlign w:val="center"/>
          </w:tcPr>
          <w:p w14:paraId="429A2D24">
            <w:pPr>
              <w:spacing w:before="20" w:after="20"/>
              <w:jc w:val="center"/>
            </w:pPr>
            <w:r>
              <w:rPr>
                <w:rFonts w:ascii="Calibri" w:hAnsi="Calibri"/>
                <w:b w:val="0"/>
                <w:color w:val="1F1F24"/>
                <w:sz w:val="19"/>
              </w:rPr>
              <w:t>Do work</w:t>
            </w:r>
          </w:p>
        </w:tc>
        <w:tc>
          <w:tcPr>
            <w:tcW w:w="2500" w:type="dxa"/>
            <w:tcMar>
              <w:top w:w="55" w:type="dxa"/>
              <w:left w:w="100" w:type="dxa"/>
              <w:bottom w:w="55" w:type="dxa"/>
              <w:right w:w="100" w:type="dxa"/>
            </w:tcMar>
            <w:vAlign w:val="center"/>
          </w:tcPr>
          <w:p w14:paraId="268FB95D">
            <w:pPr>
              <w:spacing w:before="20" w:after="20"/>
              <w:jc w:val="center"/>
            </w:pPr>
            <w:r>
              <w:rPr>
                <w:rFonts w:ascii="Calibri" w:hAnsi="Calibri"/>
                <w:b w:val="0"/>
                <w:color w:val="1F1F24"/>
                <w:sz w:val="19"/>
              </w:rPr>
              <w:t>Geo check-in / check-out</w:t>
            </w:r>
          </w:p>
        </w:tc>
        <w:tc>
          <w:tcPr>
            <w:tcW w:w="2500" w:type="dxa"/>
            <w:tcMar>
              <w:top w:w="55" w:type="dxa"/>
              <w:left w:w="100" w:type="dxa"/>
              <w:bottom w:w="55" w:type="dxa"/>
              <w:right w:w="100" w:type="dxa"/>
            </w:tcMar>
            <w:vAlign w:val="center"/>
          </w:tcPr>
          <w:p w14:paraId="1DE13B19">
            <w:pPr>
              <w:spacing w:before="20" w:after="20"/>
              <w:jc w:val="center"/>
            </w:pPr>
            <w:r>
              <w:rPr>
                <w:rFonts w:ascii="Calibri" w:hAnsi="Calibri"/>
                <w:b w:val="0"/>
                <w:color w:val="1F1F24"/>
                <w:sz w:val="19"/>
              </w:rPr>
              <w:t>Status updates on the assignment</w:t>
            </w:r>
          </w:p>
        </w:tc>
        <w:tc>
          <w:tcPr>
            <w:tcW w:w="3122" w:type="dxa"/>
            <w:tcMar>
              <w:top w:w="55" w:type="dxa"/>
              <w:left w:w="100" w:type="dxa"/>
              <w:bottom w:w="55" w:type="dxa"/>
              <w:right w:w="100" w:type="dxa"/>
            </w:tcMar>
            <w:vAlign w:val="center"/>
          </w:tcPr>
          <w:p w14:paraId="5FC7F49D">
            <w:pPr>
              <w:spacing w:before="20" w:after="20"/>
              <w:jc w:val="center"/>
            </w:pPr>
            <w:r>
              <w:rPr>
                <w:rFonts w:ascii="Calibri" w:hAnsi="Calibri"/>
                <w:b w:val="0"/>
                <w:color w:val="1F1F24"/>
                <w:sz w:val="19"/>
              </w:rPr>
              <w:t>Check-in, check-out, and assignment status</w:t>
            </w:r>
          </w:p>
        </w:tc>
      </w:tr>
      <w:tr w14:paraId="39BEA3E8">
        <w:tc>
          <w:tcPr>
            <w:tcW w:w="2200" w:type="dxa"/>
            <w:shd w:val="clear" w:color="auto" w:fill="FBFAFE"/>
            <w:tcMar>
              <w:top w:w="55" w:type="dxa"/>
              <w:left w:w="100" w:type="dxa"/>
              <w:bottom w:w="55" w:type="dxa"/>
              <w:right w:w="100" w:type="dxa"/>
            </w:tcMar>
            <w:vAlign w:val="center"/>
          </w:tcPr>
          <w:p w14:paraId="0FD5CE07">
            <w:pPr>
              <w:spacing w:before="20" w:after="20"/>
              <w:jc w:val="center"/>
            </w:pPr>
            <w:r>
              <w:rPr>
                <w:rFonts w:ascii="Calibri" w:hAnsi="Calibri"/>
                <w:b w:val="0"/>
                <w:color w:val="1F1F24"/>
                <w:sz w:val="19"/>
              </w:rPr>
              <w:t>Get paid</w:t>
            </w:r>
          </w:p>
        </w:tc>
        <w:tc>
          <w:tcPr>
            <w:tcW w:w="2500" w:type="dxa"/>
            <w:shd w:val="clear" w:color="auto" w:fill="FBFAFE"/>
            <w:tcMar>
              <w:top w:w="55" w:type="dxa"/>
              <w:left w:w="100" w:type="dxa"/>
              <w:bottom w:w="55" w:type="dxa"/>
              <w:right w:w="100" w:type="dxa"/>
            </w:tcMar>
            <w:vAlign w:val="center"/>
          </w:tcPr>
          <w:p w14:paraId="61B9C181">
            <w:pPr>
              <w:spacing w:before="20" w:after="20"/>
              <w:jc w:val="center"/>
            </w:pPr>
            <w:r>
              <w:rPr>
                <w:rFonts w:ascii="Calibri" w:hAnsi="Calibri"/>
                <w:b w:val="0"/>
                <w:color w:val="1F1F24"/>
                <w:sz w:val="19"/>
              </w:rPr>
              <w:t>Shift earnings ledger</w:t>
            </w:r>
          </w:p>
        </w:tc>
        <w:tc>
          <w:tcPr>
            <w:tcW w:w="2500" w:type="dxa"/>
            <w:shd w:val="clear" w:color="auto" w:fill="FBFAFE"/>
            <w:tcMar>
              <w:top w:w="55" w:type="dxa"/>
              <w:left w:w="100" w:type="dxa"/>
              <w:bottom w:w="55" w:type="dxa"/>
              <w:right w:w="100" w:type="dxa"/>
            </w:tcMar>
            <w:vAlign w:val="center"/>
          </w:tcPr>
          <w:p w14:paraId="6F5DF132">
            <w:pPr>
              <w:spacing w:before="20" w:after="20"/>
              <w:jc w:val="center"/>
            </w:pPr>
            <w:r>
              <w:rPr>
                <w:rFonts w:ascii="Calibri" w:hAnsi="Calibri"/>
                <w:b w:val="0"/>
                <w:color w:val="1F1F24"/>
                <w:sz w:val="19"/>
              </w:rPr>
              <w:t>Job payout status</w:t>
            </w:r>
          </w:p>
        </w:tc>
        <w:tc>
          <w:tcPr>
            <w:tcW w:w="3122" w:type="dxa"/>
            <w:shd w:val="clear" w:color="auto" w:fill="FBFAFE"/>
            <w:tcMar>
              <w:top w:w="55" w:type="dxa"/>
              <w:left w:w="100" w:type="dxa"/>
              <w:bottom w:w="55" w:type="dxa"/>
              <w:right w:w="100" w:type="dxa"/>
            </w:tcMar>
            <w:vAlign w:val="center"/>
          </w:tcPr>
          <w:p w14:paraId="7659B5C9">
            <w:pPr>
              <w:spacing w:before="20" w:after="20"/>
              <w:jc w:val="center"/>
            </w:pPr>
            <w:r>
              <w:rPr>
                <w:rFonts w:ascii="Calibri" w:hAnsi="Calibri"/>
                <w:b w:val="0"/>
                <w:color w:val="1F1F24"/>
                <w:sz w:val="19"/>
              </w:rPr>
              <w:t>Earnings view with UPI-oriented payout states</w:t>
            </w:r>
          </w:p>
        </w:tc>
      </w:tr>
      <w:tr w14:paraId="6B61A2D7">
        <w:tc>
          <w:tcPr>
            <w:tcW w:w="2200" w:type="dxa"/>
            <w:tcMar>
              <w:top w:w="55" w:type="dxa"/>
              <w:left w:w="100" w:type="dxa"/>
              <w:bottom w:w="55" w:type="dxa"/>
              <w:right w:w="100" w:type="dxa"/>
            </w:tcMar>
            <w:vAlign w:val="center"/>
          </w:tcPr>
          <w:p w14:paraId="2E8D58F6">
            <w:pPr>
              <w:spacing w:before="20" w:after="20"/>
              <w:jc w:val="center"/>
            </w:pPr>
            <w:r>
              <w:rPr>
                <w:rFonts w:ascii="Calibri" w:hAnsi="Calibri"/>
                <w:b w:val="0"/>
                <w:color w:val="1F1F24"/>
                <w:sz w:val="19"/>
              </w:rPr>
              <w:t>Stay informed</w:t>
            </w:r>
          </w:p>
        </w:tc>
        <w:tc>
          <w:tcPr>
            <w:tcW w:w="2500" w:type="dxa"/>
            <w:tcMar>
              <w:top w:w="55" w:type="dxa"/>
              <w:left w:w="100" w:type="dxa"/>
              <w:bottom w:w="55" w:type="dxa"/>
              <w:right w:w="100" w:type="dxa"/>
            </w:tcMar>
            <w:vAlign w:val="center"/>
          </w:tcPr>
          <w:p w14:paraId="2B8BA8DC">
            <w:pPr>
              <w:spacing w:before="20" w:after="20"/>
              <w:jc w:val="center"/>
            </w:pPr>
            <w:r>
              <w:rPr>
                <w:rFonts w:ascii="Calibri" w:hAnsi="Calibri"/>
                <w:b w:val="0"/>
                <w:color w:val="1F1F24"/>
                <w:sz w:val="19"/>
              </w:rPr>
              <w:t>Shift reminders</w:t>
            </w:r>
          </w:p>
        </w:tc>
        <w:tc>
          <w:tcPr>
            <w:tcW w:w="2500" w:type="dxa"/>
            <w:tcMar>
              <w:top w:w="55" w:type="dxa"/>
              <w:left w:w="100" w:type="dxa"/>
              <w:bottom w:w="55" w:type="dxa"/>
              <w:right w:w="100" w:type="dxa"/>
            </w:tcMar>
            <w:vAlign w:val="center"/>
          </w:tcPr>
          <w:p w14:paraId="2AB27DF6">
            <w:pPr>
              <w:spacing w:before="20" w:after="20"/>
              <w:jc w:val="center"/>
            </w:pPr>
            <w:r>
              <w:rPr>
                <w:rFonts w:ascii="Calibri" w:hAnsi="Calibri"/>
                <w:b w:val="0"/>
                <w:color w:val="1F1F24"/>
                <w:sz w:val="19"/>
              </w:rPr>
              <w:t>New-job alerts</w:t>
            </w:r>
          </w:p>
        </w:tc>
        <w:tc>
          <w:tcPr>
            <w:tcW w:w="3122" w:type="dxa"/>
            <w:tcMar>
              <w:top w:w="55" w:type="dxa"/>
              <w:left w:w="100" w:type="dxa"/>
              <w:bottom w:w="55" w:type="dxa"/>
              <w:right w:w="100" w:type="dxa"/>
            </w:tcMar>
            <w:vAlign w:val="center"/>
          </w:tcPr>
          <w:p w14:paraId="7F739C98">
            <w:pPr>
              <w:spacing w:before="20" w:after="20"/>
              <w:jc w:val="center"/>
            </w:pPr>
            <w:r>
              <w:rPr>
                <w:rFonts w:ascii="Calibri" w:hAnsi="Calibri"/>
                <w:b w:val="0"/>
                <w:color w:val="1F1F24"/>
                <w:sz w:val="19"/>
              </w:rPr>
              <w:t>Push alerts in English and Telugu copy fields</w:t>
            </w:r>
          </w:p>
        </w:tc>
      </w:tr>
    </w:tbl>
    <w:p w14:paraId="35122AF6">
      <w:pPr>
        <w:spacing w:after="40"/>
      </w:pPr>
    </w:p>
    <w:p w14:paraId="5FB7F94A">
      <w:pPr>
        <w:pStyle w:val="3"/>
      </w:pPr>
      <w:r>
        <w:t>Included modules</w:t>
      </w:r>
    </w:p>
    <w:p w14:paraId="2493BB44">
      <w:pPr>
        <w:numPr>
          <w:ilvl w:val="0"/>
          <w:numId w:val="7"/>
        </w:numPr>
      </w:pPr>
      <w:r>
        <w:rPr>
          <w:rFonts w:ascii="Calibri" w:hAnsi="Calibri"/>
          <w:color w:val="1F1F24"/>
          <w:sz w:val="19"/>
        </w:rPr>
        <w:t>Worker registration, profile, skills, and basic KYC document upload</w:t>
      </w:r>
    </w:p>
    <w:p w14:paraId="2D9BB43C">
      <w:pPr>
        <w:numPr>
          <w:ilvl w:val="0"/>
          <w:numId w:val="7"/>
        </w:numPr>
      </w:pPr>
      <w:r>
        <w:rPr>
          <w:rFonts w:ascii="Calibri" w:hAnsi="Calibri"/>
          <w:color w:val="1F1F24"/>
          <w:sz w:val="19"/>
        </w:rPr>
        <w:t xml:space="preserve">Nearby job and shift discovery modelled on </w:t>
      </w:r>
      <w:r>
        <w:rPr>
          <w:color w:val="1F1F24"/>
          <w:sz w:val="19"/>
          <w:lang w:val="en-US"/>
        </w:rPr>
        <w:t>Snabbit</w:t>
      </w:r>
      <w:r>
        <w:rPr>
          <w:rFonts w:ascii="Calibri" w:hAnsi="Calibri"/>
          <w:color w:val="1F1F24"/>
          <w:sz w:val="19"/>
        </w:rPr>
        <w:t>-style browse-and-apply</w:t>
      </w:r>
    </w:p>
    <w:p w14:paraId="6D180978">
      <w:pPr>
        <w:numPr>
          <w:ilvl w:val="0"/>
          <w:numId w:val="7"/>
        </w:numPr>
      </w:pPr>
      <w:r>
        <w:rPr>
          <w:rFonts w:ascii="Calibri" w:hAnsi="Calibri"/>
          <w:color w:val="1F1F24"/>
          <w:sz w:val="19"/>
        </w:rPr>
        <w:t>Shift claim / apply flow modelled on Pronto-style on-demand work</w:t>
      </w:r>
    </w:p>
    <w:p w14:paraId="683F681D">
      <w:pPr>
        <w:numPr>
          <w:ilvl w:val="0"/>
          <w:numId w:val="7"/>
        </w:numPr>
      </w:pPr>
      <w:r>
        <w:rPr>
          <w:rFonts w:ascii="Calibri" w:hAnsi="Calibri"/>
          <w:color w:val="1F1F24"/>
          <w:sz w:val="19"/>
        </w:rPr>
        <w:t>Geo-aware check-in and check-out for accepted work</w:t>
      </w:r>
    </w:p>
    <w:p w14:paraId="6510B267">
      <w:pPr>
        <w:numPr>
          <w:ilvl w:val="0"/>
          <w:numId w:val="7"/>
        </w:numPr>
      </w:pPr>
      <w:r>
        <w:rPr>
          <w:rFonts w:ascii="Calibri" w:hAnsi="Calibri"/>
          <w:color w:val="1F1F24"/>
          <w:sz w:val="19"/>
        </w:rPr>
        <w:t>Earnings ledger with UPI-oriented payout status views</w:t>
      </w:r>
    </w:p>
    <w:p w14:paraId="2644F9DF">
      <w:pPr>
        <w:numPr>
          <w:ilvl w:val="0"/>
          <w:numId w:val="7"/>
        </w:numPr>
      </w:pPr>
      <w:r>
        <w:rPr>
          <w:rFonts w:ascii="Calibri" w:hAnsi="Calibri"/>
          <w:color w:val="1F1F24"/>
          <w:sz w:val="19"/>
        </w:rPr>
        <w:t>Push notifications for new work, reminders, and status changes</w:t>
      </w:r>
    </w:p>
    <w:p w14:paraId="51EF30A2">
      <w:pPr>
        <w:numPr>
          <w:ilvl w:val="0"/>
          <w:numId w:val="7"/>
        </w:numPr>
      </w:pPr>
      <w:r>
        <w:rPr>
          <w:rFonts w:ascii="Calibri" w:hAnsi="Calibri"/>
          <w:color w:val="1F1F24"/>
          <w:sz w:val="19"/>
        </w:rPr>
        <w:t>English and Telugu content fields for core worker screens</w:t>
      </w:r>
    </w:p>
    <w:p w14:paraId="03124E8E">
      <w:pPr>
        <w:numPr>
          <w:ilvl w:val="0"/>
          <w:numId w:val="7"/>
        </w:numPr>
      </w:pPr>
      <w:r>
        <w:rPr>
          <w:rFonts w:ascii="Calibri" w:hAnsi="Calibri"/>
          <w:color w:val="1F1F24"/>
          <w:sz w:val="19"/>
        </w:rPr>
        <w:t>Hyderabad zone/area tagging for discovery (for example HITEC City, Gachibowli, Secunderabad, Old City)</w:t>
      </w:r>
    </w:p>
    <w:p w14:paraId="553DB914">
      <w:pPr>
        <w:numPr>
          <w:ilvl w:val="0"/>
          <w:numId w:val="7"/>
        </w:numPr>
      </w:pPr>
      <w:r>
        <w:rPr>
          <w:rFonts w:ascii="Calibri" w:hAnsi="Calibri"/>
          <w:color w:val="1F1F24"/>
          <w:sz w:val="19"/>
        </w:rPr>
        <w:t>Admin/content hooks so job categories, banners, FAQs, and city copy can be updated after launch</w:t>
      </w:r>
    </w:p>
    <w:p w14:paraId="4ABE8FB0">
      <w:pPr>
        <w:pStyle w:val="2"/>
      </w:pPr>
      <w:r>
        <w:t>4. One-time fee allocation</w:t>
      </w:r>
    </w:p>
    <w:p w14:paraId="0FB9A679">
      <w:pPr>
        <w:spacing w:after="120"/>
      </w:pPr>
      <w:r>
        <w:t>The one-time professional fee is INR 60,000. It is allocated as follows so server, deployment, development, and related launch work are visible as separate lines. This is an internal allocation of a single fixed fee, not a menu of optional add-ons.</w:t>
      </w:r>
    </w:p>
    <w:tbl>
      <w:tblPr>
        <w:tblStyle w:val="35"/>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5022"/>
        <w:gridCol w:w="1800"/>
        <w:gridCol w:w="1100"/>
      </w:tblGrid>
      <w:tr w14:paraId="50E11DF2">
        <w:tc>
          <w:tcPr>
            <w:tcW w:w="2400" w:type="dxa"/>
            <w:shd w:val="clear" w:color="auto" w:fill="5B2DCB"/>
            <w:tcMar>
              <w:top w:w="55" w:type="dxa"/>
              <w:left w:w="100" w:type="dxa"/>
              <w:bottom w:w="55" w:type="dxa"/>
              <w:right w:w="100" w:type="dxa"/>
            </w:tcMar>
            <w:vAlign w:val="center"/>
          </w:tcPr>
          <w:p w14:paraId="0EA89ABC">
            <w:pPr>
              <w:spacing w:before="20" w:after="20"/>
              <w:jc w:val="center"/>
            </w:pPr>
            <w:r>
              <w:rPr>
                <w:rFonts w:ascii="Calibri" w:hAnsi="Calibri"/>
                <w:b/>
                <w:color w:val="FFFFFF"/>
                <w:sz w:val="18"/>
              </w:rPr>
              <w:t>Line item</w:t>
            </w:r>
          </w:p>
        </w:tc>
        <w:tc>
          <w:tcPr>
            <w:tcW w:w="5022" w:type="dxa"/>
            <w:shd w:val="clear" w:color="auto" w:fill="5B2DCB"/>
            <w:tcMar>
              <w:top w:w="55" w:type="dxa"/>
              <w:left w:w="100" w:type="dxa"/>
              <w:bottom w:w="55" w:type="dxa"/>
              <w:right w:w="100" w:type="dxa"/>
            </w:tcMar>
            <w:vAlign w:val="center"/>
          </w:tcPr>
          <w:p w14:paraId="2FB05B37">
            <w:pPr>
              <w:spacing w:before="20" w:after="20"/>
              <w:jc w:val="center"/>
            </w:pPr>
            <w:r>
              <w:rPr>
                <w:rFonts w:ascii="Calibri" w:hAnsi="Calibri"/>
                <w:b/>
                <w:color w:val="FFFFFF"/>
                <w:sz w:val="18"/>
              </w:rPr>
              <w:t>What it covers</w:t>
            </w:r>
          </w:p>
        </w:tc>
        <w:tc>
          <w:tcPr>
            <w:tcW w:w="1800" w:type="dxa"/>
            <w:shd w:val="clear" w:color="auto" w:fill="5B2DCB"/>
            <w:tcMar>
              <w:top w:w="55" w:type="dxa"/>
              <w:left w:w="100" w:type="dxa"/>
              <w:bottom w:w="55" w:type="dxa"/>
              <w:right w:w="100" w:type="dxa"/>
            </w:tcMar>
            <w:vAlign w:val="center"/>
          </w:tcPr>
          <w:p w14:paraId="252947A4">
            <w:pPr>
              <w:spacing w:before="20" w:after="20"/>
              <w:jc w:val="center"/>
            </w:pPr>
            <w:r>
              <w:rPr>
                <w:rFonts w:ascii="Calibri" w:hAnsi="Calibri"/>
                <w:b/>
                <w:color w:val="FFFFFF"/>
                <w:sz w:val="18"/>
              </w:rPr>
              <w:t>Amount</w:t>
            </w:r>
          </w:p>
        </w:tc>
        <w:tc>
          <w:tcPr>
            <w:tcW w:w="1100" w:type="dxa"/>
            <w:shd w:val="clear" w:color="auto" w:fill="5B2DCB"/>
            <w:tcMar>
              <w:top w:w="55" w:type="dxa"/>
              <w:left w:w="100" w:type="dxa"/>
              <w:bottom w:w="55" w:type="dxa"/>
              <w:right w:w="100" w:type="dxa"/>
            </w:tcMar>
            <w:vAlign w:val="center"/>
          </w:tcPr>
          <w:p w14:paraId="0D0A37FC">
            <w:pPr>
              <w:spacing w:before="20" w:after="20"/>
              <w:jc w:val="center"/>
            </w:pPr>
            <w:r>
              <w:rPr>
                <w:rFonts w:ascii="Calibri" w:hAnsi="Calibri"/>
                <w:b/>
                <w:color w:val="FFFFFF"/>
                <w:sz w:val="18"/>
              </w:rPr>
              <w:t>Share</w:t>
            </w:r>
          </w:p>
        </w:tc>
      </w:tr>
      <w:tr w14:paraId="19BC3DE2">
        <w:tc>
          <w:tcPr>
            <w:tcW w:w="2400" w:type="dxa"/>
            <w:tcMar>
              <w:top w:w="55" w:type="dxa"/>
              <w:left w:w="100" w:type="dxa"/>
              <w:bottom w:w="55" w:type="dxa"/>
              <w:right w:w="100" w:type="dxa"/>
            </w:tcMar>
            <w:vAlign w:val="center"/>
          </w:tcPr>
          <w:p w14:paraId="06D2C90F">
            <w:pPr>
              <w:spacing w:before="20" w:after="20"/>
              <w:jc w:val="center"/>
            </w:pPr>
            <w:r>
              <w:rPr>
                <w:rFonts w:ascii="Calibri" w:hAnsi="Calibri"/>
                <w:b w:val="0"/>
                <w:color w:val="1F1F24"/>
                <w:sz w:val="19"/>
              </w:rPr>
              <w:t>Application development</w:t>
            </w:r>
          </w:p>
        </w:tc>
        <w:tc>
          <w:tcPr>
            <w:tcW w:w="5022" w:type="dxa"/>
            <w:tcMar>
              <w:top w:w="55" w:type="dxa"/>
              <w:left w:w="100" w:type="dxa"/>
              <w:bottom w:w="55" w:type="dxa"/>
              <w:right w:w="100" w:type="dxa"/>
            </w:tcMar>
            <w:vAlign w:val="center"/>
          </w:tcPr>
          <w:p w14:paraId="308C1C6C">
            <w:pPr>
              <w:spacing w:before="20" w:after="20"/>
              <w:jc w:val="center"/>
            </w:pPr>
            <w:r>
              <w:rPr>
                <w:rFonts w:ascii="Calibri" w:hAnsi="Calibri"/>
                <w:b w:val="0"/>
                <w:color w:val="1F1F24"/>
                <w:sz w:val="19"/>
              </w:rPr>
              <w:t>Worker app build covering registration, jobs/shifts, check-in, earnings, and notifications</w:t>
            </w:r>
          </w:p>
        </w:tc>
        <w:tc>
          <w:tcPr>
            <w:tcW w:w="1800" w:type="dxa"/>
            <w:tcMar>
              <w:top w:w="55" w:type="dxa"/>
              <w:left w:w="100" w:type="dxa"/>
              <w:bottom w:w="55" w:type="dxa"/>
              <w:right w:w="100" w:type="dxa"/>
            </w:tcMar>
            <w:vAlign w:val="center"/>
          </w:tcPr>
          <w:p w14:paraId="18418B5B">
            <w:pPr>
              <w:spacing w:before="20" w:after="20"/>
              <w:jc w:val="center"/>
            </w:pPr>
            <w:r>
              <w:rPr>
                <w:rFonts w:ascii="Calibri" w:hAnsi="Calibri"/>
                <w:b w:val="0"/>
                <w:color w:val="1F1F24"/>
                <w:sz w:val="19"/>
              </w:rPr>
              <w:t>INR 30,000</w:t>
            </w:r>
          </w:p>
        </w:tc>
        <w:tc>
          <w:tcPr>
            <w:tcW w:w="1100" w:type="dxa"/>
            <w:tcMar>
              <w:top w:w="55" w:type="dxa"/>
              <w:left w:w="100" w:type="dxa"/>
              <w:bottom w:w="55" w:type="dxa"/>
              <w:right w:w="100" w:type="dxa"/>
            </w:tcMar>
            <w:vAlign w:val="center"/>
          </w:tcPr>
          <w:p w14:paraId="1A87BC58">
            <w:pPr>
              <w:spacing w:before="20" w:after="20"/>
              <w:jc w:val="center"/>
            </w:pPr>
            <w:r>
              <w:rPr>
                <w:rFonts w:ascii="Calibri" w:hAnsi="Calibri"/>
                <w:b w:val="0"/>
                <w:color w:val="1F1F24"/>
                <w:sz w:val="19"/>
              </w:rPr>
              <w:t>50%</w:t>
            </w:r>
          </w:p>
        </w:tc>
      </w:tr>
      <w:tr w14:paraId="422EB183">
        <w:tc>
          <w:tcPr>
            <w:tcW w:w="2400" w:type="dxa"/>
            <w:shd w:val="clear" w:color="auto" w:fill="FBFAFE"/>
            <w:tcMar>
              <w:top w:w="55" w:type="dxa"/>
              <w:left w:w="100" w:type="dxa"/>
              <w:bottom w:w="55" w:type="dxa"/>
              <w:right w:w="100" w:type="dxa"/>
            </w:tcMar>
            <w:vAlign w:val="center"/>
          </w:tcPr>
          <w:p w14:paraId="5F2738FD">
            <w:pPr>
              <w:spacing w:before="20" w:after="20"/>
              <w:jc w:val="center"/>
            </w:pPr>
            <w:r>
              <w:rPr>
                <w:rFonts w:ascii="Calibri" w:hAnsi="Calibri"/>
                <w:b w:val="0"/>
                <w:color w:val="1F1F24"/>
                <w:sz w:val="19"/>
              </w:rPr>
              <w:t>Server cost and environment setup</w:t>
            </w:r>
          </w:p>
        </w:tc>
        <w:tc>
          <w:tcPr>
            <w:tcW w:w="5022" w:type="dxa"/>
            <w:shd w:val="clear" w:color="auto" w:fill="FBFAFE"/>
            <w:tcMar>
              <w:top w:w="55" w:type="dxa"/>
              <w:left w:w="100" w:type="dxa"/>
              <w:bottom w:w="55" w:type="dxa"/>
              <w:right w:w="100" w:type="dxa"/>
            </w:tcMar>
            <w:vAlign w:val="center"/>
          </w:tcPr>
          <w:p w14:paraId="61E47371">
            <w:pPr>
              <w:spacing w:before="20" w:after="20"/>
              <w:jc w:val="center"/>
            </w:pPr>
            <w:r>
              <w:rPr>
                <w:rFonts w:ascii="Calibri" w:hAnsi="Calibri"/>
                <w:b w:val="0"/>
                <w:color w:val="1F1F24"/>
                <w:sz w:val="19"/>
              </w:rPr>
              <w:t>Hosting configuration, environments, domains, backups, and first-period server setup</w:t>
            </w:r>
          </w:p>
        </w:tc>
        <w:tc>
          <w:tcPr>
            <w:tcW w:w="1800" w:type="dxa"/>
            <w:shd w:val="clear" w:color="auto" w:fill="FBFAFE"/>
            <w:tcMar>
              <w:top w:w="55" w:type="dxa"/>
              <w:left w:w="100" w:type="dxa"/>
              <w:bottom w:w="55" w:type="dxa"/>
              <w:right w:w="100" w:type="dxa"/>
            </w:tcMar>
            <w:vAlign w:val="center"/>
          </w:tcPr>
          <w:p w14:paraId="2583019A">
            <w:pPr>
              <w:spacing w:before="20" w:after="20"/>
              <w:jc w:val="center"/>
            </w:pPr>
            <w:r>
              <w:rPr>
                <w:rFonts w:ascii="Calibri" w:hAnsi="Calibri"/>
                <w:b w:val="0"/>
                <w:color w:val="1F1F24"/>
                <w:sz w:val="19"/>
              </w:rPr>
              <w:t>INR 8,000</w:t>
            </w:r>
          </w:p>
        </w:tc>
        <w:tc>
          <w:tcPr>
            <w:tcW w:w="1100" w:type="dxa"/>
            <w:shd w:val="clear" w:color="auto" w:fill="FBFAFE"/>
            <w:tcMar>
              <w:top w:w="55" w:type="dxa"/>
              <w:left w:w="100" w:type="dxa"/>
              <w:bottom w:w="55" w:type="dxa"/>
              <w:right w:w="100" w:type="dxa"/>
            </w:tcMar>
            <w:vAlign w:val="center"/>
          </w:tcPr>
          <w:p w14:paraId="7BD1CA6B">
            <w:pPr>
              <w:spacing w:before="20" w:after="20"/>
              <w:jc w:val="center"/>
            </w:pPr>
            <w:r>
              <w:rPr>
                <w:rFonts w:ascii="Calibri" w:hAnsi="Calibri"/>
                <w:b w:val="0"/>
                <w:color w:val="1F1F24"/>
                <w:sz w:val="19"/>
              </w:rPr>
              <w:t>13%</w:t>
            </w:r>
          </w:p>
        </w:tc>
      </w:tr>
      <w:tr w14:paraId="65F1A21B">
        <w:tc>
          <w:tcPr>
            <w:tcW w:w="2400" w:type="dxa"/>
            <w:tcMar>
              <w:top w:w="55" w:type="dxa"/>
              <w:left w:w="100" w:type="dxa"/>
              <w:bottom w:w="55" w:type="dxa"/>
              <w:right w:w="100" w:type="dxa"/>
            </w:tcMar>
            <w:vAlign w:val="center"/>
          </w:tcPr>
          <w:p w14:paraId="47B88464">
            <w:pPr>
              <w:spacing w:before="20" w:after="20"/>
              <w:jc w:val="center"/>
            </w:pPr>
            <w:r>
              <w:rPr>
                <w:rFonts w:ascii="Calibri" w:hAnsi="Calibri"/>
                <w:b w:val="0"/>
                <w:color w:val="1F1F24"/>
                <w:sz w:val="19"/>
              </w:rPr>
              <w:t>Deployment and go-live</w:t>
            </w:r>
          </w:p>
        </w:tc>
        <w:tc>
          <w:tcPr>
            <w:tcW w:w="5022" w:type="dxa"/>
            <w:tcMar>
              <w:top w:w="55" w:type="dxa"/>
              <w:left w:w="100" w:type="dxa"/>
              <w:bottom w:w="55" w:type="dxa"/>
              <w:right w:w="100" w:type="dxa"/>
            </w:tcMar>
            <w:vAlign w:val="center"/>
          </w:tcPr>
          <w:p w14:paraId="3DFD4585">
            <w:pPr>
              <w:spacing w:before="20" w:after="20"/>
              <w:jc w:val="center"/>
            </w:pPr>
            <w:r>
              <w:rPr>
                <w:rFonts w:ascii="Calibri" w:hAnsi="Calibri"/>
                <w:b w:val="0"/>
                <w:color w:val="1F1F24"/>
                <w:sz w:val="19"/>
              </w:rPr>
              <w:t>Production release, store listing support, and launch checklist</w:t>
            </w:r>
          </w:p>
        </w:tc>
        <w:tc>
          <w:tcPr>
            <w:tcW w:w="1800" w:type="dxa"/>
            <w:tcMar>
              <w:top w:w="55" w:type="dxa"/>
              <w:left w:w="100" w:type="dxa"/>
              <w:bottom w:w="55" w:type="dxa"/>
              <w:right w:w="100" w:type="dxa"/>
            </w:tcMar>
            <w:vAlign w:val="center"/>
          </w:tcPr>
          <w:p w14:paraId="751C6519">
            <w:pPr>
              <w:spacing w:before="20" w:after="20"/>
              <w:jc w:val="center"/>
            </w:pPr>
            <w:r>
              <w:rPr>
                <w:rFonts w:ascii="Calibri" w:hAnsi="Calibri"/>
                <w:b w:val="0"/>
                <w:color w:val="1F1F24"/>
                <w:sz w:val="19"/>
              </w:rPr>
              <w:t>INR 8,000</w:t>
            </w:r>
          </w:p>
        </w:tc>
        <w:tc>
          <w:tcPr>
            <w:tcW w:w="1100" w:type="dxa"/>
            <w:tcMar>
              <w:top w:w="55" w:type="dxa"/>
              <w:left w:w="100" w:type="dxa"/>
              <w:bottom w:w="55" w:type="dxa"/>
              <w:right w:w="100" w:type="dxa"/>
            </w:tcMar>
            <w:vAlign w:val="center"/>
          </w:tcPr>
          <w:p w14:paraId="42BB68B7">
            <w:pPr>
              <w:spacing w:before="20" w:after="20"/>
              <w:jc w:val="center"/>
            </w:pPr>
            <w:r>
              <w:rPr>
                <w:rFonts w:ascii="Calibri" w:hAnsi="Calibri"/>
                <w:b w:val="0"/>
                <w:color w:val="1F1F24"/>
                <w:sz w:val="19"/>
              </w:rPr>
              <w:t>13%</w:t>
            </w:r>
          </w:p>
        </w:tc>
      </w:tr>
      <w:tr w14:paraId="213A709B">
        <w:tc>
          <w:tcPr>
            <w:tcW w:w="2400" w:type="dxa"/>
            <w:shd w:val="clear" w:color="auto" w:fill="FBFAFE"/>
            <w:tcMar>
              <w:top w:w="55" w:type="dxa"/>
              <w:left w:w="100" w:type="dxa"/>
              <w:bottom w:w="55" w:type="dxa"/>
              <w:right w:w="100" w:type="dxa"/>
            </w:tcMar>
            <w:vAlign w:val="center"/>
          </w:tcPr>
          <w:p w14:paraId="5402F9C9">
            <w:pPr>
              <w:spacing w:before="20" w:after="20"/>
              <w:jc w:val="center"/>
            </w:pPr>
            <w:r>
              <w:rPr>
                <w:rFonts w:ascii="Calibri" w:hAnsi="Calibri"/>
                <w:b w:val="0"/>
                <w:color w:val="1F1F24"/>
                <w:sz w:val="19"/>
              </w:rPr>
              <w:t>Product, UX, and Hyderabad localization</w:t>
            </w:r>
          </w:p>
        </w:tc>
        <w:tc>
          <w:tcPr>
            <w:tcW w:w="5022" w:type="dxa"/>
            <w:shd w:val="clear" w:color="auto" w:fill="FBFAFE"/>
            <w:tcMar>
              <w:top w:w="55" w:type="dxa"/>
              <w:left w:w="100" w:type="dxa"/>
              <w:bottom w:w="55" w:type="dxa"/>
              <w:right w:w="100" w:type="dxa"/>
            </w:tcMar>
            <w:vAlign w:val="center"/>
          </w:tcPr>
          <w:p w14:paraId="2B52AAB2">
            <w:pPr>
              <w:spacing w:before="20" w:after="20"/>
              <w:jc w:val="center"/>
            </w:pPr>
            <w:r>
              <w:rPr>
                <w:rFonts w:ascii="Calibri" w:hAnsi="Calibri"/>
                <w:b w:val="0"/>
                <w:color w:val="1F1F24"/>
                <w:sz w:val="19"/>
              </w:rPr>
              <w:t>Pronto/</w:t>
            </w:r>
            <w:r>
              <w:rPr>
                <w:b w:val="0"/>
                <w:color w:val="1F1F24"/>
                <w:sz w:val="19"/>
                <w:lang w:val="en-US"/>
              </w:rPr>
              <w:t>Snabbit</w:t>
            </w:r>
            <w:r>
              <w:rPr>
                <w:rFonts w:ascii="Calibri" w:hAnsi="Calibri"/>
                <w:b w:val="0"/>
                <w:color w:val="1F1F24"/>
                <w:sz w:val="19"/>
              </w:rPr>
              <w:t xml:space="preserve"> feature mapping, Telugu/English copy structure, and Hyderabad zone setup</w:t>
            </w:r>
          </w:p>
        </w:tc>
        <w:tc>
          <w:tcPr>
            <w:tcW w:w="1800" w:type="dxa"/>
            <w:shd w:val="clear" w:color="auto" w:fill="FBFAFE"/>
            <w:tcMar>
              <w:top w:w="55" w:type="dxa"/>
              <w:left w:w="100" w:type="dxa"/>
              <w:bottom w:w="55" w:type="dxa"/>
              <w:right w:w="100" w:type="dxa"/>
            </w:tcMar>
            <w:vAlign w:val="center"/>
          </w:tcPr>
          <w:p w14:paraId="4177C93C">
            <w:pPr>
              <w:spacing w:before="20" w:after="20"/>
              <w:jc w:val="center"/>
            </w:pPr>
            <w:r>
              <w:rPr>
                <w:rFonts w:ascii="Calibri" w:hAnsi="Calibri"/>
                <w:b w:val="0"/>
                <w:color w:val="1F1F24"/>
                <w:sz w:val="19"/>
              </w:rPr>
              <w:t>INR 8,000</w:t>
            </w:r>
          </w:p>
        </w:tc>
        <w:tc>
          <w:tcPr>
            <w:tcW w:w="1100" w:type="dxa"/>
            <w:shd w:val="clear" w:color="auto" w:fill="FBFAFE"/>
            <w:tcMar>
              <w:top w:w="55" w:type="dxa"/>
              <w:left w:w="100" w:type="dxa"/>
              <w:bottom w:w="55" w:type="dxa"/>
              <w:right w:w="100" w:type="dxa"/>
            </w:tcMar>
            <w:vAlign w:val="center"/>
          </w:tcPr>
          <w:p w14:paraId="166F1E44">
            <w:pPr>
              <w:spacing w:before="20" w:after="20"/>
              <w:jc w:val="center"/>
            </w:pPr>
            <w:r>
              <w:rPr>
                <w:rFonts w:ascii="Calibri" w:hAnsi="Calibri"/>
                <w:b w:val="0"/>
                <w:color w:val="1F1F24"/>
                <w:sz w:val="19"/>
              </w:rPr>
              <w:t>13%</w:t>
            </w:r>
          </w:p>
        </w:tc>
      </w:tr>
      <w:tr w14:paraId="120CAECA">
        <w:tc>
          <w:tcPr>
            <w:tcW w:w="2400" w:type="dxa"/>
            <w:tcMar>
              <w:top w:w="55" w:type="dxa"/>
              <w:left w:w="100" w:type="dxa"/>
              <w:bottom w:w="55" w:type="dxa"/>
              <w:right w:w="100" w:type="dxa"/>
            </w:tcMar>
            <w:vAlign w:val="center"/>
          </w:tcPr>
          <w:p w14:paraId="45B856AA">
            <w:pPr>
              <w:spacing w:before="20" w:after="20"/>
              <w:jc w:val="center"/>
            </w:pPr>
            <w:r>
              <w:rPr>
                <w:rFonts w:ascii="Calibri" w:hAnsi="Calibri"/>
                <w:b w:val="0"/>
                <w:color w:val="1F1F24"/>
                <w:sz w:val="19"/>
              </w:rPr>
              <w:t>QA, UAT, and launch support</w:t>
            </w:r>
          </w:p>
        </w:tc>
        <w:tc>
          <w:tcPr>
            <w:tcW w:w="5022" w:type="dxa"/>
            <w:tcMar>
              <w:top w:w="55" w:type="dxa"/>
              <w:left w:w="100" w:type="dxa"/>
              <w:bottom w:w="55" w:type="dxa"/>
              <w:right w:w="100" w:type="dxa"/>
            </w:tcMar>
            <w:vAlign w:val="center"/>
          </w:tcPr>
          <w:p w14:paraId="09B7C484">
            <w:pPr>
              <w:spacing w:before="20" w:after="20"/>
              <w:jc w:val="center"/>
            </w:pPr>
            <w:r>
              <w:rPr>
                <w:rFonts w:ascii="Calibri" w:hAnsi="Calibri"/>
                <w:b w:val="0"/>
                <w:color w:val="1F1F24"/>
                <w:sz w:val="19"/>
              </w:rPr>
              <w:t>Test cycles, defect closure for in-scope items, and handover notes</w:t>
            </w:r>
          </w:p>
        </w:tc>
        <w:tc>
          <w:tcPr>
            <w:tcW w:w="1800" w:type="dxa"/>
            <w:tcMar>
              <w:top w:w="55" w:type="dxa"/>
              <w:left w:w="100" w:type="dxa"/>
              <w:bottom w:w="55" w:type="dxa"/>
              <w:right w:w="100" w:type="dxa"/>
            </w:tcMar>
            <w:vAlign w:val="center"/>
          </w:tcPr>
          <w:p w14:paraId="0129A174">
            <w:pPr>
              <w:spacing w:before="20" w:after="20"/>
              <w:jc w:val="center"/>
            </w:pPr>
            <w:r>
              <w:rPr>
                <w:rFonts w:ascii="Calibri" w:hAnsi="Calibri"/>
                <w:b w:val="0"/>
                <w:color w:val="1F1F24"/>
                <w:sz w:val="19"/>
              </w:rPr>
              <w:t>INR 6,000</w:t>
            </w:r>
          </w:p>
        </w:tc>
        <w:tc>
          <w:tcPr>
            <w:tcW w:w="1100" w:type="dxa"/>
            <w:tcMar>
              <w:top w:w="55" w:type="dxa"/>
              <w:left w:w="100" w:type="dxa"/>
              <w:bottom w:w="55" w:type="dxa"/>
              <w:right w:w="100" w:type="dxa"/>
            </w:tcMar>
            <w:vAlign w:val="center"/>
          </w:tcPr>
          <w:p w14:paraId="3FEAED27">
            <w:pPr>
              <w:spacing w:before="20" w:after="20"/>
              <w:jc w:val="center"/>
            </w:pPr>
            <w:r>
              <w:rPr>
                <w:rFonts w:ascii="Calibri" w:hAnsi="Calibri"/>
                <w:b w:val="0"/>
                <w:color w:val="1F1F24"/>
                <w:sz w:val="19"/>
              </w:rPr>
              <w:t>10%</w:t>
            </w:r>
          </w:p>
        </w:tc>
      </w:tr>
      <w:tr w14:paraId="19CD5FC1">
        <w:tc>
          <w:tcPr>
            <w:tcW w:w="2400" w:type="dxa"/>
            <w:shd w:val="clear" w:color="auto" w:fill="F3F0FC"/>
            <w:tcMar>
              <w:top w:w="55" w:type="dxa"/>
              <w:left w:w="100" w:type="dxa"/>
              <w:bottom w:w="55" w:type="dxa"/>
              <w:right w:w="100" w:type="dxa"/>
            </w:tcMar>
            <w:vAlign w:val="center"/>
          </w:tcPr>
          <w:p w14:paraId="2B0851A8">
            <w:pPr>
              <w:spacing w:before="20" w:after="20"/>
              <w:jc w:val="center"/>
            </w:pPr>
            <w:r>
              <w:rPr>
                <w:rFonts w:ascii="Calibri" w:hAnsi="Calibri"/>
                <w:b/>
                <w:color w:val="321E60"/>
                <w:sz w:val="19"/>
              </w:rPr>
              <w:t>Total one-time fee</w:t>
            </w:r>
          </w:p>
        </w:tc>
        <w:tc>
          <w:tcPr>
            <w:tcW w:w="5022" w:type="dxa"/>
            <w:shd w:val="clear" w:color="auto" w:fill="F3F0FC"/>
            <w:tcMar>
              <w:top w:w="55" w:type="dxa"/>
              <w:left w:w="100" w:type="dxa"/>
              <w:bottom w:w="55" w:type="dxa"/>
              <w:right w:w="100" w:type="dxa"/>
            </w:tcMar>
            <w:vAlign w:val="center"/>
          </w:tcPr>
          <w:p w14:paraId="356FA44D">
            <w:pPr>
              <w:spacing w:before="20" w:after="20"/>
              <w:jc w:val="center"/>
            </w:pPr>
            <w:r>
              <w:rPr>
                <w:rFonts w:ascii="Calibri" w:hAnsi="Calibri"/>
                <w:b/>
                <w:color w:val="321E60"/>
                <w:sz w:val="19"/>
              </w:rPr>
              <w:t>Fixed-price Worker X first release</w:t>
            </w:r>
          </w:p>
        </w:tc>
        <w:tc>
          <w:tcPr>
            <w:tcW w:w="1800" w:type="dxa"/>
            <w:shd w:val="clear" w:color="auto" w:fill="F3F0FC"/>
            <w:tcMar>
              <w:top w:w="55" w:type="dxa"/>
              <w:left w:w="100" w:type="dxa"/>
              <w:bottom w:w="55" w:type="dxa"/>
              <w:right w:w="100" w:type="dxa"/>
            </w:tcMar>
            <w:vAlign w:val="center"/>
          </w:tcPr>
          <w:p w14:paraId="76C96BA0">
            <w:pPr>
              <w:spacing w:before="20" w:after="20"/>
              <w:jc w:val="center"/>
            </w:pPr>
            <w:r>
              <w:rPr>
                <w:rFonts w:ascii="Calibri" w:hAnsi="Calibri"/>
                <w:b/>
                <w:color w:val="321E60"/>
                <w:sz w:val="19"/>
              </w:rPr>
              <w:t>INR 60,000</w:t>
            </w:r>
          </w:p>
        </w:tc>
        <w:tc>
          <w:tcPr>
            <w:tcW w:w="1100" w:type="dxa"/>
            <w:shd w:val="clear" w:color="auto" w:fill="F3F0FC"/>
            <w:tcMar>
              <w:top w:w="55" w:type="dxa"/>
              <w:left w:w="100" w:type="dxa"/>
              <w:bottom w:w="55" w:type="dxa"/>
              <w:right w:w="100" w:type="dxa"/>
            </w:tcMar>
            <w:vAlign w:val="center"/>
          </w:tcPr>
          <w:p w14:paraId="24A7ED47">
            <w:pPr>
              <w:spacing w:before="20" w:after="20"/>
              <w:jc w:val="center"/>
            </w:pPr>
            <w:r>
              <w:rPr>
                <w:rFonts w:ascii="Calibri" w:hAnsi="Calibri"/>
                <w:b/>
                <w:color w:val="321E60"/>
                <w:sz w:val="19"/>
              </w:rPr>
              <w:t>100%</w:t>
            </w:r>
          </w:p>
        </w:tc>
      </w:tr>
    </w:tbl>
    <w:p w14:paraId="5F67C27C">
      <w:pPr>
        <w:spacing w:after="40"/>
      </w:pPr>
    </w:p>
    <w:p w14:paraId="3933AAAD">
      <w:pPr>
        <w:pStyle w:val="3"/>
      </w:pPr>
      <w:r>
        <w:t>How to read the allocation</w:t>
      </w:r>
    </w:p>
    <w:p w14:paraId="3892BBF9">
      <w:pPr>
        <w:keepLines w:val="0"/>
      </w:pPr>
      <w:r>
        <w:t xml:space="preserve">Development is the largest line because Worker X has to reproduce the worker loops of Pronto and </w:t>
      </w:r>
      <w:r>
        <w:rPr>
          <w:lang w:val="en-US"/>
        </w:rPr>
        <w:t>Snabbit</w:t>
      </w:r>
      <w:r>
        <w:t xml:space="preserve"> in one Hyderabad app. Server cost is setup and first-period environment work, not an open-ended cloud bill. Deployment covers production release and store listing support. Product/UX/localization and QA are the remaining launch costs. Recurring hosting overages, SMS, and gateway fees remain extra as listed in exclusions.</w:t>
      </w:r>
    </w:p>
    <w:p w14:paraId="07BAB586">
      <w:pPr>
        <w:pStyle w:val="2"/>
      </w:pPr>
      <w:r>
        <w:t>5. Monthly managed services</w:t>
      </w:r>
    </w:p>
    <w:p w14:paraId="4B962F98">
      <w:pPr>
        <w:spacing w:after="120"/>
      </w:pPr>
      <w:r>
        <w:t>From the month of go-live, Nhancio will provide managed services at INR 10,000 per month, billed in advance. This retainer is for keeping Worker X stable and current, not for building a second product.</w:t>
      </w:r>
    </w:p>
    <w:tbl>
      <w:tblPr>
        <w:tblStyle w:val="35"/>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7922"/>
      </w:tblGrid>
      <w:tr w14:paraId="1CEC69F7">
        <w:tc>
          <w:tcPr>
            <w:tcW w:w="2400" w:type="dxa"/>
            <w:shd w:val="clear" w:color="auto" w:fill="5B2DCB"/>
            <w:tcMar>
              <w:top w:w="55" w:type="dxa"/>
              <w:left w:w="100" w:type="dxa"/>
              <w:bottom w:w="55" w:type="dxa"/>
              <w:right w:w="100" w:type="dxa"/>
            </w:tcMar>
            <w:vAlign w:val="center"/>
          </w:tcPr>
          <w:p w14:paraId="3FC21D87">
            <w:pPr>
              <w:spacing w:before="20" w:after="20"/>
              <w:jc w:val="center"/>
            </w:pPr>
            <w:r>
              <w:rPr>
                <w:rFonts w:ascii="Calibri" w:hAnsi="Calibri"/>
                <w:b/>
                <w:color w:val="FFFFFF"/>
                <w:sz w:val="18"/>
              </w:rPr>
              <w:t>Service</w:t>
            </w:r>
          </w:p>
        </w:tc>
        <w:tc>
          <w:tcPr>
            <w:tcW w:w="7922" w:type="dxa"/>
            <w:shd w:val="clear" w:color="auto" w:fill="5B2DCB"/>
            <w:tcMar>
              <w:top w:w="55" w:type="dxa"/>
              <w:left w:w="100" w:type="dxa"/>
              <w:bottom w:w="55" w:type="dxa"/>
              <w:right w:w="100" w:type="dxa"/>
            </w:tcMar>
            <w:vAlign w:val="center"/>
          </w:tcPr>
          <w:p w14:paraId="0B3C2CCE">
            <w:pPr>
              <w:spacing w:before="20" w:after="20"/>
              <w:jc w:val="center"/>
            </w:pPr>
            <w:r>
              <w:rPr>
                <w:rFonts w:ascii="Calibri" w:hAnsi="Calibri"/>
                <w:b/>
                <w:color w:val="FFFFFF"/>
                <w:sz w:val="18"/>
              </w:rPr>
              <w:t>Included each month</w:t>
            </w:r>
          </w:p>
        </w:tc>
      </w:tr>
      <w:tr w14:paraId="245D072A">
        <w:tc>
          <w:tcPr>
            <w:tcW w:w="2400" w:type="dxa"/>
            <w:tcMar>
              <w:top w:w="55" w:type="dxa"/>
              <w:left w:w="100" w:type="dxa"/>
              <w:bottom w:w="55" w:type="dxa"/>
              <w:right w:w="100" w:type="dxa"/>
            </w:tcMar>
            <w:vAlign w:val="center"/>
          </w:tcPr>
          <w:p w14:paraId="016A91CF">
            <w:pPr>
              <w:spacing w:before="20" w:after="20"/>
              <w:jc w:val="center"/>
            </w:pPr>
            <w:r>
              <w:rPr>
                <w:rFonts w:ascii="Calibri" w:hAnsi="Calibri"/>
                <w:b w:val="0"/>
                <w:color w:val="1F1F24"/>
                <w:sz w:val="19"/>
              </w:rPr>
              <w:t>Bug management</w:t>
            </w:r>
          </w:p>
        </w:tc>
        <w:tc>
          <w:tcPr>
            <w:tcW w:w="7922" w:type="dxa"/>
            <w:tcMar>
              <w:top w:w="55" w:type="dxa"/>
              <w:left w:w="100" w:type="dxa"/>
              <w:bottom w:w="55" w:type="dxa"/>
              <w:right w:w="100" w:type="dxa"/>
            </w:tcMar>
            <w:vAlign w:val="center"/>
          </w:tcPr>
          <w:p w14:paraId="2510C379">
            <w:pPr>
              <w:spacing w:before="20" w:after="20"/>
              <w:jc w:val="center"/>
            </w:pPr>
            <w:r>
              <w:rPr>
                <w:rFonts w:ascii="Calibri" w:hAnsi="Calibri"/>
                <w:b w:val="0"/>
                <w:color w:val="1F1F24"/>
                <w:sz w:val="19"/>
              </w:rPr>
              <w:t>Triage, reproduce, and fix in-scope defects in the live Worker X application. Priority incidents are handled first during business hours.</w:t>
            </w:r>
          </w:p>
        </w:tc>
      </w:tr>
      <w:tr w14:paraId="37A335E5">
        <w:tc>
          <w:tcPr>
            <w:tcW w:w="2400" w:type="dxa"/>
            <w:shd w:val="clear" w:color="auto" w:fill="FBFAFE"/>
            <w:tcMar>
              <w:top w:w="55" w:type="dxa"/>
              <w:left w:w="100" w:type="dxa"/>
              <w:bottom w:w="55" w:type="dxa"/>
              <w:right w:w="100" w:type="dxa"/>
            </w:tcMar>
            <w:vAlign w:val="center"/>
          </w:tcPr>
          <w:p w14:paraId="4FCDD3E8">
            <w:pPr>
              <w:spacing w:before="20" w:after="20"/>
              <w:jc w:val="center"/>
            </w:pPr>
            <w:r>
              <w:rPr>
                <w:rFonts w:ascii="Calibri" w:hAnsi="Calibri"/>
                <w:b w:val="0"/>
                <w:color w:val="1F1F24"/>
                <w:sz w:val="19"/>
              </w:rPr>
              <w:t>Content updates</w:t>
            </w:r>
          </w:p>
        </w:tc>
        <w:tc>
          <w:tcPr>
            <w:tcW w:w="7922" w:type="dxa"/>
            <w:shd w:val="clear" w:color="auto" w:fill="FBFAFE"/>
            <w:tcMar>
              <w:top w:w="55" w:type="dxa"/>
              <w:left w:w="100" w:type="dxa"/>
              <w:bottom w:w="55" w:type="dxa"/>
              <w:right w:w="100" w:type="dxa"/>
            </w:tcMar>
            <w:vAlign w:val="center"/>
          </w:tcPr>
          <w:p w14:paraId="2CE7A783">
            <w:pPr>
              <w:spacing w:before="20" w:after="20"/>
              <w:jc w:val="center"/>
            </w:pPr>
            <w:r>
              <w:rPr>
                <w:rFonts w:ascii="Calibri" w:hAnsi="Calibri"/>
                <w:b w:val="0"/>
                <w:color w:val="1F1F24"/>
                <w:sz w:val="19"/>
              </w:rPr>
              <w:t>Job categories, banners, FAQs, Hyderabad city copy, and approved store-listing text, published after a short staging check.</w:t>
            </w:r>
          </w:p>
        </w:tc>
      </w:tr>
      <w:tr w14:paraId="18EE3517">
        <w:tc>
          <w:tcPr>
            <w:tcW w:w="2400" w:type="dxa"/>
            <w:tcMar>
              <w:top w:w="55" w:type="dxa"/>
              <w:left w:w="100" w:type="dxa"/>
              <w:bottom w:w="55" w:type="dxa"/>
              <w:right w:w="100" w:type="dxa"/>
            </w:tcMar>
            <w:vAlign w:val="center"/>
          </w:tcPr>
          <w:p w14:paraId="678D3689">
            <w:pPr>
              <w:spacing w:before="20" w:after="20"/>
              <w:jc w:val="center"/>
            </w:pPr>
            <w:r>
              <w:rPr>
                <w:rFonts w:ascii="Calibri" w:hAnsi="Calibri"/>
                <w:b w:val="0"/>
                <w:color w:val="1F1F24"/>
                <w:sz w:val="19"/>
              </w:rPr>
              <w:t>Minor patches</w:t>
            </w:r>
          </w:p>
        </w:tc>
        <w:tc>
          <w:tcPr>
            <w:tcW w:w="7922" w:type="dxa"/>
            <w:tcMar>
              <w:top w:w="55" w:type="dxa"/>
              <w:left w:w="100" w:type="dxa"/>
              <w:bottom w:w="55" w:type="dxa"/>
              <w:right w:w="100" w:type="dxa"/>
            </w:tcMar>
            <w:vAlign w:val="center"/>
          </w:tcPr>
          <w:p w14:paraId="6BB5F0D1">
            <w:pPr>
              <w:spacing w:before="20" w:after="20"/>
              <w:jc w:val="center"/>
            </w:pPr>
            <w:r>
              <w:rPr>
                <w:rFonts w:ascii="Calibri" w:hAnsi="Calibri"/>
                <w:b w:val="0"/>
                <w:color w:val="1F1F24"/>
                <w:sz w:val="19"/>
              </w:rPr>
              <w:t>Small production publishes of approved fixes and copy. Not new modules, redesigns, or extra city launches.</w:t>
            </w:r>
          </w:p>
        </w:tc>
      </w:tr>
      <w:tr w14:paraId="61EE4A5A">
        <w:tc>
          <w:tcPr>
            <w:tcW w:w="2400" w:type="dxa"/>
            <w:shd w:val="clear" w:color="auto" w:fill="FBFAFE"/>
            <w:tcMar>
              <w:top w:w="55" w:type="dxa"/>
              <w:left w:w="100" w:type="dxa"/>
              <w:bottom w:w="55" w:type="dxa"/>
              <w:right w:w="100" w:type="dxa"/>
            </w:tcMar>
            <w:vAlign w:val="center"/>
          </w:tcPr>
          <w:p w14:paraId="4D82B8CC">
            <w:pPr>
              <w:spacing w:before="20" w:after="20"/>
              <w:jc w:val="center"/>
            </w:pPr>
            <w:r>
              <w:rPr>
                <w:rFonts w:ascii="Calibri" w:hAnsi="Calibri"/>
                <w:b w:val="0"/>
                <w:color w:val="1F1F24"/>
                <w:sz w:val="19"/>
              </w:rPr>
              <w:t>Reporting</w:t>
            </w:r>
          </w:p>
        </w:tc>
        <w:tc>
          <w:tcPr>
            <w:tcW w:w="7922" w:type="dxa"/>
            <w:shd w:val="clear" w:color="auto" w:fill="FBFAFE"/>
            <w:tcMar>
              <w:top w:w="55" w:type="dxa"/>
              <w:left w:w="100" w:type="dxa"/>
              <w:bottom w:w="55" w:type="dxa"/>
              <w:right w:w="100" w:type="dxa"/>
            </w:tcMar>
            <w:vAlign w:val="center"/>
          </w:tcPr>
          <w:p w14:paraId="13BC137B">
            <w:pPr>
              <w:spacing w:before="20" w:after="20"/>
              <w:jc w:val="center"/>
            </w:pPr>
            <w:r>
              <w:rPr>
                <w:rFonts w:ascii="Calibri" w:hAnsi="Calibri"/>
                <w:b w:val="0"/>
                <w:color w:val="1F1F24"/>
                <w:sz w:val="19"/>
              </w:rPr>
              <w:t>A monthly health note covering incidents closed, content changed, and items still open.</w:t>
            </w:r>
          </w:p>
        </w:tc>
      </w:tr>
    </w:tbl>
    <w:p w14:paraId="1D6BEB07">
      <w:pPr>
        <w:spacing w:after="40"/>
      </w:pPr>
    </w:p>
    <w:p w14:paraId="7BCB47C8">
      <w:pPr>
        <w:numPr>
          <w:ilvl w:val="0"/>
          <w:numId w:val="7"/>
        </w:numPr>
      </w:pPr>
      <w:r>
        <w:rPr>
          <w:rFonts w:ascii="Calibri" w:hAnsi="Calibri"/>
          <w:color w:val="1F1F24"/>
          <w:sz w:val="19"/>
        </w:rPr>
        <w:t>Bug management: triage, reproduce, and fix in-scope defects in the live Worker X application</w:t>
      </w:r>
    </w:p>
    <w:p w14:paraId="7F6A8AC2">
      <w:pPr>
        <w:numPr>
          <w:ilvl w:val="0"/>
          <w:numId w:val="7"/>
        </w:numPr>
      </w:pPr>
      <w:r>
        <w:rPr>
          <w:rFonts w:ascii="Calibri" w:hAnsi="Calibri"/>
          <w:color w:val="1F1F24"/>
          <w:sz w:val="19"/>
        </w:rPr>
        <w:t>Content updates: job categories, banners, FAQs, city copy, and approved store-listing text</w:t>
      </w:r>
    </w:p>
    <w:p w14:paraId="6833149E">
      <w:pPr>
        <w:numPr>
          <w:ilvl w:val="0"/>
          <w:numId w:val="7"/>
        </w:numPr>
      </w:pPr>
      <w:r>
        <w:rPr>
          <w:rFonts w:ascii="Calibri" w:hAnsi="Calibri"/>
          <w:color w:val="1F1F24"/>
          <w:sz w:val="19"/>
        </w:rPr>
        <w:t>Minor patches and staging-to-production publishes of approved fixes</w:t>
      </w:r>
    </w:p>
    <w:p w14:paraId="337AF8E7">
      <w:pPr>
        <w:numPr>
          <w:ilvl w:val="0"/>
          <w:numId w:val="7"/>
        </w:numPr>
      </w:pPr>
      <w:r>
        <w:rPr>
          <w:rFonts w:ascii="Calibri" w:hAnsi="Calibri"/>
          <w:color w:val="1F1F24"/>
          <w:sz w:val="19"/>
        </w:rPr>
        <w:t>Monthly health note covering incidents, content changes, and open items</w:t>
      </w:r>
    </w:p>
    <w:p w14:paraId="46736B57">
      <w:pPr>
        <w:pStyle w:val="3"/>
      </w:pPr>
      <w:r>
        <w:t>What the monthly fee does not include</w:t>
      </w:r>
    </w:p>
    <w:p w14:paraId="5B8D57DB">
      <w:pPr>
        <w:keepLines w:val="0"/>
      </w:pPr>
      <w:r>
        <w:t>New screens, extra cities, employer-console expansion, paid user-acquisition, or statutory payroll processing. Those are quoted separately if required. Either party may end managed services by giving 30 calendar days written notice after go-live.</w:t>
      </w:r>
    </w:p>
    <w:p w14:paraId="70504560">
      <w:pPr>
        <w:pStyle w:val="2"/>
      </w:pPr>
      <w:r>
        <w:t>6. Payment schedule</w:t>
      </w:r>
    </w:p>
    <w:tbl>
      <w:tblPr>
        <w:tblStyle w:val="35"/>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00"/>
        <w:gridCol w:w="4722"/>
        <w:gridCol w:w="1800"/>
      </w:tblGrid>
      <w:tr w14:paraId="4713FB2A">
        <w:tc>
          <w:tcPr>
            <w:tcW w:w="3800" w:type="dxa"/>
            <w:shd w:val="clear" w:color="auto" w:fill="5B2DCB"/>
            <w:tcMar>
              <w:top w:w="55" w:type="dxa"/>
              <w:left w:w="100" w:type="dxa"/>
              <w:bottom w:w="55" w:type="dxa"/>
              <w:right w:w="100" w:type="dxa"/>
            </w:tcMar>
            <w:vAlign w:val="center"/>
          </w:tcPr>
          <w:p w14:paraId="60EE1454">
            <w:pPr>
              <w:spacing w:before="20" w:after="20"/>
              <w:jc w:val="center"/>
            </w:pPr>
            <w:r>
              <w:rPr>
                <w:rFonts w:ascii="Calibri" w:hAnsi="Calibri"/>
                <w:b/>
                <w:color w:val="FFFFFF"/>
                <w:sz w:val="18"/>
              </w:rPr>
              <w:t>When</w:t>
            </w:r>
          </w:p>
        </w:tc>
        <w:tc>
          <w:tcPr>
            <w:tcW w:w="4722" w:type="dxa"/>
            <w:shd w:val="clear" w:color="auto" w:fill="5B2DCB"/>
            <w:tcMar>
              <w:top w:w="55" w:type="dxa"/>
              <w:left w:w="100" w:type="dxa"/>
              <w:bottom w:w="55" w:type="dxa"/>
              <w:right w:w="100" w:type="dxa"/>
            </w:tcMar>
            <w:vAlign w:val="center"/>
          </w:tcPr>
          <w:p w14:paraId="294A4803">
            <w:pPr>
              <w:spacing w:before="20" w:after="20"/>
              <w:jc w:val="center"/>
            </w:pPr>
            <w:r>
              <w:rPr>
                <w:rFonts w:ascii="Calibri" w:hAnsi="Calibri"/>
                <w:b/>
                <w:color w:val="FFFFFF"/>
                <w:sz w:val="18"/>
              </w:rPr>
              <w:t>Purpose</w:t>
            </w:r>
          </w:p>
        </w:tc>
        <w:tc>
          <w:tcPr>
            <w:tcW w:w="1800" w:type="dxa"/>
            <w:shd w:val="clear" w:color="auto" w:fill="5B2DCB"/>
            <w:tcMar>
              <w:top w:w="55" w:type="dxa"/>
              <w:left w:w="100" w:type="dxa"/>
              <w:bottom w:w="55" w:type="dxa"/>
              <w:right w:w="100" w:type="dxa"/>
            </w:tcMar>
            <w:vAlign w:val="center"/>
          </w:tcPr>
          <w:p w14:paraId="0A5C1E96">
            <w:pPr>
              <w:spacing w:before="20" w:after="20"/>
              <w:jc w:val="center"/>
            </w:pPr>
            <w:r>
              <w:rPr>
                <w:rFonts w:ascii="Calibri" w:hAnsi="Calibri"/>
                <w:b/>
                <w:color w:val="FFFFFF"/>
                <w:sz w:val="18"/>
              </w:rPr>
              <w:t>Amount</w:t>
            </w:r>
          </w:p>
        </w:tc>
      </w:tr>
      <w:tr w14:paraId="75C37FBE">
        <w:tc>
          <w:tcPr>
            <w:tcW w:w="3800" w:type="dxa"/>
            <w:tcMar>
              <w:top w:w="55" w:type="dxa"/>
              <w:left w:w="100" w:type="dxa"/>
              <w:bottom w:w="55" w:type="dxa"/>
              <w:right w:w="100" w:type="dxa"/>
            </w:tcMar>
            <w:vAlign w:val="center"/>
          </w:tcPr>
          <w:p w14:paraId="36F2862E">
            <w:pPr>
              <w:spacing w:before="20" w:after="20"/>
              <w:jc w:val="center"/>
            </w:pPr>
            <w:r>
              <w:rPr>
                <w:rFonts w:ascii="Calibri" w:hAnsi="Calibri"/>
                <w:b w:val="0"/>
                <w:color w:val="1F1F24"/>
                <w:sz w:val="19"/>
              </w:rPr>
              <w:t>On written acceptance of this quotation</w:t>
            </w:r>
          </w:p>
        </w:tc>
        <w:tc>
          <w:tcPr>
            <w:tcW w:w="4722" w:type="dxa"/>
            <w:tcMar>
              <w:top w:w="55" w:type="dxa"/>
              <w:left w:w="100" w:type="dxa"/>
              <w:bottom w:w="55" w:type="dxa"/>
              <w:right w:w="100" w:type="dxa"/>
            </w:tcMar>
            <w:vAlign w:val="center"/>
          </w:tcPr>
          <w:p w14:paraId="505247F7">
            <w:pPr>
              <w:spacing w:before="20" w:after="20"/>
              <w:jc w:val="center"/>
            </w:pPr>
            <w:r>
              <w:rPr>
                <w:rFonts w:ascii="Calibri" w:hAnsi="Calibri"/>
                <w:b w:val="0"/>
                <w:color w:val="1F1F24"/>
                <w:sz w:val="19"/>
              </w:rPr>
              <w:t>50% of the one-time fee to commence work</w:t>
            </w:r>
          </w:p>
        </w:tc>
        <w:tc>
          <w:tcPr>
            <w:tcW w:w="1800" w:type="dxa"/>
            <w:tcMar>
              <w:top w:w="55" w:type="dxa"/>
              <w:left w:w="100" w:type="dxa"/>
              <w:bottom w:w="55" w:type="dxa"/>
              <w:right w:w="100" w:type="dxa"/>
            </w:tcMar>
            <w:vAlign w:val="center"/>
          </w:tcPr>
          <w:p w14:paraId="1F377038">
            <w:pPr>
              <w:spacing w:before="20" w:after="20"/>
              <w:jc w:val="center"/>
            </w:pPr>
            <w:r>
              <w:rPr>
                <w:rFonts w:ascii="Calibri" w:hAnsi="Calibri"/>
                <w:b w:val="0"/>
                <w:color w:val="1F1F24"/>
                <w:sz w:val="19"/>
              </w:rPr>
              <w:t>INR 30,000</w:t>
            </w:r>
          </w:p>
        </w:tc>
      </w:tr>
      <w:tr w14:paraId="18683762">
        <w:tc>
          <w:tcPr>
            <w:tcW w:w="3800" w:type="dxa"/>
            <w:shd w:val="clear" w:color="auto" w:fill="FBFAFE"/>
            <w:tcMar>
              <w:top w:w="55" w:type="dxa"/>
              <w:left w:w="100" w:type="dxa"/>
              <w:bottom w:w="55" w:type="dxa"/>
              <w:right w:w="100" w:type="dxa"/>
            </w:tcMar>
            <w:vAlign w:val="center"/>
          </w:tcPr>
          <w:p w14:paraId="325F5D71">
            <w:pPr>
              <w:spacing w:before="20" w:after="20"/>
              <w:jc w:val="center"/>
            </w:pPr>
            <w:r>
              <w:rPr>
                <w:rFonts w:ascii="Calibri" w:hAnsi="Calibri"/>
                <w:b w:val="0"/>
                <w:color w:val="1F1F24"/>
                <w:sz w:val="19"/>
              </w:rPr>
              <w:t>On deployment / go-live</w:t>
            </w:r>
          </w:p>
        </w:tc>
        <w:tc>
          <w:tcPr>
            <w:tcW w:w="4722" w:type="dxa"/>
            <w:shd w:val="clear" w:color="auto" w:fill="FBFAFE"/>
            <w:tcMar>
              <w:top w:w="55" w:type="dxa"/>
              <w:left w:w="100" w:type="dxa"/>
              <w:bottom w:w="55" w:type="dxa"/>
              <w:right w:w="100" w:type="dxa"/>
            </w:tcMar>
            <w:vAlign w:val="center"/>
          </w:tcPr>
          <w:p w14:paraId="1CA6A612">
            <w:pPr>
              <w:spacing w:before="20" w:after="20"/>
              <w:jc w:val="center"/>
            </w:pPr>
            <w:r>
              <w:rPr>
                <w:rFonts w:ascii="Calibri" w:hAnsi="Calibri"/>
                <w:b w:val="0"/>
                <w:color w:val="1F1F24"/>
                <w:sz w:val="19"/>
              </w:rPr>
              <w:t>Balance of the one-time fee</w:t>
            </w:r>
          </w:p>
        </w:tc>
        <w:tc>
          <w:tcPr>
            <w:tcW w:w="1800" w:type="dxa"/>
            <w:shd w:val="clear" w:color="auto" w:fill="FBFAFE"/>
            <w:tcMar>
              <w:top w:w="55" w:type="dxa"/>
              <w:left w:w="100" w:type="dxa"/>
              <w:bottom w:w="55" w:type="dxa"/>
              <w:right w:w="100" w:type="dxa"/>
            </w:tcMar>
            <w:vAlign w:val="center"/>
          </w:tcPr>
          <w:p w14:paraId="14AD7917">
            <w:pPr>
              <w:spacing w:before="20" w:after="20"/>
              <w:jc w:val="center"/>
            </w:pPr>
            <w:r>
              <w:rPr>
                <w:rFonts w:ascii="Calibri" w:hAnsi="Calibri"/>
                <w:b w:val="0"/>
                <w:color w:val="1F1F24"/>
                <w:sz w:val="19"/>
              </w:rPr>
              <w:t>INR 30,000</w:t>
            </w:r>
          </w:p>
        </w:tc>
      </w:tr>
      <w:tr w14:paraId="3F6E4020">
        <w:tc>
          <w:tcPr>
            <w:tcW w:w="3800" w:type="dxa"/>
            <w:tcMar>
              <w:top w:w="55" w:type="dxa"/>
              <w:left w:w="100" w:type="dxa"/>
              <w:bottom w:w="55" w:type="dxa"/>
              <w:right w:w="100" w:type="dxa"/>
            </w:tcMar>
            <w:vAlign w:val="center"/>
          </w:tcPr>
          <w:p w14:paraId="1F757831">
            <w:pPr>
              <w:spacing w:before="20" w:after="20"/>
              <w:jc w:val="center"/>
            </w:pPr>
            <w:r>
              <w:rPr>
                <w:rFonts w:ascii="Calibri" w:hAnsi="Calibri"/>
                <w:b w:val="0"/>
                <w:color w:val="1F1F24"/>
                <w:sz w:val="19"/>
              </w:rPr>
              <w:t>Monthly from the month of go-live</w:t>
            </w:r>
          </w:p>
        </w:tc>
        <w:tc>
          <w:tcPr>
            <w:tcW w:w="4722" w:type="dxa"/>
            <w:tcMar>
              <w:top w:w="55" w:type="dxa"/>
              <w:left w:w="100" w:type="dxa"/>
              <w:bottom w:w="55" w:type="dxa"/>
              <w:right w:w="100" w:type="dxa"/>
            </w:tcMar>
            <w:vAlign w:val="center"/>
          </w:tcPr>
          <w:p w14:paraId="1365CF2A">
            <w:pPr>
              <w:spacing w:before="20" w:after="20"/>
              <w:jc w:val="center"/>
            </w:pPr>
            <w:r>
              <w:rPr>
                <w:rFonts w:ascii="Calibri" w:hAnsi="Calibri"/>
                <w:b w:val="0"/>
                <w:color w:val="1F1F24"/>
                <w:sz w:val="19"/>
              </w:rPr>
              <w:t>Managed services, billed in advance</w:t>
            </w:r>
          </w:p>
        </w:tc>
        <w:tc>
          <w:tcPr>
            <w:tcW w:w="1800" w:type="dxa"/>
            <w:tcMar>
              <w:top w:w="55" w:type="dxa"/>
              <w:left w:w="100" w:type="dxa"/>
              <w:bottom w:w="55" w:type="dxa"/>
              <w:right w:w="100" w:type="dxa"/>
            </w:tcMar>
            <w:vAlign w:val="center"/>
          </w:tcPr>
          <w:p w14:paraId="00B89F38">
            <w:pPr>
              <w:spacing w:before="20" w:after="20"/>
              <w:jc w:val="center"/>
            </w:pPr>
            <w:r>
              <w:rPr>
                <w:rFonts w:ascii="Calibri" w:hAnsi="Calibri"/>
                <w:b w:val="0"/>
                <w:color w:val="1F1F24"/>
                <w:sz w:val="19"/>
              </w:rPr>
              <w:t>INR 10,000</w:t>
            </w:r>
          </w:p>
        </w:tc>
      </w:tr>
    </w:tbl>
    <w:p w14:paraId="309507BA">
      <w:pPr>
        <w:spacing w:after="40"/>
        <w:jc w:val="center"/>
      </w:pPr>
    </w:p>
    <w:p w14:paraId="52967225">
      <w:pPr>
        <w:pStyle w:val="3"/>
      </w:pPr>
      <w:r>
        <w:t>Invoicing</w:t>
      </w:r>
    </w:p>
    <w:p w14:paraId="72330EEC">
      <w:pPr>
        <w:keepLines w:val="0"/>
      </w:pPr>
      <w:r>
        <w:t>All amounts are in Indian Rupees and exclusive of applicable GST unless stated otherwise. The one-time fee is due as stated above. Monthly managed services are invoiced in advance for the coming month. Work on a milestone begins after the related payment is received, unless Nhancio agrees otherwise in writing.</w:t>
      </w:r>
    </w:p>
    <w:p w14:paraId="4B7EDC28">
      <w:pPr>
        <w:pStyle w:val="2"/>
      </w:pPr>
      <w:r>
        <w:t>7. Delivery approach</w:t>
      </w:r>
    </w:p>
    <w:tbl>
      <w:tblPr>
        <w:tblStyle w:val="35"/>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4361"/>
        <w:gridCol w:w="4361"/>
      </w:tblGrid>
      <w:tr w14:paraId="0147C9AC">
        <w:tc>
          <w:tcPr>
            <w:tcW w:w="1600" w:type="dxa"/>
            <w:shd w:val="clear" w:color="auto" w:fill="5B2DCB"/>
            <w:tcMar>
              <w:top w:w="55" w:type="dxa"/>
              <w:left w:w="100" w:type="dxa"/>
              <w:bottom w:w="55" w:type="dxa"/>
              <w:right w:w="100" w:type="dxa"/>
            </w:tcMar>
            <w:vAlign w:val="center"/>
          </w:tcPr>
          <w:p w14:paraId="7397C39E">
            <w:pPr>
              <w:spacing w:before="20" w:after="20"/>
              <w:jc w:val="center"/>
            </w:pPr>
            <w:r>
              <w:rPr>
                <w:rFonts w:ascii="Calibri" w:hAnsi="Calibri"/>
                <w:b/>
                <w:color w:val="FFFFFF"/>
                <w:sz w:val="18"/>
              </w:rPr>
              <w:t>Stage</w:t>
            </w:r>
          </w:p>
        </w:tc>
        <w:tc>
          <w:tcPr>
            <w:tcW w:w="4361" w:type="dxa"/>
            <w:shd w:val="clear" w:color="auto" w:fill="5B2DCB"/>
            <w:tcMar>
              <w:top w:w="55" w:type="dxa"/>
              <w:left w:w="100" w:type="dxa"/>
              <w:bottom w:w="55" w:type="dxa"/>
              <w:right w:w="100" w:type="dxa"/>
            </w:tcMar>
            <w:vAlign w:val="center"/>
          </w:tcPr>
          <w:p w14:paraId="5F4EE434">
            <w:pPr>
              <w:spacing w:before="20" w:after="20"/>
              <w:jc w:val="center"/>
            </w:pPr>
            <w:r>
              <w:rPr>
                <w:rFonts w:ascii="Calibri" w:hAnsi="Calibri"/>
                <w:b/>
                <w:color w:val="FFFFFF"/>
                <w:sz w:val="18"/>
              </w:rPr>
              <w:t>Nhancio delivers</w:t>
            </w:r>
          </w:p>
        </w:tc>
        <w:tc>
          <w:tcPr>
            <w:tcW w:w="4361" w:type="dxa"/>
            <w:shd w:val="clear" w:color="auto" w:fill="5B2DCB"/>
            <w:tcMar>
              <w:top w:w="55" w:type="dxa"/>
              <w:left w:w="100" w:type="dxa"/>
              <w:bottom w:w="55" w:type="dxa"/>
              <w:right w:w="100" w:type="dxa"/>
            </w:tcMar>
            <w:vAlign w:val="center"/>
          </w:tcPr>
          <w:p w14:paraId="3CC6832A">
            <w:pPr>
              <w:spacing w:before="20" w:after="20"/>
              <w:jc w:val="center"/>
            </w:pPr>
            <w:r>
              <w:rPr>
                <w:rFonts w:ascii="Calibri" w:hAnsi="Calibri"/>
                <w:b/>
                <w:color w:val="FFFFFF"/>
                <w:sz w:val="18"/>
              </w:rPr>
              <w:t>Client provides</w:t>
            </w:r>
          </w:p>
        </w:tc>
      </w:tr>
      <w:tr w14:paraId="60CB2187">
        <w:tc>
          <w:tcPr>
            <w:tcW w:w="1600" w:type="dxa"/>
            <w:tcMar>
              <w:top w:w="55" w:type="dxa"/>
              <w:left w:w="100" w:type="dxa"/>
              <w:bottom w:w="55" w:type="dxa"/>
              <w:right w:w="100" w:type="dxa"/>
            </w:tcMar>
            <w:vAlign w:val="center"/>
          </w:tcPr>
          <w:p w14:paraId="018B2FEE">
            <w:pPr>
              <w:spacing w:before="20" w:after="20"/>
              <w:jc w:val="center"/>
            </w:pPr>
            <w:r>
              <w:rPr>
                <w:rFonts w:ascii="Calibri" w:hAnsi="Calibri"/>
                <w:b w:val="0"/>
                <w:color w:val="1F1F24"/>
                <w:sz w:val="19"/>
              </w:rPr>
              <w:t>Kickoff</w:t>
            </w:r>
          </w:p>
        </w:tc>
        <w:tc>
          <w:tcPr>
            <w:tcW w:w="4361" w:type="dxa"/>
            <w:tcMar>
              <w:top w:w="55" w:type="dxa"/>
              <w:left w:w="100" w:type="dxa"/>
              <w:bottom w:w="55" w:type="dxa"/>
              <w:right w:w="100" w:type="dxa"/>
            </w:tcMar>
            <w:vAlign w:val="center"/>
          </w:tcPr>
          <w:p w14:paraId="2EBB1ACF">
            <w:pPr>
              <w:spacing w:before="20" w:after="20"/>
              <w:jc w:val="center"/>
            </w:pPr>
            <w:r>
              <w:rPr>
                <w:rFonts w:ascii="Calibri" w:hAnsi="Calibri"/>
                <w:b w:val="0"/>
                <w:color w:val="1F1F24"/>
                <w:sz w:val="19"/>
              </w:rPr>
              <w:t>Feature map from Pronto/</w:t>
            </w:r>
            <w:r>
              <w:rPr>
                <w:b w:val="0"/>
                <w:color w:val="1F1F24"/>
                <w:sz w:val="19"/>
                <w:lang w:val="en-US"/>
              </w:rPr>
              <w:t>Snabbit</w:t>
            </w:r>
            <w:r>
              <w:rPr>
                <w:rFonts w:ascii="Calibri" w:hAnsi="Calibri"/>
                <w:b w:val="0"/>
                <w:color w:val="1F1F24"/>
                <w:sz w:val="19"/>
              </w:rPr>
              <w:t xml:space="preserve"> to Worker X, environment plan, and week-by-week build list</w:t>
            </w:r>
          </w:p>
        </w:tc>
        <w:tc>
          <w:tcPr>
            <w:tcW w:w="4361" w:type="dxa"/>
            <w:tcMar>
              <w:top w:w="55" w:type="dxa"/>
              <w:left w:w="100" w:type="dxa"/>
              <w:bottom w:w="55" w:type="dxa"/>
              <w:right w:w="100" w:type="dxa"/>
            </w:tcMar>
            <w:vAlign w:val="center"/>
          </w:tcPr>
          <w:p w14:paraId="3EA6C1D3">
            <w:pPr>
              <w:spacing w:before="20" w:after="20"/>
              <w:jc w:val="center"/>
            </w:pPr>
            <w:r>
              <w:rPr>
                <w:rFonts w:ascii="Calibri" w:hAnsi="Calibri"/>
                <w:b w:val="0"/>
                <w:color w:val="1F1F24"/>
                <w:sz w:val="19"/>
              </w:rPr>
              <w:t>Brand assets, Telugu/English copy, zone list, and store/payment accounts</w:t>
            </w:r>
          </w:p>
        </w:tc>
      </w:tr>
      <w:tr w14:paraId="4A64DAAC">
        <w:tc>
          <w:tcPr>
            <w:tcW w:w="1600" w:type="dxa"/>
            <w:shd w:val="clear" w:color="auto" w:fill="FBFAFE"/>
            <w:tcMar>
              <w:top w:w="55" w:type="dxa"/>
              <w:left w:w="100" w:type="dxa"/>
              <w:bottom w:w="55" w:type="dxa"/>
              <w:right w:w="100" w:type="dxa"/>
            </w:tcMar>
            <w:vAlign w:val="center"/>
          </w:tcPr>
          <w:p w14:paraId="2B62173D">
            <w:pPr>
              <w:spacing w:before="20" w:after="20"/>
              <w:jc w:val="center"/>
            </w:pPr>
            <w:r>
              <w:rPr>
                <w:rFonts w:ascii="Calibri" w:hAnsi="Calibri"/>
                <w:b w:val="0"/>
                <w:color w:val="1F1F24"/>
                <w:sz w:val="19"/>
              </w:rPr>
              <w:t>Build</w:t>
            </w:r>
          </w:p>
        </w:tc>
        <w:tc>
          <w:tcPr>
            <w:tcW w:w="4361" w:type="dxa"/>
            <w:shd w:val="clear" w:color="auto" w:fill="FBFAFE"/>
            <w:tcMar>
              <w:top w:w="55" w:type="dxa"/>
              <w:left w:w="100" w:type="dxa"/>
              <w:bottom w:w="55" w:type="dxa"/>
              <w:right w:w="100" w:type="dxa"/>
            </w:tcMar>
            <w:vAlign w:val="center"/>
          </w:tcPr>
          <w:p w14:paraId="3FCA4B31">
            <w:pPr>
              <w:spacing w:before="20" w:after="20"/>
              <w:jc w:val="center"/>
            </w:pPr>
            <w:r>
              <w:rPr>
                <w:rFonts w:ascii="Calibri" w:hAnsi="Calibri"/>
                <w:b w:val="0"/>
                <w:color w:val="1F1F24"/>
                <w:sz w:val="19"/>
              </w:rPr>
              <w:t>Worker app modules in the agreed first-release scope, with staging access</w:t>
            </w:r>
          </w:p>
        </w:tc>
        <w:tc>
          <w:tcPr>
            <w:tcW w:w="4361" w:type="dxa"/>
            <w:shd w:val="clear" w:color="auto" w:fill="FBFAFE"/>
            <w:tcMar>
              <w:top w:w="55" w:type="dxa"/>
              <w:left w:w="100" w:type="dxa"/>
              <w:bottom w:w="55" w:type="dxa"/>
              <w:right w:w="100" w:type="dxa"/>
            </w:tcMar>
            <w:vAlign w:val="center"/>
          </w:tcPr>
          <w:p w14:paraId="62CD59E1">
            <w:pPr>
              <w:spacing w:before="20" w:after="20"/>
              <w:jc w:val="center"/>
            </w:pPr>
            <w:r>
              <w:rPr>
                <w:rFonts w:ascii="Calibri" w:hAnsi="Calibri"/>
                <w:b w:val="0"/>
                <w:color w:val="1F1F24"/>
                <w:sz w:val="19"/>
              </w:rPr>
              <w:t>Review comments within two working days of each staging drop</w:t>
            </w:r>
          </w:p>
        </w:tc>
      </w:tr>
      <w:tr w14:paraId="275B25D8">
        <w:tc>
          <w:tcPr>
            <w:tcW w:w="1600" w:type="dxa"/>
            <w:tcMar>
              <w:top w:w="55" w:type="dxa"/>
              <w:left w:w="100" w:type="dxa"/>
              <w:bottom w:w="55" w:type="dxa"/>
              <w:right w:w="100" w:type="dxa"/>
            </w:tcMar>
            <w:vAlign w:val="center"/>
          </w:tcPr>
          <w:p w14:paraId="05D58D5E">
            <w:pPr>
              <w:spacing w:before="20" w:after="20"/>
              <w:jc w:val="center"/>
            </w:pPr>
            <w:r>
              <w:rPr>
                <w:rFonts w:ascii="Calibri" w:hAnsi="Calibri"/>
                <w:b w:val="0"/>
                <w:color w:val="1F1F24"/>
                <w:sz w:val="19"/>
              </w:rPr>
              <w:t>UAT</w:t>
            </w:r>
          </w:p>
        </w:tc>
        <w:tc>
          <w:tcPr>
            <w:tcW w:w="4361" w:type="dxa"/>
            <w:tcMar>
              <w:top w:w="55" w:type="dxa"/>
              <w:left w:w="100" w:type="dxa"/>
              <w:bottom w:w="55" w:type="dxa"/>
              <w:right w:w="100" w:type="dxa"/>
            </w:tcMar>
            <w:vAlign w:val="center"/>
          </w:tcPr>
          <w:p w14:paraId="00FEDD4A">
            <w:pPr>
              <w:spacing w:before="20" w:after="20"/>
              <w:jc w:val="center"/>
            </w:pPr>
            <w:r>
              <w:rPr>
                <w:rFonts w:ascii="Calibri" w:hAnsi="Calibri"/>
                <w:b w:val="0"/>
                <w:color w:val="1F1F24"/>
                <w:sz w:val="19"/>
              </w:rPr>
              <w:t>Test notes, defect closure for in-scope items, and a go-live checklist</w:t>
            </w:r>
          </w:p>
        </w:tc>
        <w:tc>
          <w:tcPr>
            <w:tcW w:w="4361" w:type="dxa"/>
            <w:tcMar>
              <w:top w:w="55" w:type="dxa"/>
              <w:left w:w="100" w:type="dxa"/>
              <w:bottom w:w="55" w:type="dxa"/>
              <w:right w:w="100" w:type="dxa"/>
            </w:tcMar>
            <w:vAlign w:val="center"/>
          </w:tcPr>
          <w:p w14:paraId="4EC7C285">
            <w:pPr>
              <w:spacing w:before="20" w:after="20"/>
              <w:jc w:val="center"/>
            </w:pPr>
            <w:r>
              <w:rPr>
                <w:rFonts w:ascii="Calibri" w:hAnsi="Calibri"/>
                <w:b w:val="0"/>
                <w:color w:val="1F1F24"/>
                <w:sz w:val="19"/>
              </w:rPr>
              <w:t>Named reviewer, sample jobs/shifts, and written UAT sign-off</w:t>
            </w:r>
          </w:p>
        </w:tc>
      </w:tr>
      <w:tr w14:paraId="69B2527E">
        <w:tc>
          <w:tcPr>
            <w:tcW w:w="1600" w:type="dxa"/>
            <w:shd w:val="clear" w:color="auto" w:fill="FBFAFE"/>
            <w:tcMar>
              <w:top w:w="55" w:type="dxa"/>
              <w:left w:w="100" w:type="dxa"/>
              <w:bottom w:w="55" w:type="dxa"/>
              <w:right w:w="100" w:type="dxa"/>
            </w:tcMar>
            <w:vAlign w:val="center"/>
          </w:tcPr>
          <w:p w14:paraId="01E3943B">
            <w:pPr>
              <w:spacing w:before="20" w:after="20"/>
              <w:jc w:val="center"/>
            </w:pPr>
            <w:r>
              <w:rPr>
                <w:rFonts w:ascii="Calibri" w:hAnsi="Calibri"/>
                <w:b w:val="0"/>
                <w:color w:val="1F1F24"/>
                <w:sz w:val="19"/>
              </w:rPr>
              <w:t>Go-live</w:t>
            </w:r>
          </w:p>
        </w:tc>
        <w:tc>
          <w:tcPr>
            <w:tcW w:w="4361" w:type="dxa"/>
            <w:shd w:val="clear" w:color="auto" w:fill="FBFAFE"/>
            <w:tcMar>
              <w:top w:w="55" w:type="dxa"/>
              <w:left w:w="100" w:type="dxa"/>
              <w:bottom w:w="55" w:type="dxa"/>
              <w:right w:w="100" w:type="dxa"/>
            </w:tcMar>
            <w:vAlign w:val="center"/>
          </w:tcPr>
          <w:p w14:paraId="15B6DC92">
            <w:pPr>
              <w:spacing w:before="20" w:after="20"/>
              <w:jc w:val="center"/>
            </w:pPr>
            <w:r>
              <w:rPr>
                <w:rFonts w:ascii="Calibri" w:hAnsi="Calibri"/>
                <w:b w:val="0"/>
                <w:color w:val="1F1F24"/>
                <w:sz w:val="19"/>
              </w:rPr>
              <w:t>Production deployment, store listing support, and handover of credentials in the client name</w:t>
            </w:r>
          </w:p>
        </w:tc>
        <w:tc>
          <w:tcPr>
            <w:tcW w:w="4361" w:type="dxa"/>
            <w:shd w:val="clear" w:color="auto" w:fill="FBFAFE"/>
            <w:tcMar>
              <w:top w:w="55" w:type="dxa"/>
              <w:left w:w="100" w:type="dxa"/>
              <w:bottom w:w="55" w:type="dxa"/>
              <w:right w:w="100" w:type="dxa"/>
            </w:tcMar>
            <w:vAlign w:val="center"/>
          </w:tcPr>
          <w:p w14:paraId="3D765F97">
            <w:pPr>
              <w:spacing w:before="20" w:after="20"/>
              <w:jc w:val="center"/>
            </w:pPr>
            <w:r>
              <w:rPr>
                <w:rFonts w:ascii="Calibri" w:hAnsi="Calibri"/>
                <w:b w:val="0"/>
                <w:color w:val="1F1F24"/>
                <w:sz w:val="19"/>
              </w:rPr>
              <w:t>Store approval, final content, and the remaining one-time payment</w:t>
            </w:r>
          </w:p>
        </w:tc>
      </w:tr>
      <w:tr w14:paraId="4EA88E2E">
        <w:tc>
          <w:tcPr>
            <w:tcW w:w="1600" w:type="dxa"/>
            <w:tcMar>
              <w:top w:w="55" w:type="dxa"/>
              <w:left w:w="100" w:type="dxa"/>
              <w:bottom w:w="55" w:type="dxa"/>
              <w:right w:w="100" w:type="dxa"/>
            </w:tcMar>
            <w:vAlign w:val="center"/>
          </w:tcPr>
          <w:p w14:paraId="3B9A4D0D">
            <w:pPr>
              <w:spacing w:before="20" w:after="20"/>
              <w:jc w:val="center"/>
            </w:pPr>
            <w:r>
              <w:rPr>
                <w:rFonts w:ascii="Calibri" w:hAnsi="Calibri"/>
                <w:b w:val="0"/>
                <w:color w:val="1F1F24"/>
                <w:sz w:val="19"/>
              </w:rPr>
              <w:t>Operate</w:t>
            </w:r>
          </w:p>
        </w:tc>
        <w:tc>
          <w:tcPr>
            <w:tcW w:w="4361" w:type="dxa"/>
            <w:tcMar>
              <w:top w:w="55" w:type="dxa"/>
              <w:left w:w="100" w:type="dxa"/>
              <w:bottom w:w="55" w:type="dxa"/>
              <w:right w:w="100" w:type="dxa"/>
            </w:tcMar>
            <w:vAlign w:val="center"/>
          </w:tcPr>
          <w:p w14:paraId="6C2B80D1">
            <w:pPr>
              <w:spacing w:before="20" w:after="20"/>
              <w:jc w:val="center"/>
            </w:pPr>
            <w:r>
              <w:rPr>
                <w:rFonts w:ascii="Calibri" w:hAnsi="Calibri"/>
                <w:b w:val="0"/>
                <w:color w:val="1F1F24"/>
                <w:sz w:val="19"/>
              </w:rPr>
              <w:t>Bug management and content updates under the monthly retainer</w:t>
            </w:r>
          </w:p>
        </w:tc>
        <w:tc>
          <w:tcPr>
            <w:tcW w:w="4361" w:type="dxa"/>
            <w:tcMar>
              <w:top w:w="55" w:type="dxa"/>
              <w:left w:w="100" w:type="dxa"/>
              <w:bottom w:w="55" w:type="dxa"/>
              <w:right w:w="100" w:type="dxa"/>
            </w:tcMar>
            <w:vAlign w:val="center"/>
          </w:tcPr>
          <w:p w14:paraId="4A0BDED1">
            <w:pPr>
              <w:spacing w:before="20" w:after="20"/>
              <w:jc w:val="center"/>
            </w:pPr>
            <w:r>
              <w:rPr>
                <w:rFonts w:ascii="Calibri" w:hAnsi="Calibri"/>
                <w:b w:val="0"/>
                <w:color w:val="1F1F24"/>
                <w:sz w:val="19"/>
              </w:rPr>
              <w:t>A single content owner and a written change request for each update</w:t>
            </w:r>
          </w:p>
        </w:tc>
      </w:tr>
    </w:tbl>
    <w:p w14:paraId="29FC5F4D">
      <w:pPr>
        <w:spacing w:after="40"/>
      </w:pPr>
    </w:p>
    <w:p w14:paraId="308D7A08">
      <w:pPr>
        <w:pStyle w:val="3"/>
      </w:pPr>
      <w:r>
        <w:t>Build window</w:t>
      </w:r>
    </w:p>
    <w:p w14:paraId="53B63F6A">
      <w:pPr>
        <w:keepLines w:val="0"/>
      </w:pPr>
      <w:r>
        <w:t>Approximately 4 to 6 weeks from kickoff, subject to timely content, approvals, and store accounts Dates move if copy, accounts, or approvals are late. Nhancio will flag slippage as soon as it is visible.</w:t>
      </w:r>
    </w:p>
    <w:p w14:paraId="6772B177">
      <w:pPr>
        <w:pStyle w:val="2"/>
      </w:pPr>
      <w:r>
        <w:t>8. Assumptions and exclusions</w:t>
      </w:r>
    </w:p>
    <w:p w14:paraId="061DF454">
      <w:pPr>
        <w:pStyle w:val="3"/>
      </w:pPr>
      <w:r>
        <w:t>Assumptions</w:t>
      </w:r>
    </w:p>
    <w:p w14:paraId="69584D8C">
      <w:pPr>
        <w:numPr>
          <w:ilvl w:val="0"/>
          <w:numId w:val="7"/>
        </w:numPr>
      </w:pPr>
      <w:r>
        <w:rPr>
          <w:rFonts w:ascii="Calibri" w:hAnsi="Calibri"/>
          <w:color w:val="1F1F24"/>
          <w:sz w:val="19"/>
        </w:rPr>
        <w:t xml:space="preserve">Nhancio will reuse proven product patterns from Pronto and </w:t>
      </w:r>
      <w:r>
        <w:rPr>
          <w:color w:val="1F1F24"/>
          <w:sz w:val="19"/>
          <w:lang w:val="en-US"/>
        </w:rPr>
        <w:t>Snabbit</w:t>
      </w:r>
      <w:r>
        <w:rPr>
          <w:rFonts w:ascii="Calibri" w:hAnsi="Calibri"/>
          <w:color w:val="1F1F24"/>
          <w:sz w:val="19"/>
        </w:rPr>
        <w:t xml:space="preserve"> rather than inventing a new marketplace category</w:t>
      </w:r>
    </w:p>
    <w:p w14:paraId="374FB623">
      <w:pPr>
        <w:numPr>
          <w:ilvl w:val="0"/>
          <w:numId w:val="7"/>
        </w:numPr>
      </w:pPr>
      <w:r>
        <w:rPr>
          <w:rFonts w:ascii="Calibri" w:hAnsi="Calibri"/>
          <w:color w:val="1F1F24"/>
          <w:sz w:val="19"/>
        </w:rPr>
        <w:t>The client will supply brand assets, Telugu/English copy, job categories, and Hyderabad zone lists on request</w:t>
      </w:r>
    </w:p>
    <w:p w14:paraId="213C2A80">
      <w:pPr>
        <w:numPr>
          <w:ilvl w:val="0"/>
          <w:numId w:val="7"/>
        </w:numPr>
      </w:pPr>
      <w:r>
        <w:rPr>
          <w:rFonts w:ascii="Calibri" w:hAnsi="Calibri"/>
          <w:color w:val="1F1F24"/>
          <w:sz w:val="19"/>
        </w:rPr>
        <w:t>Store developer accounts, domains, and payment/UPI credentials will be provided by the client or created in the client's name</w:t>
      </w:r>
    </w:p>
    <w:p w14:paraId="38C1568D">
      <w:pPr>
        <w:numPr>
          <w:ilvl w:val="0"/>
          <w:numId w:val="7"/>
        </w:numPr>
      </w:pPr>
      <w:r>
        <w:rPr>
          <w:rFonts w:ascii="Calibri" w:hAnsi="Calibri"/>
          <w:color w:val="1F1F24"/>
          <w:sz w:val="19"/>
        </w:rPr>
        <w:t>One worker application surface is in scope (mobile-first web or a single store build, as agreed at kickoff)</w:t>
      </w:r>
    </w:p>
    <w:p w14:paraId="324FAAE2">
      <w:pPr>
        <w:numPr>
          <w:ilvl w:val="0"/>
          <w:numId w:val="7"/>
        </w:numPr>
      </w:pPr>
      <w:r>
        <w:rPr>
          <w:rFonts w:ascii="Calibri" w:hAnsi="Calibri"/>
          <w:color w:val="1F1F24"/>
          <w:sz w:val="19"/>
        </w:rPr>
        <w:t>Managed services cover bugs and content updates, not a second product or a full rewrite</w:t>
      </w:r>
    </w:p>
    <w:p w14:paraId="7EB37829">
      <w:pPr>
        <w:pStyle w:val="3"/>
      </w:pPr>
      <w:r>
        <w:t>Not included</w:t>
      </w:r>
    </w:p>
    <w:p w14:paraId="69DF5E0F">
      <w:pPr>
        <w:numPr>
          <w:ilvl w:val="0"/>
          <w:numId w:val="7"/>
        </w:numPr>
      </w:pPr>
      <w:r>
        <w:rPr>
          <w:rFonts w:ascii="Calibri" w:hAnsi="Calibri"/>
          <w:color w:val="1F1F24"/>
          <w:sz w:val="19"/>
        </w:rPr>
        <w:t>Employer/client-facing console beyond the minimum needed to publish jobs and content</w:t>
      </w:r>
    </w:p>
    <w:p w14:paraId="3CAE773A">
      <w:pPr>
        <w:numPr>
          <w:ilvl w:val="0"/>
          <w:numId w:val="7"/>
        </w:numPr>
      </w:pPr>
      <w:r>
        <w:rPr>
          <w:rFonts w:ascii="Calibri" w:hAnsi="Calibri"/>
          <w:color w:val="1F1F24"/>
          <w:sz w:val="19"/>
        </w:rPr>
        <w:t>New feature development outside the agreed Worker X first-release scope</w:t>
      </w:r>
    </w:p>
    <w:p w14:paraId="6C111043">
      <w:pPr>
        <w:numPr>
          <w:ilvl w:val="0"/>
          <w:numId w:val="7"/>
        </w:numPr>
      </w:pPr>
      <w:r>
        <w:rPr>
          <w:rFonts w:ascii="Calibri" w:hAnsi="Calibri"/>
          <w:color w:val="1F1F24"/>
          <w:sz w:val="19"/>
        </w:rPr>
        <w:t>Play Store / App Store developer account fees, Apple/Google review charges, SMS/OTP vendor fees, and payment-gateway transaction charges</w:t>
      </w:r>
    </w:p>
    <w:p w14:paraId="7D340F36">
      <w:pPr>
        <w:numPr>
          <w:ilvl w:val="0"/>
          <w:numId w:val="7"/>
        </w:numPr>
      </w:pPr>
      <w:r>
        <w:rPr>
          <w:rFonts w:ascii="Calibri" w:hAnsi="Calibri"/>
          <w:color w:val="1F1F24"/>
          <w:sz w:val="19"/>
        </w:rPr>
        <w:t>Ongoing cloud usage above the server setup included in the one-time fee</w:t>
      </w:r>
    </w:p>
    <w:p w14:paraId="1E5314B6">
      <w:pPr>
        <w:numPr>
          <w:ilvl w:val="0"/>
          <w:numId w:val="7"/>
        </w:numPr>
      </w:pPr>
      <w:r>
        <w:rPr>
          <w:rFonts w:ascii="Calibri" w:hAnsi="Calibri"/>
          <w:color w:val="1F1F24"/>
          <w:sz w:val="19"/>
        </w:rPr>
        <w:t>24/7 on-call, field operations, worker onboarding campaigns, or legal/compliance filings</w:t>
      </w:r>
    </w:p>
    <w:p w14:paraId="7E983ED2">
      <w:pPr>
        <w:numPr>
          <w:ilvl w:val="0"/>
          <w:numId w:val="7"/>
        </w:numPr>
      </w:pPr>
      <w:r>
        <w:rPr>
          <w:rFonts w:ascii="Calibri" w:hAnsi="Calibri"/>
          <w:color w:val="1F1F24"/>
          <w:sz w:val="19"/>
        </w:rPr>
        <w:t>Native maps SDKs, advanced ML matching, or payroll/ESI/PF statutory processing</w:t>
      </w:r>
    </w:p>
    <w:p w14:paraId="10D0749C">
      <w:pPr>
        <w:pStyle w:val="2"/>
      </w:pPr>
      <w:r>
        <w:t>9. Commercial and legal terms</w:t>
      </w:r>
    </w:p>
    <w:p w14:paraId="3DF1F3FF">
      <w:pPr>
        <w:pStyle w:val="3"/>
      </w:pPr>
      <w:r>
        <w:t>Validity</w:t>
      </w:r>
    </w:p>
    <w:p w14:paraId="0893DEA5">
      <w:pPr>
        <w:keepLines w:val="0"/>
      </w:pPr>
      <w:r>
        <w:t>This quotation remains valid until the stated validity date unless withdrawn earlier in writing. Unless accepted by 28 August 2026, Nhancio may revise fees or withdraw this quotation.</w:t>
      </w:r>
    </w:p>
    <w:p w14:paraId="669EBECC">
      <w:pPr>
        <w:pStyle w:val="3"/>
      </w:pPr>
      <w:r>
        <w:t>Intellectual property</w:t>
      </w:r>
    </w:p>
    <w:p w14:paraId="3E48664F">
      <w:pPr>
        <w:keepLines w:val="0"/>
      </w:pPr>
      <w:r>
        <w:t>On receipt of the one-time fee in full, the client receives a licence to use the delivered Worker X application for its Hyderabad operations. Nhancio retains pre-existing tools, libraries, and internal accelerators. Third-party services (stores, maps, SMS, UPI) remain subject to their own terms.</w:t>
      </w:r>
    </w:p>
    <w:p w14:paraId="0FEA687B">
      <w:pPr>
        <w:pStyle w:val="3"/>
      </w:pPr>
      <w:r>
        <w:t>Confidentiality</w:t>
      </w:r>
    </w:p>
    <w:p w14:paraId="0C8ED266">
      <w:pPr>
        <w:keepLines w:val="0"/>
      </w:pPr>
      <w:r>
        <w:t>Each party will keep the other party's non-public business, product, and user information confidential and use it only to perform this engagement. This quotation itself is confidential to the named client and Nhancio.</w:t>
      </w:r>
    </w:p>
    <w:p w14:paraId="3BD9696B">
      <w:pPr>
        <w:pStyle w:val="3"/>
      </w:pPr>
      <w:r>
        <w:t>Change control</w:t>
      </w:r>
    </w:p>
    <w:p w14:paraId="5B107066">
      <w:pPr>
        <w:keepLines w:val="0"/>
      </w:pPr>
      <w:r>
        <w:t>Material additions to scope — extra modules, extra cities, or employer-console work — require a written change note and a revised fee. Bug management and content updates inside the monthly retainer do not.</w:t>
      </w:r>
    </w:p>
    <w:p w14:paraId="2275953D">
      <w:pPr>
        <w:pStyle w:val="3"/>
      </w:pPr>
      <w:r>
        <w:t>Limitation and governing law</w:t>
      </w:r>
    </w:p>
    <w:p w14:paraId="0F0D7CD5">
      <w:pPr>
        <w:keepLines w:val="0"/>
      </w:pPr>
      <w:r>
        <w:t>Nhancio's aggregate liability under this quotation is limited to the fees paid for the relevant one-time or monthly period, except where applicable law does not allow that limit. This quotation is governed by the laws applicable in Telangana, India, and the competent courts there will have jurisdiction, subject to any mandatory law that applies.</w:t>
      </w:r>
    </w:p>
    <w:p w14:paraId="127B80BA">
      <w:pPr>
        <w:pStyle w:val="2"/>
      </w:pPr>
      <w:r>
        <w:t>10. Authorization</w:t>
      </w:r>
    </w:p>
    <w:p w14:paraId="5FC18786">
      <w:pPr>
        <w:spacing w:after="160"/>
      </w:pPr>
      <w:r>
        <w:t xml:space="preserve">We are ready to start Worker X as a focused Hyderabad copy of the Pronto and </w:t>
      </w:r>
      <w:r>
        <w:rPr>
          <w:lang w:val="en-US"/>
        </w:rPr>
        <w:t>Snabbit</w:t>
      </w:r>
      <w:r>
        <w:t xml:space="preserve"> worker experience, on the fees and allocation set out above. Please sign below to accept this quotation.</w:t>
      </w:r>
    </w:p>
    <w:p w14:paraId="02048DAE">
      <w:pPr>
        <w:spacing w:after="40"/>
      </w:pPr>
      <w:r>
        <w:rPr>
          <w:rFonts w:ascii="Calibri" w:hAnsi="Calibri"/>
          <w:b/>
          <w:color w:val="321E60"/>
          <w:sz w:val="21"/>
        </w:rPr>
        <w:t>For and on behalf of Nhancio</w:t>
      </w:r>
    </w:p>
    <w:p w14:paraId="546867B1">
      <w:pPr>
        <w:spacing w:after="40"/>
      </w:pPr>
      <w:r>
        <w:drawing>
          <wp:inline distT="0" distB="0" distL="114300" distR="114300">
            <wp:extent cx="1143000" cy="631190"/>
            <wp:effectExtent l="0" t="0" r="0" b="3810"/>
            <wp:docPr id="1" name="Picture 1" descr="Signature of Didigam Sathyanarayana" title="Authorized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ature of Didigam Sathyanarayana" title="Authorized signature"/>
                    <pic:cNvPicPr>
                      <a:picLocks noChangeAspect="1"/>
                    </pic:cNvPicPr>
                  </pic:nvPicPr>
                  <pic:blipFill>
                    <a:blip r:embed="rId8"/>
                    <a:stretch>
                      <a:fillRect/>
                    </a:stretch>
                  </pic:blipFill>
                  <pic:spPr>
                    <a:xfrm>
                      <a:off x="0" y="0"/>
                      <a:ext cx="1143000" cy="631448"/>
                    </a:xfrm>
                    <a:prstGeom prst="rect">
                      <a:avLst/>
                    </a:prstGeom>
                  </pic:spPr>
                </pic:pic>
              </a:graphicData>
            </a:graphic>
          </wp:inline>
        </w:drawing>
      </w:r>
    </w:p>
    <w:p w14:paraId="08C83BA6">
      <w:pPr>
        <w:spacing w:after="20"/>
      </w:pPr>
      <w:r>
        <w:rPr>
          <w:rFonts w:ascii="Calibri" w:hAnsi="Calibri"/>
          <w:b/>
          <w:color w:val="1F1F24"/>
          <w:sz w:val="21"/>
        </w:rPr>
        <w:t>Didigam Sathyanarayana</w:t>
      </w:r>
    </w:p>
    <w:p w14:paraId="64F9DDE1">
      <w:pPr>
        <w:spacing w:after="40"/>
      </w:pPr>
      <w:r>
        <w:rPr>
          <w:rFonts w:ascii="Calibri" w:hAnsi="Calibri"/>
          <w:b/>
          <w:color w:val="1F1F24"/>
          <w:sz w:val="19"/>
        </w:rPr>
        <w:t xml:space="preserve">Title: </w:t>
      </w:r>
      <w:r>
        <w:rPr>
          <w:rFonts w:ascii="Calibri" w:hAnsi="Calibri"/>
          <w:color w:val="1F1F24"/>
          <w:sz w:val="19"/>
        </w:rPr>
        <w:t>Director, Nhancio</w:t>
      </w:r>
    </w:p>
    <w:p w14:paraId="56B2E34B">
      <w:pPr>
        <w:spacing w:after="40"/>
      </w:pPr>
      <w:r>
        <w:rPr>
          <w:rFonts w:ascii="Calibri" w:hAnsi="Calibri"/>
          <w:b/>
          <w:color w:val="1F1F24"/>
          <w:sz w:val="19"/>
        </w:rPr>
        <w:t xml:space="preserve">Date: </w:t>
      </w:r>
      <w:r>
        <w:rPr>
          <w:rFonts w:ascii="Calibri" w:hAnsi="Calibri"/>
          <w:color w:val="1F1F24"/>
          <w:sz w:val="19"/>
        </w:rPr>
        <w:t>14 August 2026</w:t>
      </w:r>
    </w:p>
    <w:p w14:paraId="39354D46">
      <w:pPr>
        <w:spacing w:after="40"/>
      </w:pPr>
      <w:r>
        <w:rPr>
          <w:rFonts w:ascii="Calibri" w:hAnsi="Calibri"/>
          <w:b/>
          <w:color w:val="1F1F24"/>
          <w:sz w:val="19"/>
        </w:rPr>
        <w:t xml:space="preserve">Place: </w:t>
      </w:r>
      <w:r>
        <w:rPr>
          <w:rFonts w:ascii="Calibri" w:hAnsi="Calibri"/>
          <w:color w:val="1F1F24"/>
          <w:sz w:val="19"/>
        </w:rPr>
        <w:t>Hyderabad</w:t>
      </w:r>
    </w:p>
    <w:p w14:paraId="094A7B2F">
      <w:pPr>
        <w:pStyle w:val="3"/>
        <w:spacing w:before="280"/>
      </w:pPr>
      <w:r>
        <w:t>Client acceptance</w:t>
      </w:r>
    </w:p>
    <w:p w14:paraId="271D1A15">
      <w:pPr>
        <w:spacing w:after="80"/>
      </w:pPr>
      <w:r>
        <w:t>By signing, Worker X accepts this quotation, the INR 60,000 one-time fee allocation, and the INR 10,000 monthly managed-services fee for bug management and content updates.</w:t>
      </w:r>
    </w:p>
    <w:tbl>
      <w:tblPr>
        <w:tblStyle w:val="12"/>
        <w:tblW w:w="10322" w:type="dxa"/>
        <w:tblInd w:w="0" w:type="dxa"/>
        <w:tblLayout w:type="fixed"/>
        <w:tblCellMar>
          <w:top w:w="0" w:type="dxa"/>
          <w:left w:w="108" w:type="dxa"/>
          <w:bottom w:w="0" w:type="dxa"/>
          <w:right w:w="108" w:type="dxa"/>
        </w:tblCellMar>
      </w:tblPr>
      <w:tblGrid>
        <w:gridCol w:w="6722"/>
        <w:gridCol w:w="3600"/>
      </w:tblGrid>
      <w:tr w14:paraId="66A9FD9E">
        <w:tc>
          <w:tcPr>
            <w:tcW w:w="6722" w:type="dxa"/>
            <w:tcBorders>
              <w:bottom w:val="single" w:color="6B6E78" w:sz="8" w:space="0"/>
            </w:tcBorders>
            <w:tcMar>
              <w:top w:w="55" w:type="dxa"/>
              <w:left w:w="100" w:type="dxa"/>
              <w:bottom w:w="55" w:type="dxa"/>
              <w:right w:w="100" w:type="dxa"/>
            </w:tcMar>
            <w:vAlign w:val="center"/>
          </w:tcPr>
          <w:p w14:paraId="444F939B">
            <w:pPr>
              <w:spacing w:before="360" w:after="40"/>
            </w:pPr>
            <w:r>
              <w:t xml:space="preserve"> </w:t>
            </w:r>
          </w:p>
        </w:tc>
        <w:tc>
          <w:tcPr>
            <w:tcW w:w="3600" w:type="dxa"/>
            <w:tcBorders>
              <w:bottom w:val="single" w:color="6B6E78" w:sz="8" w:space="0"/>
            </w:tcBorders>
            <w:tcMar>
              <w:top w:w="55" w:type="dxa"/>
              <w:left w:w="100" w:type="dxa"/>
              <w:bottom w:w="55" w:type="dxa"/>
              <w:right w:w="100" w:type="dxa"/>
            </w:tcMar>
            <w:vAlign w:val="center"/>
          </w:tcPr>
          <w:p w14:paraId="7D2310D2">
            <w:pPr>
              <w:spacing w:before="360" w:after="40"/>
            </w:pPr>
            <w:r>
              <w:t xml:space="preserve"> </w:t>
            </w:r>
          </w:p>
        </w:tc>
      </w:tr>
      <w:tr w14:paraId="67407B95">
        <w:tc>
          <w:tcPr>
            <w:tcW w:w="6722" w:type="dxa"/>
            <w:tcBorders>
              <w:top w:val="nil"/>
              <w:bottom w:val="nil"/>
            </w:tcBorders>
            <w:tcMar>
              <w:top w:w="55" w:type="dxa"/>
              <w:left w:w="100" w:type="dxa"/>
              <w:bottom w:w="55" w:type="dxa"/>
              <w:right w:w="100" w:type="dxa"/>
            </w:tcMar>
            <w:vAlign w:val="center"/>
          </w:tcPr>
          <w:p w14:paraId="600BD89D">
            <w:pPr>
              <w:spacing w:before="40" w:after="0"/>
            </w:pPr>
            <w:r>
              <w:rPr>
                <w:rFonts w:ascii="Calibri" w:hAnsi="Calibri"/>
                <w:color w:val="60636E"/>
                <w:sz w:val="18"/>
              </w:rPr>
              <w:t>Authorized signatory, Worker X</w:t>
            </w:r>
          </w:p>
        </w:tc>
        <w:tc>
          <w:tcPr>
            <w:tcW w:w="3600" w:type="dxa"/>
            <w:tcBorders>
              <w:top w:val="nil"/>
              <w:bottom w:val="nil"/>
            </w:tcBorders>
            <w:tcMar>
              <w:top w:w="55" w:type="dxa"/>
              <w:left w:w="100" w:type="dxa"/>
              <w:bottom w:w="55" w:type="dxa"/>
              <w:right w:w="100" w:type="dxa"/>
            </w:tcMar>
            <w:vAlign w:val="center"/>
          </w:tcPr>
          <w:p w14:paraId="4B8E2C6E">
            <w:pPr>
              <w:spacing w:before="40" w:after="0"/>
            </w:pPr>
            <w:r>
              <w:rPr>
                <w:rFonts w:ascii="Calibri" w:hAnsi="Calibri"/>
                <w:color w:val="60636E"/>
                <w:sz w:val="18"/>
              </w:rPr>
              <w:t>Date</w:t>
            </w:r>
          </w:p>
        </w:tc>
      </w:tr>
      <w:tr w14:paraId="6EFA3163">
        <w:tc>
          <w:tcPr>
            <w:tcW w:w="6722" w:type="dxa"/>
            <w:tcBorders>
              <w:top w:val="nil"/>
              <w:left w:val="nil"/>
              <w:bottom w:val="nil"/>
              <w:right w:val="nil"/>
            </w:tcBorders>
            <w:tcMar>
              <w:top w:w="55" w:type="dxa"/>
              <w:left w:w="100" w:type="dxa"/>
              <w:bottom w:w="55" w:type="dxa"/>
              <w:right w:w="100" w:type="dxa"/>
            </w:tcMar>
            <w:vAlign w:val="center"/>
          </w:tcPr>
          <w:p w14:paraId="27E30353">
            <w:pPr>
              <w:spacing w:before="200" w:after="0"/>
            </w:pPr>
            <w:r>
              <w:rPr>
                <w:rFonts w:ascii="Calibri" w:hAnsi="Calibri"/>
                <w:color w:val="60636E"/>
                <w:sz w:val="18"/>
              </w:rPr>
              <w:t>Name / title</w:t>
            </w:r>
          </w:p>
        </w:tc>
        <w:tc>
          <w:tcPr>
            <w:tcW w:w="3600" w:type="dxa"/>
            <w:tcBorders>
              <w:top w:val="nil"/>
              <w:left w:val="nil"/>
              <w:bottom w:val="nil"/>
              <w:right w:val="nil"/>
            </w:tcBorders>
            <w:tcMar>
              <w:top w:w="55" w:type="dxa"/>
              <w:left w:w="100" w:type="dxa"/>
              <w:bottom w:w="55" w:type="dxa"/>
              <w:right w:w="100" w:type="dxa"/>
            </w:tcMar>
            <w:vAlign w:val="center"/>
          </w:tcPr>
          <w:p w14:paraId="2B4A1B22">
            <w:pPr>
              <w:spacing w:before="200" w:after="0"/>
            </w:pPr>
            <w:r>
              <w:rPr>
                <w:rFonts w:ascii="Calibri" w:hAnsi="Calibri"/>
                <w:color w:val="60636E"/>
                <w:sz w:val="18"/>
              </w:rPr>
              <w:t>Place</w:t>
            </w:r>
          </w:p>
        </w:tc>
      </w:tr>
    </w:tbl>
    <w:p w14:paraId="299B5184"/>
    <w:sectPr>
      <w:headerReference r:id="rId5" w:type="default"/>
      <w:footerReference r:id="rId6" w:type="default"/>
      <w:pgSz w:w="11906" w:h="16838"/>
      <w:pgMar w:top="792" w:right="792" w:bottom="792" w:left="792" w:header="317" w:footer="31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5E161">
    <w:pPr>
      <w:pStyle w:val="18"/>
      <w:tabs>
        <w:tab w:val="left" w:pos="8784"/>
      </w:tabs>
      <w:spacing w:before="0" w:after="0"/>
    </w:pPr>
    <w:r>
      <w:rPr>
        <w:rFonts w:ascii="Calibri" w:hAnsi="Calibri"/>
        <w:color w:val="60636E"/>
        <w:sz w:val="17"/>
      </w:rPr>
      <w:t>Nhancio | Confidential | Application Development Quotation</w:t>
    </w:r>
    <w:r>
      <w:rPr>
        <w:rFonts w:ascii="Calibri" w:hAnsi="Calibri"/>
        <w:color w:val="60636E"/>
        <w:sz w:val="17"/>
      </w:rPr>
      <w:tab/>
    </w:r>
    <w:r>
      <w:rPr>
        <w:rFonts w:ascii="Calibri" w:hAnsi="Calibri"/>
        <w:color w:val="60636E"/>
        <w:sz w:val="17"/>
      </w:rPr>
      <w:t xml:space="preserve">Page </w:t>
    </w:r>
    <w:r>
      <w:fldChar w:fldCharType="begin"/>
    </w:r>
    <w:r>
      <w:instrText xml:space="preserve">PAGE</w:instrText>
    </w:r>
    <w:r>
      <w:fldChar w:fldCharType="separate"/>
    </w:r>
    <w:r>
      <w:rPr>
        <w:color w:val="6B6E78"/>
        <w:sz w:val="17"/>
      </w:rPr>
      <w:t>1</w:t>
    </w:r>
    <w:r>
      <w:rPr>
        <w:color w:val="6B6E78"/>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4065D">
    <w:pPr>
      <w:pStyle w:val="19"/>
      <w:spacing w:before="0" w:after="0" w:line="24" w:lineRule="auto"/>
    </w:pPr>
    <w:r>
      <w:rPr>
        <w:rFonts w:ascii="Calibri" w:hAnsi="Calibri"/>
        <w:color w:val="FFFFFF"/>
        <w:sz w:val="2"/>
      </w:rPr>
      <w:t xml:space="preserve"> </w:t>
    </w:r>
  </w:p>
  <w:tbl>
    <w:tblPr>
      <w:tblStyle w:val="12"/>
      <w:tblW w:w="10322" w:type="dxa"/>
      <w:tblInd w:w="0" w:type="dxa"/>
      <w:tblLayout w:type="fixed"/>
      <w:tblCellMar>
        <w:top w:w="0" w:type="dxa"/>
        <w:left w:w="108" w:type="dxa"/>
        <w:bottom w:w="0" w:type="dxa"/>
        <w:right w:w="108" w:type="dxa"/>
      </w:tblCellMar>
    </w:tblPr>
    <w:tblGrid>
      <w:gridCol w:w="1900"/>
      <w:gridCol w:w="8422"/>
    </w:tblGrid>
    <w:tr w14:paraId="4D73F712">
      <w:tc>
        <w:tcPr>
          <w:tcW w:w="1900" w:type="dxa"/>
          <w:tcBorders>
            <w:top w:val="nil"/>
            <w:left w:val="nil"/>
            <w:bottom w:val="nil"/>
            <w:right w:val="nil"/>
          </w:tcBorders>
          <w:tcMar>
            <w:top w:w="55" w:type="dxa"/>
            <w:left w:w="100" w:type="dxa"/>
            <w:bottom w:w="55" w:type="dxa"/>
            <w:right w:w="100" w:type="dxa"/>
          </w:tcMar>
          <w:vAlign w:val="center"/>
        </w:tcPr>
        <w:p w14:paraId="536937D2">
          <w:pPr>
            <w:spacing w:after="0"/>
            <w:jc w:val="left"/>
          </w:pPr>
          <w:r>
            <w:drawing>
              <wp:anchor distT="0" distB="0" distL="114300" distR="114300" simplePos="0" relativeHeight="251659264" behindDoc="1" locked="0" layoutInCell="1" allowOverlap="1">
                <wp:simplePos x="0" y="0"/>
                <wp:positionH relativeFrom="column">
                  <wp:posOffset>319405</wp:posOffset>
                </wp:positionH>
                <wp:positionV relativeFrom="paragraph">
                  <wp:posOffset>73660</wp:posOffset>
                </wp:positionV>
                <wp:extent cx="420370" cy="420370"/>
                <wp:effectExtent l="0" t="0" r="11430" b="11430"/>
                <wp:wrapTight wrapText="bothSides">
                  <wp:wrapPolygon>
                    <wp:start x="0" y="0"/>
                    <wp:lineTo x="0" y="20360"/>
                    <wp:lineTo x="20360" y="20360"/>
                    <wp:lineTo x="20360" y="0"/>
                    <wp:lineTo x="0" y="0"/>
                  </wp:wrapPolygon>
                </wp:wrapTight>
                <wp:docPr id="2" name="Picture 2" descr="Nhancio brand logo" title="Nhanci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hancio brand logo" title="Nhancio logo"/>
                        <pic:cNvPicPr>
                          <a:picLocks noChangeAspect="1"/>
                        </pic:cNvPicPr>
                      </pic:nvPicPr>
                      <pic:blipFill>
                        <a:blip r:embed="rId1"/>
                        <a:stretch>
                          <a:fillRect/>
                        </a:stretch>
                      </pic:blipFill>
                      <pic:spPr>
                        <a:xfrm>
                          <a:off x="0" y="0"/>
                          <a:ext cx="420624" cy="420624"/>
                        </a:xfrm>
                        <a:prstGeom prst="rect">
                          <a:avLst/>
                        </a:prstGeom>
                      </pic:spPr>
                    </pic:pic>
                  </a:graphicData>
                </a:graphic>
              </wp:anchor>
            </w:drawing>
          </w:r>
        </w:p>
      </w:tc>
      <w:tc>
        <w:tcPr>
          <w:tcW w:w="8422" w:type="dxa"/>
          <w:tcBorders>
            <w:top w:val="nil"/>
            <w:left w:val="nil"/>
            <w:bottom w:val="nil"/>
            <w:right w:val="nil"/>
          </w:tcBorders>
          <w:tcMar>
            <w:top w:w="55" w:type="dxa"/>
            <w:left w:w="100" w:type="dxa"/>
            <w:bottom w:w="55" w:type="dxa"/>
            <w:right w:w="100" w:type="dxa"/>
          </w:tcMar>
          <w:vAlign w:val="center"/>
        </w:tcPr>
        <w:p w14:paraId="3733C10F">
          <w:pPr>
            <w:spacing w:after="0"/>
          </w:pPr>
          <w:r>
            <w:rPr>
              <w:rFonts w:ascii="Calibri" w:hAnsi="Calibri"/>
              <w:b/>
              <w:color w:val="5B2DCB"/>
              <w:sz w:val="23"/>
            </w:rPr>
            <w:t>NHANCIO</w:t>
          </w:r>
          <w:r>
            <w:t xml:space="preserve">  ✦  </w:t>
          </w:r>
          <w:r>
            <w:rPr>
              <w:rFonts w:ascii="Calibri" w:hAnsi="Calibri"/>
              <w:color w:val="60636E"/>
              <w:sz w:val="18"/>
            </w:rPr>
            <w:t>nhancio.com</w:t>
          </w:r>
        </w:p>
        <w:p w14:paraId="04FCEC07">
          <w:pPr>
            <w:spacing w:before="0" w:after="0"/>
          </w:pPr>
          <w:r>
            <w:rPr>
              <w:rFonts w:ascii="Calibri" w:hAnsi="Calibri"/>
              <w:color w:val="60636E"/>
              <w:sz w:val="16"/>
            </w:rPr>
            <w:t>✦  Incubated at T-HUB, Hyd   ✦  AI Deployment Services</w:t>
          </w:r>
        </w:p>
      </w:tc>
    </w:tr>
  </w:tbl>
  <w:p w14:paraId="1EAD8E5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7FCB342"/>
    <w:multiLevelType w:val="singleLevel"/>
    <w:tmpl w:val="67FCB342"/>
    <w:lvl w:ilvl="0" w:tentative="0">
      <w:start w:val="1"/>
      <w:numFmt w:val="bullet"/>
      <w:lvlText w:val="•"/>
      <w:lvlJc w:val="left"/>
      <w:pPr>
        <w:tabs>
          <w:tab w:val="left" w:pos="720"/>
        </w:tabs>
        <w:spacing w:after="80" w:line="240" w:lineRule="auto"/>
        <w:ind w:left="72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477D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59" w:lineRule="auto"/>
    </w:pPr>
    <w:rPr>
      <w:rFonts w:ascii="Calibri" w:hAnsi="Calibri" w:eastAsiaTheme="minorEastAsia" w:cstheme="minorBidi"/>
      <w:color w:val="1F1F24"/>
      <w:sz w:val="20"/>
      <w:szCs w:val="22"/>
      <w:lang w:val="en-US" w:eastAsia="en-US" w:bidi="ar-SA"/>
    </w:rPr>
  </w:style>
  <w:style w:type="paragraph" w:styleId="2">
    <w:name w:val="heading 1"/>
    <w:basedOn w:val="1"/>
    <w:next w:val="1"/>
    <w:link w:val="138"/>
    <w:qFormat/>
    <w:uiPriority w:val="9"/>
    <w:pPr>
      <w:keepNext/>
      <w:keepLines/>
      <w:spacing w:before="240" w:after="80"/>
      <w:outlineLvl w:val="0"/>
    </w:pPr>
    <w:rPr>
      <w:rFonts w:asciiTheme="majorHAnsi" w:hAnsiTheme="majorHAnsi" w:eastAsiaTheme="majorEastAsia" w:cstheme="majorBidi"/>
      <w:b/>
      <w:bCs/>
      <w:color w:val="5B2DCB"/>
      <w:sz w:val="28"/>
      <w:szCs w:val="28"/>
    </w:rPr>
  </w:style>
  <w:style w:type="paragraph" w:styleId="3">
    <w:name w:val="heading 2"/>
    <w:basedOn w:val="1"/>
    <w:next w:val="1"/>
    <w:link w:val="139"/>
    <w:unhideWhenUsed/>
    <w:qFormat/>
    <w:uiPriority w:val="9"/>
    <w:pPr>
      <w:keepNext/>
      <w:keepLines/>
      <w:spacing w:before="180" w:after="60"/>
      <w:outlineLvl w:val="1"/>
    </w:pPr>
    <w:rPr>
      <w:rFonts w:asciiTheme="majorHAnsi" w:hAnsiTheme="majorHAnsi" w:eastAsiaTheme="majorEastAsia" w:cstheme="majorBidi"/>
      <w:b/>
      <w:bCs/>
      <w:color w:val="5B2DCB"/>
      <w:sz w:val="23"/>
      <w:szCs w:val="26"/>
    </w:rPr>
  </w:style>
  <w:style w:type="paragraph" w:styleId="4">
    <w:name w:val="heading 3"/>
    <w:basedOn w:val="1"/>
    <w:next w:val="1"/>
    <w:link w:val="140"/>
    <w:unhideWhenUsed/>
    <w:qFormat/>
    <w:uiPriority w:val="9"/>
    <w:pPr>
      <w:keepNext/>
      <w:keepLines/>
      <w:spacing w:before="140" w:after="60"/>
      <w:outlineLvl w:val="2"/>
    </w:pPr>
    <w:rPr>
      <w:rFonts w:asciiTheme="majorHAnsi" w:hAnsiTheme="majorHAnsi" w:eastAsiaTheme="majorEastAsia" w:cstheme="majorBidi"/>
      <w:b/>
      <w:bCs/>
      <w:color w:val="321E60"/>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Arial Unicode MS" w:hAnsi="Arial Unicode MS"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Arial Unicode MS" w:hAnsi="Arial Unicode MS"/>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Nhancio</dc:creator>
  <dc:description>generated by python-docx</dc:description>
  <cp:lastModifiedBy>Nithin Didigam</cp:lastModifiedBy>
  <dcterms:modified xsi:type="dcterms:W3CDTF">2026-08-14T18:10:57Z</dcterms:modified>
  <dc:subject>Pronto and SnapIt copy for Hyderabad</dc:subject>
  <dc:title>Quotation - Worker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C866E457E94791FED90C7F6AB4367796_42</vt:lpwstr>
  </property>
</Properties>
</file>