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240"/>
              <w:left w:type="dxa" w:w="280"/>
              <w:bottom w:type="dxa" w:w="280"/>
              <w:right w:type="dxa" w:w="280"/>
            </w:tcMar>
          </w:tcPr>
          <w:p>
            <w:pPr>
              <w:spacing w:after="140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nhancio-logo-cover" descr="Nhancio company logo" title="Nhan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D7FF"/>
                <w:sz w:val="18"/>
                <w:szCs w:val="18"/>
              </w:rPr>
              <w:t xml:space="preserve">PROJECT PARTNERSHIP PROPOSAL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MagicBox 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4B5FD"/>
                <w:sz w:val="24"/>
                <w:szCs w:val="24"/>
              </w:rPr>
              <w:t xml:space="preserve">Technology &amp; Business Development Collaboration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Nhancio Technologies  ×  Maruthi Technologies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Partnership / Project Proposal</w:t>
            </w:r>
          </w:p>
        </w:tc>
        <w:tc>
          <w:tcPr>
            <w:tcW w:type="dxa" w:w="49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July 2026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Nhancio Technologies Pvt. Ltd.</w:t>
            </w:r>
          </w:p>
        </w:tc>
        <w:tc>
          <w:tcPr>
            <w:tcW w:type="dxa" w:w="49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Product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MagicBox AI (magicboxai.in)</w:t>
            </w:r>
          </w:p>
        </w:tc>
      </w:tr>
    </w:tbl>
    <w:p>
      <w:pPr>
        <w:spacing w:after="200"/>
      </w:pP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This proposal outlines a collaboration between Nhancio Technologies (technology partner for MagicBox AI) and Maruthi Technologies (business development partner) to grow MagicBox AI through referred commercial business, with clearly defined roles, revenue-sharing terms, and mutual responsibilities.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1. Parties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1.1 Technology Partner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Nhancio Technologies Private Limited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(“Nhancio”), represented for technology delivery by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Didigam Nithin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(“Nithin”).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Owns and develops the MagicBox AI platform and related technology.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Primary contact for product, engineering, infrastructure, and platform operations.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1.2 Business Development Partner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Maruthi Technologies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(“Maruthi”), responsible for go-to-market, client acquisition, demos, and relationship management for referred business.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Sources and qualifies business opportunities for MagicBox AI.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Leads marketing, demos, and commercial conversations for referred accounts.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1.3 Platform / Product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MagicBox 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an AI marketing automation platform for brand-aware content generation, approval, scheduling, and publishing (“the Platform”).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 Purpose of Collaboration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Parties intend to combine Nhancio’s technology capability with Maruthi’s business development strength to: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Acquire new customers and commercial opportunities for MagicBox AI through referrals and outreach.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Deliver a reliable product experience backed by continuous technology development.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Share economics fairly on revenue generated from referred business.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Establish clear ownership of roles so delivery, sales, and support do not overlap or stall.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 Commercial Terms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3.1 Profit Share on Referred Business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 all business acquired through referrals introduced by Maruthi Technologies, profits generated from that referred business shall be shared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 / Technology Partner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Nhancio / MagicBox AI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50%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 Development Partner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Maruthi Technologies</w:t>
            </w:r>
          </w:p>
        </w:tc>
        <w:tc>
          <w:tcPr>
            <w:tcW w:type="dxa" w:w="252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50%</w:t>
            </w:r>
          </w:p>
        </w:tc>
      </w:tr>
    </w:tbl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This 50% platform share applies specifically to profits arising from revenue generated by businesses / clients obtained through Maruthi’s referrals.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3.2 Scope of Shareable Economics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Included: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Subscription fees, usage fees, project fees, retainers, and other commercial revenue from referred clients, less agreed direct costs attributable to delivering that revenue.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Excluded (unless agreed in writing):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Organic / inbound customers not introduced by Maruthi; prior Nhancio clients; pure R&amp;D or internal use of the Platform.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Definition to confirm: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Parties should finalise whether “profit” means net profit after direct costs (recommended) or a simple revenue split. Until defined, reporting will show both gross revenue and net after direct costs.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3.3 Referral Attribution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client is “Referred” when Maruthi introduces the opportunity in writing (email / shared CRM) before a paid engagement starts.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Attribution window: 12 months from first introduction, unless Parties agree otherwise in writing.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If both Parties influenced the deal, attribution is agreed case-by-case in writing before contracting.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Nhancio maintains a simple referral log (client name, date introduced, status, revenue).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3.4 Settlement &amp; Reporting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Nhancio shares a monthly statement of referred revenue, direct costs, and calculated profit share.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Settlement within 15 business days after month-end (or as otherwise agreed).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Either Party may request reasonable supporting invoices / payment records for referred accounts.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3.5 Product Pricing (Monthly Plan)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MagicBox AI monthly plan pricing for this collaboration is aligned to the live product pricing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Plan Price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India / local listing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₹3,900 / month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Listed as the ₹3,900 plan</w:t>
            </w:r>
          </w:p>
        </w:tc>
      </w:tr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$39 / month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product pricing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The ₹3,900 per month plan corresponds to the USA product price of $39 per month, keeping commercial messaging consistent across markets.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3.6 Credit Model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3.6.1 First-Week Credit Allocation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During the first week of a customer’s subscription or onboarding under this plan, the credit allocation is: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Allocated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week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0 credits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3.6.2 Credit Definition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Credits on MagicBox AI are defined as follows:</w:t>
      </w:r>
    </w:p>
    <w:p>
      <w:pPr>
        <w:pStyle w:val="ListParagraph"/>
        <w:numPr>
          <w:ilvl w:val="0"/>
          <w:numId w:val="3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credit = 1 image.</w:t>
      </w:r>
    </w:p>
    <w:p>
      <w:pPr>
        <w:pStyle w:val="ListParagraph"/>
        <w:numPr>
          <w:ilvl w:val="0"/>
          <w:numId w:val="3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 credit = 1 second of video.</w:t>
      </w:r>
    </w:p>
    <w:p>
      <w:pPr>
        <w:pStyle w:val="ListParagraph"/>
        <w:numPr>
          <w:ilvl w:val="0"/>
          <w:numId w:val="3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a 30-second video requires 30 credits; a 15-second video requires 15 credits.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credit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image → 1 credit</w:t>
            </w:r>
          </w:p>
        </w:tc>
      </w:tr>
      <w:tr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credit / second</w:t>
            </w:r>
          </w:p>
        </w:tc>
        <w:tc>
          <w:tcPr>
            <w:tcW w:type="dxa" w:w="33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30s video → 30 credits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3.6.3 Credit Calculation for the $39 Plan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Monthly credit allocation for the $39 / ₹3,900 plan is derived from underlying Gemini generation costs and a target platform margin:</w:t>
      </w:r>
    </w:p>
    <w:p>
      <w:pPr>
        <w:pStyle w:val="ListParagraph"/>
        <w:numPr>
          <w:ilvl w:val="0"/>
          <w:numId w:val="4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Determine the current cost of creating an image or video using Gemini Nano Banana or Gemini VO3.</w:t>
      </w:r>
    </w:p>
    <w:p>
      <w:pPr>
        <w:pStyle w:val="ListParagraph"/>
        <w:numPr>
          <w:ilvl w:val="0"/>
          <w:numId w:val="4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Set the cost of one credit based on that provider price.</w:t>
      </w:r>
    </w:p>
    <w:p>
      <w:pPr>
        <w:pStyle w:val="ListParagraph"/>
        <w:numPr>
          <w:ilvl w:val="0"/>
          <w:numId w:val="4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Apply a 50% margin to the $39 plan, providing roughly $19.50 worth of credit value to the customer.</w:t>
      </w:r>
    </w:p>
    <w:p>
      <w:pPr>
        <w:pStyle w:val="ListParagraph"/>
        <w:numPr>
          <w:ilvl w:val="0"/>
          <w:numId w:val="4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Allocate credits accordingly, using $1 per image and 1 credit per second of video, so the remaining margin can cover additional platform and operating costs.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Economics ($39 plan)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pays (USA)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$39 / month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margin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value pool (~50% of plan)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~ $19.50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 allocation basis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 per image; 1 credit = 1s video</w:t>
            </w:r>
          </w:p>
        </w:tc>
      </w:tr>
      <w:tr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First-week credits</w:t>
            </w:r>
          </w:p>
        </w:tc>
        <w:tc>
          <w:tcPr>
            <w:tcW w:type="dxa" w:w="50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 credits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Final monthly credit counts may be updated as Gemini Nano Banana / Gemini VO3 provider costs change, while preserving the ~50% margin principle on the $39 plan.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 Roles &amp; Responsibilities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Roles are divided so technology and commercial growth stay clear and accountable.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E3D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A. Nithin / Nhancio Technologies — Technology Partner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Owns product, engineering, infrastructure, and platform reliability for MagicBox 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Design, develop, and maintain MagicBox AI product features and roadmap.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Own architecture, codebase, hosting, integrations, security, and performance.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up environments, releases, bug fixes, and technical support for the Platform.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Provide technical enablement for demos (staging access, feature walkthroughs, FAQ).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Implement referral tracking fields / admin visibility where practical.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Ensure Platform uptime, data protection, and compliance basics for customer 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Prepare technical proposals / SOWs when referred deals need custom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Invoice referred clients (or designate billing entity) and calculate profit share.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D9EC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B. Maruthi Technologies — Business Development Partner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Owns pipeline, marketing, demos, and commercial relationship development for referred business.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Identify, qualify, and introduce target customers and partners for MagicBox 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Lead business development, outreach, and relationship management for referred accounts.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 and run marketing activities, campaigns, events, and partner promotions (as agreed).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Conduct product demos, discovery calls, and follow-ups with prospects.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Gather customer requirements and feedback; relay priorities to Nhancio.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Support commercial negotiation and deal closing in coordination with Nhancio.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Maintain pipeline hygiene and introduce opportunities into the shared referral log.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› 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Represent MagicBox AI professionally; use only approved brand assets and claims.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4.1 Shared / Joint Responsibilities</w:t>
      </w:r>
    </w:p>
    <w:p>
      <w:pPr>
        <w:pStyle w:val="ListParagraph"/>
        <w:numPr>
          <w:ilvl w:val="0"/>
          <w:numId w:val="5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Agree positioning, pricing guidance, and demo narrative for MagicBox AI.</w:t>
      </w:r>
    </w:p>
    <w:p>
      <w:pPr>
        <w:pStyle w:val="ListParagraph"/>
        <w:numPr>
          <w:ilvl w:val="0"/>
          <w:numId w:val="5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Join strategic account calls when both commercial and technical input are needed.</w:t>
      </w:r>
    </w:p>
    <w:p>
      <w:pPr>
        <w:pStyle w:val="ListParagraph"/>
        <w:numPr>
          <w:ilvl w:val="0"/>
          <w:numId w:val="5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Protect confidential information and customer data of both Parties and end clients.</w:t>
      </w:r>
    </w:p>
    <w:p>
      <w:pPr>
        <w:pStyle w:val="ListParagraph"/>
        <w:numPr>
          <w:ilvl w:val="0"/>
          <w:numId w:val="5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Escalate blockers early (product gaps, pricing exceptions, delivery risk).</w:t>
      </w:r>
    </w:p>
    <w:p>
      <w:pPr>
        <w:pStyle w:val="ListParagraph"/>
        <w:numPr>
          <w:ilvl w:val="0"/>
          <w:numId w:val="5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Review partnership performance monthly (pipeline, conversion, revenue, product feedback).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4.2 RACI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Nhancio / Nithin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Maruthi Technologies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development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 &amp; outreach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Consulted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Demos &amp; discovery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Support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Pricing &amp; contracting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Responsible / Support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technical delivery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Informed</w:t>
            </w:r>
          </w:p>
        </w:tc>
      </w:tr>
      <w:tr>
        <w:tc>
          <w:tcPr>
            <w:tcW w:type="dxa" w:w="360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Referral tracking &amp; payouts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Accountable</w:t>
            </w:r>
          </w:p>
        </w:tc>
        <w:tc>
          <w:tcPr>
            <w:tcW w:type="dxa" w:w="324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Responsible (intros)</w:t>
            </w:r>
          </w:p>
        </w:tc>
      </w:tr>
    </w:tbl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 Intellectual Property</w:t>
      </w:r>
    </w:p>
    <w:p>
      <w:pPr>
        <w:pStyle w:val="ListParagraph"/>
        <w:numPr>
          <w:ilvl w:val="0"/>
          <w:numId w:val="6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MagicBox AI product, source code, trademarks, designs, and documentation remain the exclusive IP of Nhancio / the Platform owner.</w:t>
      </w:r>
    </w:p>
    <w:p>
      <w:pPr>
        <w:pStyle w:val="ListParagraph"/>
        <w:numPr>
          <w:ilvl w:val="0"/>
          <w:numId w:val="6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Maruthi receives a limited right to market, demo, and promote MagicBox AI for the purposes of this collaboration.</w:t>
      </w:r>
    </w:p>
    <w:p>
      <w:pPr>
        <w:pStyle w:val="ListParagraph"/>
        <w:numPr>
          <w:ilvl w:val="0"/>
          <w:numId w:val="6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Customer data belongs to the respective customer; each Party will handle it only as needed to perform its role.</w:t>
      </w:r>
    </w:p>
    <w:p>
      <w:pPr>
        <w:pStyle w:val="ListParagraph"/>
        <w:numPr>
          <w:ilvl w:val="0"/>
          <w:numId w:val="6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Materials created jointly for sales (pitch decks, case studies) may be co-branded with prior written approval.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 Confidentiality &amp; Brand Use</w:t>
      </w:r>
    </w:p>
    <w:p>
      <w:pPr>
        <w:pStyle w:val="ListParagraph"/>
        <w:numPr>
          <w:ilvl w:val="0"/>
          <w:numId w:val="7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Both Parties will keep non-public business, pricing, customer, and technical information confidential.</w:t>
      </w:r>
    </w:p>
    <w:p>
      <w:pPr>
        <w:pStyle w:val="ListParagraph"/>
        <w:numPr>
          <w:ilvl w:val="0"/>
          <w:numId w:val="7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Maruthi will use only approved MagicBox AI / Nhancio logos, claims, and pricing guidance in marketing and demos.</w:t>
      </w:r>
    </w:p>
    <w:p>
      <w:pPr>
        <w:pStyle w:val="ListParagraph"/>
        <w:numPr>
          <w:ilvl w:val="0"/>
          <w:numId w:val="7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Neither Party will publicly announce the partnership without mutual written consent (except as required by law).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 Term, Review &amp; Termination</w:t>
      </w:r>
    </w:p>
    <w:p>
      <w:pPr>
        <w:pStyle w:val="ListParagraph"/>
        <w:numPr>
          <w:ilvl w:val="0"/>
          <w:numId w:val="8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Initial term: 12 months from the Effective Date, renewable by mutual written agreement.</w:t>
      </w:r>
    </w:p>
    <w:p>
      <w:pPr>
        <w:pStyle w:val="ListParagraph"/>
        <w:numPr>
          <w:ilvl w:val="0"/>
          <w:numId w:val="8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Either Party may terminate for convenience with 30 days’ written notice.</w:t>
      </w:r>
    </w:p>
    <w:p>
      <w:pPr>
        <w:pStyle w:val="ListParagraph"/>
        <w:numPr>
          <w:ilvl w:val="0"/>
          <w:numId w:val="8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Either Party may terminate immediately for material breach not cured within 15 days of notice.</w:t>
      </w:r>
    </w:p>
    <w:p>
      <w:pPr>
        <w:pStyle w:val="ListParagraph"/>
        <w:numPr>
          <w:ilvl w:val="0"/>
          <w:numId w:val="8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 termination, profit share remains payable on referred business already contracted during the attribution window, unless Parties agree otherwise in writing.</w:t>
      </w:r>
    </w:p>
    <w:p>
      <w:pPr>
        <w:pStyle w:val="ListParagraph"/>
        <w:numPr>
          <w:ilvl w:val="0"/>
          <w:numId w:val="8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Parties will hold a quarterly business review covering pipeline, revenue, product feedback, and role clarity.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 Open Points to Finalise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The following items are recommended to lock before signing a binding agreement: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Profit vs revenue definition, and which direct costs are deductible.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Whether Maruthi’s share is on SaaS subscriptions only, or also on custom implementation fees.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Exclusivity (territory / segment) — exclusive, non-exclusive, or category-exclusive.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Minimum activity expectations (e.g., monthly demos / qualified intros), if any.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Who signs customer contracts and who holds receivable risk.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Support ownership after sale (L1 commercial vs L2 technical).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Governing law and dispute resolution (recommended: Hyderabad, Telangana, India).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 Proposed Next Steps</w:t>
      </w:r>
    </w:p>
    <w:p>
      <w:pPr>
        <w:pStyle w:val="ListParagraph"/>
        <w:numPr>
          <w:ilvl w:val="0"/>
          <w:numId w:val="9"/>
        </w:numPr>
        <w:spacing w:after="6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Align on commercial definition (profit vs revenue) and attribution rules.</w:t>
      </w:r>
    </w:p>
    <w:p>
      <w:pPr>
        <w:pStyle w:val="ListParagraph"/>
        <w:numPr>
          <w:ilvl w:val="0"/>
          <w:numId w:val="9"/>
        </w:numPr>
        <w:spacing w:after="6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Confirm roles table and primary contacts for both Parties.</w:t>
      </w:r>
    </w:p>
    <w:p>
      <w:pPr>
        <w:pStyle w:val="ListParagraph"/>
        <w:numPr>
          <w:ilvl w:val="0"/>
          <w:numId w:val="9"/>
        </w:numPr>
        <w:spacing w:after="6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Set up shared referral log / CRM process.</w:t>
      </w:r>
    </w:p>
    <w:p>
      <w:pPr>
        <w:pStyle w:val="ListParagraph"/>
        <w:numPr>
          <w:ilvl w:val="0"/>
          <w:numId w:val="9"/>
        </w:numPr>
        <w:spacing w:after="6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Convert this proposal into a short Partnership / Referral Agreement for signature.</w:t>
      </w:r>
    </w:p>
    <w:p>
      <w:pPr>
        <w:pStyle w:val="ListParagraph"/>
        <w:numPr>
          <w:ilvl w:val="0"/>
          <w:numId w:val="9"/>
        </w:numPr>
        <w:spacing w:after="6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Schedule kickoff: demo script, target segments, and first 30-day outreach plan.</w:t>
      </w:r>
    </w:p>
    <w:p>
      <w:pPr>
        <w:pStyle w:val="Heading1"/>
        <w:pBdr>
          <w:bottom w:val="single" w:color="A78BFA" w:sz="12" w:space="8"/>
        </w:pBdr>
        <w:spacing w:after="16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10. Acceptance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By signing below, the Parties acknowledge they have reviewed this proposal and intend to proceed toward a formal agreement on these principles.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960"/>
      </w:tblGrid>
      <w:tr>
        <w:tc>
          <w:tcPr>
            <w:tcW w:type="dxa" w:w="49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 xml:space="preserve">For Nhancio Technologies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Name: Didigam Nithin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Role: Technology Partner / Director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Signature: ____________________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Date: ________________________</w:t>
            </w:r>
          </w:p>
        </w:tc>
        <w:tc>
          <w:tcPr>
            <w:tcW w:type="dxa" w:w="496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D9EC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 xml:space="preserve">For Maruthi Technologies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Name: ____________________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Role: Business Development Partner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Signature: ____________________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Date: ________________________</w:t>
            </w:r>
          </w:p>
        </w:tc>
      </w:tr>
    </w:tbl>
    <w:p>
      <w:pPr>
        <w:spacing w:after="280"/>
      </w:pP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— End of Proposal —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78BFA"/>
          <w:sz w:val="16"/>
          <w:szCs w:val="16"/>
        </w:rPr>
        <w:t xml:space="preserve">Nhancio Technologies  ·  hello@nhancio.com  ·  nhancio.com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7FF" w:sz="8" w:space="8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 ·  Nhancio × MagicBox AI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"/>
      <w:gridCol w:w="9360"/>
    </w:tblGrid>
    <w:tr>
      <w:tc>
        <w:tcPr>
          <w:tcW w:type="dxa" w:w="720"/>
          <w:tcBorders>
            <w:top w:val="none" w:color="FFFFFF" w:sz="0"/>
            <w:left w:val="none" w:color="FFFFFF" w:sz="0"/>
            <w:bottom w:val="single" w:color="8B5CF6" w:sz="24"/>
            <w:right w:val="none" w:color="FFFFFF" w:sz="0"/>
          </w:tcBorders>
          <w:shd w:fill="Faf5FF" w:val="clear"/>
          <w:tcMar>
            <w:top w:type="dxa" w:w="40"/>
            <w:left w:type="dxa" w:w="0"/>
            <w:bottom w:type="dxa" w:w="40"/>
            <w:right w:type="dxa" w:w="80"/>
          </w:tcMar>
          <w:vAlign w:val="center"/>
        </w:tcPr>
        <w:p>
          <w:r>
            <w:drawing>
              <wp:inline distT="0" distB="0" distL="0" distR="0">
                <wp:extent cx="266700" cy="266700"/>
                <wp:effectExtent t="0" r="0" b="0" l="0"/>
                <wp:docPr id="1" name="nhancio-logo-header" descr="Nhancio company logo" title="Nhan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color="FFFFFF" w:sz="0"/>
            <w:left w:val="none" w:color="FFFFFF" w:sz="0"/>
            <w:bottom w:val="single" w:color="8B5CF6" w:sz="24"/>
            <w:right w:val="none" w:color="FFFFFF" w:sz="0"/>
          </w:tcBorders>
          <w:shd w:fill="Faf5FF" w:val="clear"/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8B5CF6"/>
              <w:sz w:val="18"/>
              <w:szCs w:val="18"/>
            </w:rPr>
            <w:t xml:space="preserve">NHANCIO</w:t>
          </w:r>
          <w:r>
            <w:rPr>
              <w:rFonts w:ascii="Arial" w:cs="Arial" w:eastAsia="Arial" w:hAnsi="Arial"/>
              <w:color w:val="A78BFA"/>
              <w:sz w:val="18"/>
              <w:szCs w:val="18"/>
            </w:rPr>
            <w:t xml:space="preserve">  ·  </w:t>
          </w:r>
          <w:r>
            <w:rPr>
              <w:rFonts w:ascii="Arial" w:cs="Arial" w:eastAsia="Arial" w:hAnsi="Arial"/>
              <w:color w:val="4B5563"/>
              <w:sz w:val="18"/>
              <w:szCs w:val="18"/>
            </w:rPr>
            <w:t xml:space="preserve">MagicBox AI Partnership Proposal</w:t>
          </w:r>
        </w:p>
      </w:tc>
    </w:tr>
  </w:tbl>
  <w:p>
    <w:pPr>
      <w:spacing w:after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467f9124ea7ad33f6bfaf345f9fd9e0e5932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467f9124ea7ad33f6bfaf345f9fd9e0e59326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2026-07-20T07:31:34.097Z</dcterms:created>
  <dcterms:modified xsi:type="dcterms:W3CDTF">2026-07-20T07:31:34.097Z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