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BÀI TIỂU LUẬN MÔN QUẢN TRỊ HỌC</w:t>
      </w:r>
    </w:p>
    <w:p>
      <w:pPr>
        <w:spacing w:before="480"/>
        <w:jc w:val="center"/>
      </w:pPr>
      <w:r>
        <w:rPr>
          <w:rFonts w:ascii="Times New Roman" w:hAnsi="Times New Roman"/>
          <w:sz w:val="26"/>
        </w:rPr>
        <w:t>Giới thiệu sơ lược về các đơn vị kinh doanh chiến lược (SBU)</w:t>
        <w:br/>
        <w:t>của doanh nghiệp. Thể hiện các SBU đó lên ma trận BCG,</w:t>
        <w:br/>
        <w:t>phân tích và hoạch định chiến lược cho các SBU cụ thể.</w:t>
      </w:r>
    </w:p>
    <w:p/>
    <w:p/>
    <w:p/>
    <w:p/>
    <w:p/>
    <w:p/>
    <w:p>
      <w:pPr>
        <w:jc w:val="center"/>
      </w:pPr>
      <w:r>
        <w:rPr>
          <w:rFonts w:ascii="Times New Roman" w:hAnsi="Times New Roman"/>
          <w:b/>
          <w:sz w:val="26"/>
        </w:rPr>
        <w:t>TRƯỜNG ĐẠI HỌC QUY NHƠN</w:t>
      </w:r>
    </w:p>
    <w:p>
      <w:pPr>
        <w:jc w:val="center"/>
      </w:pPr>
      <w:r>
        <w:rPr>
          <w:rFonts w:ascii="Times New Roman" w:hAnsi="Times New Roman"/>
          <w:sz w:val="26"/>
        </w:rPr>
        <w:t>Khoa Tài chính – Ngân hàng &amp; Quản trị Kinh doanh</w:t>
      </w:r>
    </w:p>
    <w:p>
      <w:pPr>
        <w:jc w:val="center"/>
      </w:pPr>
      <w:r>
        <w:rPr>
          <w:rFonts w:ascii="Times New Roman" w:hAnsi="Times New Roman"/>
          <w:sz w:val="26"/>
        </w:rPr>
      </w:r>
    </w:p>
    <w:p>
      <w:pPr>
        <w:jc w:val="center"/>
      </w:pPr>
      <w:r>
        <w:rPr>
          <w:rFonts w:ascii="Times New Roman" w:hAnsi="Times New Roman"/>
          <w:sz w:val="26"/>
        </w:rPr>
        <w:t>Học viên: .......................................................</w:t>
      </w:r>
    </w:p>
    <w:p>
      <w:pPr>
        <w:jc w:val="center"/>
      </w:pPr>
      <w:r>
        <w:rPr>
          <w:rFonts w:ascii="Times New Roman" w:hAnsi="Times New Roman"/>
          <w:sz w:val="26"/>
        </w:rPr>
        <w:t>Lớp: Bổ sung kiến thức Thạc sĩ</w:t>
      </w:r>
    </w:p>
    <w:p>
      <w:pPr>
        <w:jc w:val="center"/>
      </w:pPr>
      <w:r>
        <w:rPr>
          <w:rFonts w:ascii="Times New Roman" w:hAnsi="Times New Roman"/>
          <w:sz w:val="26"/>
        </w:rPr>
        <w:t>Giảng viên hướng dẫn: .........................................</w:t>
      </w:r>
    </w:p>
    <w:p>
      <w:r>
        <w:br w:type="page"/>
      </w:r>
    </w:p>
    <w:p>
      <w:pPr>
        <w:pStyle w:val="Heading1"/>
        <w:jc w:val="center"/>
      </w:pPr>
      <w:r>
        <w:t>MỤC LỤC</w:t>
      </w:r>
    </w:p>
    <w:p>
      <w:pPr>
        <w:spacing w:after="120" w:line="360" w:lineRule="auto"/>
        <w:jc w:val="both"/>
      </w:pPr>
      <w:r>
        <w:rPr>
          <w:rFonts w:ascii="Times New Roman" w:hAnsi="Times New Roman"/>
          <w:b w:val="0"/>
          <w:sz w:val="26"/>
        </w:rPr>
        <w:t>(Cập nhật mục lục: Right-click → Update Field)</w:t>
      </w:r>
    </w:p>
    <w:p>
      <w:r>
        <w:br w:type="page"/>
      </w:r>
    </w:p>
    <w:p>
      <w:pPr>
        <w:pStyle w:val="Heading1"/>
        <w:jc w:val="center"/>
      </w:pPr>
      <w:r>
        <w:t>DANH MỤC HÌNH ẢNH</w:t>
      </w:r>
    </w:p>
    <w:p>
      <w:pPr>
        <w:spacing w:after="120" w:line="360" w:lineRule="auto"/>
        <w:jc w:val="both"/>
      </w:pPr>
      <w:r>
        <w:rPr>
          <w:rFonts w:ascii="Times New Roman" w:hAnsi="Times New Roman"/>
          <w:b w:val="0"/>
          <w:sz w:val="26"/>
        </w:rPr>
        <w:t>Hình 1: Sơ đồ tổ chức Công ty TNHH DCMvn</w:t>
      </w:r>
    </w:p>
    <w:p>
      <w:pPr>
        <w:spacing w:after="120" w:line="360" w:lineRule="auto"/>
        <w:jc w:val="both"/>
      </w:pPr>
      <w:r>
        <w:rPr>
          <w:rFonts w:ascii="Times New Roman" w:hAnsi="Times New Roman"/>
          <w:b w:val="0"/>
          <w:sz w:val="26"/>
        </w:rPr>
        <w:t>Hình 2: Ma trận BCG — Mô hình lý thuyết</w:t>
      </w:r>
    </w:p>
    <w:p>
      <w:pPr>
        <w:spacing w:after="120" w:line="360" w:lineRule="auto"/>
        <w:jc w:val="both"/>
      </w:pPr>
      <w:r>
        <w:rPr>
          <w:rFonts w:ascii="Times New Roman" w:hAnsi="Times New Roman"/>
          <w:b w:val="0"/>
          <w:sz w:val="26"/>
        </w:rPr>
        <w:t>Hình 3: Chu kỳ sống sản phẩm và vị trí các SBU của DCMvn</w:t>
      </w:r>
    </w:p>
    <w:p>
      <w:pPr>
        <w:spacing w:after="120" w:line="360" w:lineRule="auto"/>
        <w:jc w:val="both"/>
      </w:pPr>
      <w:r>
        <w:rPr>
          <w:rFonts w:ascii="Times New Roman" w:hAnsi="Times New Roman"/>
          <w:b w:val="0"/>
          <w:sz w:val="26"/>
        </w:rPr>
        <w:t>Hình 4: Ma trận BCG — DCMvn CO., Ltd (5 SBU)</w:t>
      </w:r>
    </w:p>
    <w:p>
      <w:pPr>
        <w:pStyle w:val="Heading1"/>
        <w:jc w:val="center"/>
      </w:pPr>
      <w:r>
        <w:t>DANH MỤC BẢNG BIỂU</w:t>
      </w:r>
    </w:p>
    <w:p>
      <w:pPr>
        <w:spacing w:after="120" w:line="360" w:lineRule="auto"/>
        <w:jc w:val="both"/>
      </w:pPr>
      <w:r>
        <w:rPr>
          <w:rFonts w:ascii="Times New Roman" w:hAnsi="Times New Roman"/>
          <w:b w:val="0"/>
          <w:sz w:val="26"/>
        </w:rPr>
        <w:t>Bảng 1: Danh mục từ viết tắt và thuật ngữ chuyên ngành</w:t>
      </w:r>
    </w:p>
    <w:p>
      <w:pPr>
        <w:spacing w:after="120" w:line="360" w:lineRule="auto"/>
        <w:jc w:val="both"/>
      </w:pPr>
      <w:r>
        <w:rPr>
          <w:rFonts w:ascii="Times New Roman" w:hAnsi="Times New Roman"/>
          <w:b w:val="0"/>
          <w:sz w:val="26"/>
        </w:rPr>
        <w:t>Bảng 2: Tổng hợp 9 dịch vụ của DCMvn</w:t>
      </w:r>
    </w:p>
    <w:p>
      <w:pPr>
        <w:spacing w:after="120" w:line="360" w:lineRule="auto"/>
        <w:jc w:val="both"/>
      </w:pPr>
      <w:r>
        <w:rPr>
          <w:rFonts w:ascii="Times New Roman" w:hAnsi="Times New Roman"/>
          <w:b w:val="0"/>
          <w:sz w:val="26"/>
        </w:rPr>
        <w:t>Bảng 3: Dự án tiêu biểu của DCMvn</w:t>
      </w:r>
    </w:p>
    <w:p>
      <w:pPr>
        <w:spacing w:after="120" w:line="360" w:lineRule="auto"/>
        <w:jc w:val="both"/>
      </w:pPr>
      <w:r>
        <w:rPr>
          <w:rFonts w:ascii="Times New Roman" w:hAnsi="Times New Roman"/>
          <w:b w:val="0"/>
          <w:sz w:val="26"/>
        </w:rPr>
        <w:t>Bảng 4: Tổng hợp 5 đơn vị kinh doanh chiến lược (SBU)</w:t>
      </w:r>
    </w:p>
    <w:p>
      <w:pPr>
        <w:spacing w:after="120" w:line="360" w:lineRule="auto"/>
        <w:jc w:val="both"/>
      </w:pPr>
      <w:r>
        <w:rPr>
          <w:rFonts w:ascii="Times New Roman" w:hAnsi="Times New Roman"/>
          <w:b w:val="0"/>
          <w:sz w:val="26"/>
        </w:rPr>
        <w:t>Bảng 5: Phương pháp ước lượng vị trí BCG cho từng SBU</w:t>
      </w:r>
    </w:p>
    <w:p>
      <w:pPr>
        <w:spacing w:after="120" w:line="360" w:lineRule="auto"/>
        <w:jc w:val="both"/>
      </w:pPr>
      <w:r>
        <w:rPr>
          <w:rFonts w:ascii="Times New Roman" w:hAnsi="Times New Roman"/>
          <w:b w:val="0"/>
          <w:sz w:val="26"/>
        </w:rPr>
        <w:t>Bảng 6: Lộ trình chiến lược và KPI — SBU 2: BIM Kiến trúc</w:t>
      </w:r>
    </w:p>
    <w:p>
      <w:pPr>
        <w:spacing w:after="120" w:line="360" w:lineRule="auto"/>
        <w:jc w:val="both"/>
      </w:pPr>
      <w:r>
        <w:rPr>
          <w:rFonts w:ascii="Times New Roman" w:hAnsi="Times New Roman"/>
          <w:b w:val="0"/>
          <w:sz w:val="26"/>
        </w:rPr>
        <w:t>Bảng 7: Lộ trình chiến lược và KPI — SBU 3: Phối hợp đa ngành</w:t>
      </w:r>
    </w:p>
    <w:p>
      <w:pPr>
        <w:spacing w:after="120" w:line="360" w:lineRule="auto"/>
        <w:jc w:val="both"/>
      </w:pPr>
      <w:r>
        <w:rPr>
          <w:rFonts w:ascii="Times New Roman" w:hAnsi="Times New Roman"/>
          <w:b w:val="0"/>
          <w:sz w:val="26"/>
        </w:rPr>
        <w:t>Bảng 8: Lộ trình chiến lược và KPI — SBU 4: Scan to BIM &amp; Số hóa</w:t>
      </w:r>
    </w:p>
    <w:p>
      <w:pPr>
        <w:spacing w:after="120" w:line="360" w:lineRule="auto"/>
        <w:jc w:val="both"/>
      </w:pPr>
      <w:r>
        <w:rPr>
          <w:rFonts w:ascii="Times New Roman" w:hAnsi="Times New Roman"/>
          <w:b w:val="0"/>
          <w:sz w:val="26"/>
        </w:rPr>
        <w:t>Bảng 9: Tổng hợp vị trí BCG và chiến lược đề xuất</w:t>
      </w:r>
    </w:p>
    <w:p>
      <w:r>
        <w:br w:type="page"/>
      </w:r>
    </w:p>
    <w:p>
      <w:pPr>
        <w:pStyle w:val="Heading1"/>
        <w:jc w:val="center"/>
      </w:pPr>
      <w:r>
        <w:t>DANH MỤC TỪ VIẾT TẮT VÀ THUẬT NGỮ</w:t>
      </w:r>
    </w:p>
    <w:p>
      <w:pPr>
        <w:spacing w:after="120" w:line="360" w:lineRule="auto"/>
        <w:ind w:firstLine="720"/>
        <w:jc w:val="both"/>
      </w:pPr>
      <w:r>
        <w:rPr>
          <w:rFonts w:ascii="Times New Roman" w:hAnsi="Times New Roman"/>
          <w:b w:val="0"/>
          <w:sz w:val="26"/>
        </w:rPr>
        <w:t>Bài tiểu luận sử dụng nhiều thuật ngữ chuyên ngành xây dựng và quản trị. Bảng 1 giải thích các từ viết tắt và thuật ngữ chính để hỗ trợ người đọc ngoài ngành.</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B2A3D" w:val="clear"/>
          </w:tcPr>
          <w:p>
            <w:pPr>
              <w:jc w:val="center"/>
            </w:pPr>
            <w:r/>
            <w:r>
              <w:rPr>
                <w:rFonts w:ascii="Times New Roman" w:hAnsi="Times New Roman"/>
                <w:b/>
                <w:color w:val="FFFFFF"/>
                <w:sz w:val="22"/>
              </w:rPr>
              <w:t>Viết tắt / Thuật ngữ</w:t>
            </w:r>
          </w:p>
        </w:tc>
        <w:tc>
          <w:tcPr>
            <w:tcW w:type="dxa" w:w="3024"/>
            <w:shd w:fill="1B2A3D" w:val="clear"/>
          </w:tcPr>
          <w:p>
            <w:pPr>
              <w:jc w:val="center"/>
            </w:pPr>
            <w:r/>
            <w:r>
              <w:rPr>
                <w:rFonts w:ascii="Times New Roman" w:hAnsi="Times New Roman"/>
                <w:b/>
                <w:color w:val="FFFFFF"/>
                <w:sz w:val="22"/>
              </w:rPr>
              <w:t>Tiếng Anh đầy đủ</w:t>
            </w:r>
          </w:p>
        </w:tc>
        <w:tc>
          <w:tcPr>
            <w:tcW w:type="dxa" w:w="3024"/>
            <w:shd w:fill="1B2A3D" w:val="clear"/>
          </w:tcPr>
          <w:p>
            <w:pPr>
              <w:jc w:val="center"/>
            </w:pPr>
            <w:r/>
            <w:r>
              <w:rPr>
                <w:rFonts w:ascii="Times New Roman" w:hAnsi="Times New Roman"/>
                <w:b/>
                <w:color w:val="FFFFFF"/>
                <w:sz w:val="22"/>
              </w:rPr>
              <w:t>Giải nghĩa tiếng Việt</w:t>
            </w:r>
          </w:p>
        </w:tc>
      </w:tr>
      <w:tr>
        <w:tc>
          <w:tcPr>
            <w:tcW w:type="dxa" w:w="3024"/>
          </w:tcPr>
          <w:p>
            <w:pPr>
              <w:jc w:val="left"/>
            </w:pPr>
            <w:r/>
            <w:r>
              <w:rPr>
                <w:rFonts w:ascii="Times New Roman" w:hAnsi="Times New Roman"/>
                <w:sz w:val="22"/>
              </w:rPr>
              <w:t>BIM</w:t>
            </w:r>
          </w:p>
        </w:tc>
        <w:tc>
          <w:tcPr>
            <w:tcW w:type="dxa" w:w="3024"/>
          </w:tcPr>
          <w:p>
            <w:pPr>
              <w:jc w:val="left"/>
            </w:pPr>
            <w:r/>
            <w:r>
              <w:rPr>
                <w:rFonts w:ascii="Times New Roman" w:hAnsi="Times New Roman"/>
                <w:sz w:val="22"/>
              </w:rPr>
              <w:t>Building Information Modeling</w:t>
            </w:r>
          </w:p>
        </w:tc>
        <w:tc>
          <w:tcPr>
            <w:tcW w:type="dxa" w:w="3024"/>
          </w:tcPr>
          <w:p>
            <w:pPr>
              <w:jc w:val="left"/>
            </w:pPr>
            <w:r/>
            <w:r>
              <w:rPr>
                <w:rFonts w:ascii="Times New Roman" w:hAnsi="Times New Roman"/>
                <w:sz w:val="22"/>
              </w:rPr>
              <w:t>Mô hình hóa thông tin công trình</w:t>
            </w:r>
          </w:p>
        </w:tc>
      </w:tr>
      <w:tr>
        <w:tc>
          <w:tcPr>
            <w:tcW w:type="dxa" w:w="3024"/>
            <w:shd w:fill="F0F2F5" w:val="clear"/>
          </w:tcPr>
          <w:p>
            <w:pPr>
              <w:jc w:val="left"/>
            </w:pPr>
            <w:r/>
            <w:r>
              <w:rPr>
                <w:rFonts w:ascii="Times New Roman" w:hAnsi="Times New Roman"/>
                <w:sz w:val="22"/>
              </w:rPr>
              <w:t>MEP</w:t>
            </w:r>
          </w:p>
        </w:tc>
        <w:tc>
          <w:tcPr>
            <w:tcW w:type="dxa" w:w="3024"/>
            <w:shd w:fill="F0F2F5" w:val="clear"/>
          </w:tcPr>
          <w:p>
            <w:pPr>
              <w:jc w:val="left"/>
            </w:pPr>
            <w:r/>
            <w:r>
              <w:rPr>
                <w:rFonts w:ascii="Times New Roman" w:hAnsi="Times New Roman"/>
                <w:sz w:val="22"/>
              </w:rPr>
              <w:t>Mechanical, Electrical, Plumbing</w:t>
            </w:r>
          </w:p>
        </w:tc>
        <w:tc>
          <w:tcPr>
            <w:tcW w:type="dxa" w:w="3024"/>
            <w:shd w:fill="F0F2F5" w:val="clear"/>
          </w:tcPr>
          <w:p>
            <w:pPr>
              <w:jc w:val="left"/>
            </w:pPr>
            <w:r/>
            <w:r>
              <w:rPr>
                <w:rFonts w:ascii="Times New Roman" w:hAnsi="Times New Roman"/>
                <w:sz w:val="22"/>
              </w:rPr>
              <w:t>Cơ khí, Điện, Cấp thoát nước</w:t>
            </w:r>
          </w:p>
        </w:tc>
      </w:tr>
      <w:tr>
        <w:tc>
          <w:tcPr>
            <w:tcW w:type="dxa" w:w="3024"/>
          </w:tcPr>
          <w:p>
            <w:pPr>
              <w:jc w:val="left"/>
            </w:pPr>
            <w:r/>
            <w:r>
              <w:rPr>
                <w:rFonts w:ascii="Times New Roman" w:hAnsi="Times New Roman"/>
                <w:sz w:val="22"/>
              </w:rPr>
              <w:t>HVAC</w:t>
            </w:r>
          </w:p>
        </w:tc>
        <w:tc>
          <w:tcPr>
            <w:tcW w:type="dxa" w:w="3024"/>
          </w:tcPr>
          <w:p>
            <w:pPr>
              <w:jc w:val="left"/>
            </w:pPr>
            <w:r/>
            <w:r>
              <w:rPr>
                <w:rFonts w:ascii="Times New Roman" w:hAnsi="Times New Roman"/>
                <w:sz w:val="22"/>
              </w:rPr>
              <w:t>Heating, Ventilation, Air Conditioning</w:t>
            </w:r>
          </w:p>
        </w:tc>
        <w:tc>
          <w:tcPr>
            <w:tcW w:type="dxa" w:w="3024"/>
          </w:tcPr>
          <w:p>
            <w:pPr>
              <w:jc w:val="left"/>
            </w:pPr>
            <w:r/>
            <w:r>
              <w:rPr>
                <w:rFonts w:ascii="Times New Roman" w:hAnsi="Times New Roman"/>
                <w:sz w:val="22"/>
              </w:rPr>
              <w:t>Sưởi ấm, Thông gió, Điều hòa không khí</w:t>
            </w:r>
          </w:p>
        </w:tc>
      </w:tr>
      <w:tr>
        <w:tc>
          <w:tcPr>
            <w:tcW w:type="dxa" w:w="3024"/>
            <w:shd w:fill="F0F2F5" w:val="clear"/>
          </w:tcPr>
          <w:p>
            <w:pPr>
              <w:jc w:val="left"/>
            </w:pPr>
            <w:r/>
            <w:r>
              <w:rPr>
                <w:rFonts w:ascii="Times New Roman" w:hAnsi="Times New Roman"/>
                <w:sz w:val="22"/>
              </w:rPr>
              <w:t>SBU</w:t>
            </w:r>
          </w:p>
        </w:tc>
        <w:tc>
          <w:tcPr>
            <w:tcW w:type="dxa" w:w="3024"/>
            <w:shd w:fill="F0F2F5" w:val="clear"/>
          </w:tcPr>
          <w:p>
            <w:pPr>
              <w:jc w:val="left"/>
            </w:pPr>
            <w:r/>
            <w:r>
              <w:rPr>
                <w:rFonts w:ascii="Times New Roman" w:hAnsi="Times New Roman"/>
                <w:sz w:val="22"/>
              </w:rPr>
              <w:t>Strategic Business Unit</w:t>
            </w:r>
          </w:p>
        </w:tc>
        <w:tc>
          <w:tcPr>
            <w:tcW w:type="dxa" w:w="3024"/>
            <w:shd w:fill="F0F2F5" w:val="clear"/>
          </w:tcPr>
          <w:p>
            <w:pPr>
              <w:jc w:val="left"/>
            </w:pPr>
            <w:r/>
            <w:r>
              <w:rPr>
                <w:rFonts w:ascii="Times New Roman" w:hAnsi="Times New Roman"/>
                <w:sz w:val="22"/>
              </w:rPr>
              <w:t>Đơn vị kinh doanh chiến lược</w:t>
            </w:r>
          </w:p>
        </w:tc>
      </w:tr>
      <w:tr>
        <w:tc>
          <w:tcPr>
            <w:tcW w:type="dxa" w:w="3024"/>
          </w:tcPr>
          <w:p>
            <w:pPr>
              <w:jc w:val="left"/>
            </w:pPr>
            <w:r/>
            <w:r>
              <w:rPr>
                <w:rFonts w:ascii="Times New Roman" w:hAnsi="Times New Roman"/>
                <w:sz w:val="22"/>
              </w:rPr>
              <w:t>BCG</w:t>
            </w:r>
          </w:p>
        </w:tc>
        <w:tc>
          <w:tcPr>
            <w:tcW w:type="dxa" w:w="3024"/>
          </w:tcPr>
          <w:p>
            <w:pPr>
              <w:jc w:val="left"/>
            </w:pPr>
            <w:r/>
            <w:r>
              <w:rPr>
                <w:rFonts w:ascii="Times New Roman" w:hAnsi="Times New Roman"/>
                <w:sz w:val="22"/>
              </w:rPr>
              <w:t>Boston Consulting Group</w:t>
            </w:r>
          </w:p>
        </w:tc>
        <w:tc>
          <w:tcPr>
            <w:tcW w:type="dxa" w:w="3024"/>
          </w:tcPr>
          <w:p>
            <w:pPr>
              <w:jc w:val="left"/>
            </w:pPr>
            <w:r/>
            <w:r>
              <w:rPr>
                <w:rFonts w:ascii="Times New Roman" w:hAnsi="Times New Roman"/>
                <w:sz w:val="22"/>
              </w:rPr>
              <w:t>Tập đoàn tư vấn Boston</w:t>
            </w:r>
          </w:p>
        </w:tc>
      </w:tr>
      <w:tr>
        <w:tc>
          <w:tcPr>
            <w:tcW w:type="dxa" w:w="3024"/>
            <w:shd w:fill="F0F2F5" w:val="clear"/>
          </w:tcPr>
          <w:p>
            <w:pPr>
              <w:jc w:val="left"/>
            </w:pPr>
            <w:r/>
            <w:r>
              <w:rPr>
                <w:rFonts w:ascii="Times New Roman" w:hAnsi="Times New Roman"/>
                <w:sz w:val="22"/>
              </w:rPr>
              <w:t>CKS</w:t>
            </w:r>
          </w:p>
        </w:tc>
        <w:tc>
          <w:tcPr>
            <w:tcW w:type="dxa" w:w="3024"/>
            <w:shd w:fill="F0F2F5" w:val="clear"/>
          </w:tcPr>
          <w:p>
            <w:pPr>
              <w:jc w:val="left"/>
            </w:pPr>
            <w:r/>
            <w:r>
              <w:rPr>
                <w:rFonts w:ascii="Times New Roman" w:hAnsi="Times New Roman"/>
                <w:sz w:val="22"/>
              </w:rPr>
              <w:t>Product Life Cycle</w:t>
            </w:r>
          </w:p>
        </w:tc>
        <w:tc>
          <w:tcPr>
            <w:tcW w:type="dxa" w:w="3024"/>
            <w:shd w:fill="F0F2F5" w:val="clear"/>
          </w:tcPr>
          <w:p>
            <w:pPr>
              <w:jc w:val="left"/>
            </w:pPr>
            <w:r/>
            <w:r>
              <w:rPr>
                <w:rFonts w:ascii="Times New Roman" w:hAnsi="Times New Roman"/>
                <w:sz w:val="22"/>
              </w:rPr>
              <w:t>Chu kỳ sống sản phẩm</w:t>
            </w:r>
          </w:p>
        </w:tc>
      </w:tr>
      <w:tr>
        <w:tc>
          <w:tcPr>
            <w:tcW w:type="dxa" w:w="3024"/>
          </w:tcPr>
          <w:p>
            <w:pPr>
              <w:jc w:val="left"/>
            </w:pPr>
            <w:r/>
            <w:r>
              <w:rPr>
                <w:rFonts w:ascii="Times New Roman" w:hAnsi="Times New Roman"/>
                <w:sz w:val="22"/>
              </w:rPr>
              <w:t>Clash Detection</w:t>
            </w:r>
          </w:p>
        </w:tc>
        <w:tc>
          <w:tcPr>
            <w:tcW w:type="dxa" w:w="3024"/>
          </w:tcPr>
          <w:p>
            <w:pPr>
              <w:jc w:val="left"/>
            </w:pPr>
            <w:r/>
            <w:r>
              <w:rPr>
                <w:rFonts w:ascii="Times New Roman" w:hAnsi="Times New Roman"/>
                <w:sz w:val="22"/>
              </w:rPr>
              <w:t>—</w:t>
            </w:r>
          </w:p>
        </w:tc>
        <w:tc>
          <w:tcPr>
            <w:tcW w:type="dxa" w:w="3024"/>
          </w:tcPr>
          <w:p>
            <w:pPr>
              <w:jc w:val="left"/>
            </w:pPr>
            <w:r/>
            <w:r>
              <w:rPr>
                <w:rFonts w:ascii="Times New Roman" w:hAnsi="Times New Roman"/>
                <w:sz w:val="22"/>
              </w:rPr>
              <w:t>Phát hiện xung đột giữa các hệ thống trong mô hình 3D</w:t>
            </w:r>
          </w:p>
        </w:tc>
      </w:tr>
      <w:tr>
        <w:tc>
          <w:tcPr>
            <w:tcW w:type="dxa" w:w="3024"/>
            <w:shd w:fill="F0F2F5" w:val="clear"/>
          </w:tcPr>
          <w:p>
            <w:pPr>
              <w:jc w:val="left"/>
            </w:pPr>
            <w:r/>
            <w:r>
              <w:rPr>
                <w:rFonts w:ascii="Times New Roman" w:hAnsi="Times New Roman"/>
                <w:sz w:val="22"/>
              </w:rPr>
              <w:t>Scan to BIM</w:t>
            </w:r>
          </w:p>
        </w:tc>
        <w:tc>
          <w:tcPr>
            <w:tcW w:type="dxa" w:w="3024"/>
            <w:shd w:fill="F0F2F5" w:val="clear"/>
          </w:tcPr>
          <w:p>
            <w:pPr>
              <w:jc w:val="left"/>
            </w:pPr>
            <w:r/>
            <w:r>
              <w:rPr>
                <w:rFonts w:ascii="Times New Roman" w:hAnsi="Times New Roman"/>
                <w:sz w:val="22"/>
              </w:rPr>
              <w:t>—</w:t>
            </w:r>
          </w:p>
        </w:tc>
        <w:tc>
          <w:tcPr>
            <w:tcW w:type="dxa" w:w="3024"/>
            <w:shd w:fill="F0F2F5" w:val="clear"/>
          </w:tcPr>
          <w:p>
            <w:pPr>
              <w:jc w:val="left"/>
            </w:pPr>
            <w:r/>
            <w:r>
              <w:rPr>
                <w:rFonts w:ascii="Times New Roman" w:hAnsi="Times New Roman"/>
                <w:sz w:val="22"/>
              </w:rPr>
              <w:t>Chuyển đổi dữ liệu quét laser 3D thành mô hình BIM</w:t>
            </w:r>
          </w:p>
        </w:tc>
      </w:tr>
      <w:tr>
        <w:tc>
          <w:tcPr>
            <w:tcW w:type="dxa" w:w="3024"/>
          </w:tcPr>
          <w:p>
            <w:pPr>
              <w:jc w:val="left"/>
            </w:pPr>
            <w:r/>
            <w:r>
              <w:rPr>
                <w:rFonts w:ascii="Times New Roman" w:hAnsi="Times New Roman"/>
                <w:sz w:val="22"/>
              </w:rPr>
              <w:t>Revit</w:t>
            </w:r>
          </w:p>
        </w:tc>
        <w:tc>
          <w:tcPr>
            <w:tcW w:type="dxa" w:w="3024"/>
          </w:tcPr>
          <w:p>
            <w:pPr>
              <w:jc w:val="left"/>
            </w:pPr>
            <w:r/>
            <w:r>
              <w:rPr>
                <w:rFonts w:ascii="Times New Roman" w:hAnsi="Times New Roman"/>
                <w:sz w:val="22"/>
              </w:rPr>
              <w:t>—</w:t>
            </w:r>
          </w:p>
        </w:tc>
        <w:tc>
          <w:tcPr>
            <w:tcW w:type="dxa" w:w="3024"/>
          </w:tcPr>
          <w:p>
            <w:pPr>
              <w:jc w:val="left"/>
            </w:pPr>
            <w:r/>
            <w:r>
              <w:rPr>
                <w:rFonts w:ascii="Times New Roman" w:hAnsi="Times New Roman"/>
                <w:sz w:val="22"/>
              </w:rPr>
              <w:t>Phần mềm thiết kế BIM của Autodesk</w:t>
            </w:r>
          </w:p>
        </w:tc>
      </w:tr>
      <w:tr>
        <w:tc>
          <w:tcPr>
            <w:tcW w:type="dxa" w:w="3024"/>
            <w:shd w:fill="F0F2F5" w:val="clear"/>
          </w:tcPr>
          <w:p>
            <w:pPr>
              <w:jc w:val="left"/>
            </w:pPr>
            <w:r/>
            <w:r>
              <w:rPr>
                <w:rFonts w:ascii="Times New Roman" w:hAnsi="Times New Roman"/>
                <w:sz w:val="22"/>
              </w:rPr>
              <w:t>BOQ</w:t>
            </w:r>
          </w:p>
        </w:tc>
        <w:tc>
          <w:tcPr>
            <w:tcW w:type="dxa" w:w="3024"/>
            <w:shd w:fill="F0F2F5" w:val="clear"/>
          </w:tcPr>
          <w:p>
            <w:pPr>
              <w:jc w:val="left"/>
            </w:pPr>
            <w:r/>
            <w:r>
              <w:rPr>
                <w:rFonts w:ascii="Times New Roman" w:hAnsi="Times New Roman"/>
                <w:sz w:val="22"/>
              </w:rPr>
              <w:t>Bill of Quantities</w:t>
            </w:r>
          </w:p>
        </w:tc>
        <w:tc>
          <w:tcPr>
            <w:tcW w:type="dxa" w:w="3024"/>
            <w:shd w:fill="F0F2F5" w:val="clear"/>
          </w:tcPr>
          <w:p>
            <w:pPr>
              <w:jc w:val="left"/>
            </w:pPr>
            <w:r/>
            <w:r>
              <w:rPr>
                <w:rFonts w:ascii="Times New Roman" w:hAnsi="Times New Roman"/>
                <w:sz w:val="22"/>
              </w:rPr>
              <w:t>Bảng khối lượng vật tư, thiết bị</w:t>
            </w:r>
          </w:p>
        </w:tc>
      </w:tr>
      <w:tr>
        <w:tc>
          <w:tcPr>
            <w:tcW w:type="dxa" w:w="3024"/>
          </w:tcPr>
          <w:p>
            <w:pPr>
              <w:jc w:val="left"/>
            </w:pPr>
            <w:r/>
            <w:r>
              <w:rPr>
                <w:rFonts w:ascii="Times New Roman" w:hAnsi="Times New Roman"/>
                <w:sz w:val="22"/>
              </w:rPr>
              <w:t>Outsource</w:t>
            </w:r>
          </w:p>
        </w:tc>
        <w:tc>
          <w:tcPr>
            <w:tcW w:type="dxa" w:w="3024"/>
          </w:tcPr>
          <w:p>
            <w:pPr>
              <w:jc w:val="left"/>
            </w:pPr>
            <w:r/>
            <w:r>
              <w:rPr>
                <w:rFonts w:ascii="Times New Roman" w:hAnsi="Times New Roman"/>
                <w:sz w:val="22"/>
              </w:rPr>
              <w:t>—</w:t>
            </w:r>
          </w:p>
        </w:tc>
        <w:tc>
          <w:tcPr>
            <w:tcW w:type="dxa" w:w="3024"/>
          </w:tcPr>
          <w:p>
            <w:pPr>
              <w:jc w:val="left"/>
            </w:pPr>
            <w:r/>
            <w:r>
              <w:rPr>
                <w:rFonts w:ascii="Times New Roman" w:hAnsi="Times New Roman"/>
                <w:sz w:val="22"/>
              </w:rPr>
              <w:t>Thuê ngoài — nhận thực hiện công việc từ khách hàng nước ngoài</w:t>
            </w:r>
          </w:p>
        </w:tc>
      </w:tr>
      <w:tr>
        <w:tc>
          <w:tcPr>
            <w:tcW w:type="dxa" w:w="3024"/>
            <w:shd w:fill="F0F2F5" w:val="clear"/>
          </w:tcPr>
          <w:p>
            <w:pPr>
              <w:jc w:val="left"/>
            </w:pPr>
            <w:r/>
            <w:r>
              <w:rPr>
                <w:rFonts w:ascii="Times New Roman" w:hAnsi="Times New Roman"/>
                <w:sz w:val="22"/>
              </w:rPr>
              <w:t>LiDAR</w:t>
            </w:r>
          </w:p>
        </w:tc>
        <w:tc>
          <w:tcPr>
            <w:tcW w:type="dxa" w:w="3024"/>
            <w:shd w:fill="F0F2F5" w:val="clear"/>
          </w:tcPr>
          <w:p>
            <w:pPr>
              <w:jc w:val="left"/>
            </w:pPr>
            <w:r/>
            <w:r>
              <w:rPr>
                <w:rFonts w:ascii="Times New Roman" w:hAnsi="Times New Roman"/>
                <w:sz w:val="22"/>
              </w:rPr>
              <w:t>Light Detection and Ranging</w:t>
            </w:r>
          </w:p>
        </w:tc>
        <w:tc>
          <w:tcPr>
            <w:tcW w:type="dxa" w:w="3024"/>
            <w:shd w:fill="F0F2F5" w:val="clear"/>
          </w:tcPr>
          <w:p>
            <w:pPr>
              <w:jc w:val="left"/>
            </w:pPr>
            <w:r/>
            <w:r>
              <w:rPr>
                <w:rFonts w:ascii="Times New Roman" w:hAnsi="Times New Roman"/>
                <w:sz w:val="22"/>
              </w:rPr>
              <w:t>Công nghệ quét laser 3D</w:t>
            </w:r>
          </w:p>
        </w:tc>
      </w:tr>
      <w:tr>
        <w:tc>
          <w:tcPr>
            <w:tcW w:type="dxa" w:w="3024"/>
          </w:tcPr>
          <w:p>
            <w:pPr>
              <w:jc w:val="left"/>
            </w:pPr>
            <w:r/>
            <w:r>
              <w:rPr>
                <w:rFonts w:ascii="Times New Roman" w:hAnsi="Times New Roman"/>
                <w:sz w:val="22"/>
              </w:rPr>
              <w:t>Digital Twin</w:t>
            </w:r>
          </w:p>
        </w:tc>
        <w:tc>
          <w:tcPr>
            <w:tcW w:type="dxa" w:w="3024"/>
          </w:tcPr>
          <w:p>
            <w:pPr>
              <w:jc w:val="left"/>
            </w:pPr>
            <w:r/>
            <w:r>
              <w:rPr>
                <w:rFonts w:ascii="Times New Roman" w:hAnsi="Times New Roman"/>
                <w:sz w:val="22"/>
              </w:rPr>
              <w:t>—</w:t>
            </w:r>
          </w:p>
        </w:tc>
        <w:tc>
          <w:tcPr>
            <w:tcW w:type="dxa" w:w="3024"/>
          </w:tcPr>
          <w:p>
            <w:pPr>
              <w:jc w:val="left"/>
            </w:pPr>
            <w:r/>
            <w:r>
              <w:rPr>
                <w:rFonts w:ascii="Times New Roman" w:hAnsi="Times New Roman"/>
                <w:sz w:val="22"/>
              </w:rPr>
              <w:t>Bản sao số của công trình vật lý</w:t>
            </w:r>
          </w:p>
        </w:tc>
      </w:tr>
      <w:tr>
        <w:tc>
          <w:tcPr>
            <w:tcW w:type="dxa" w:w="3024"/>
            <w:shd w:fill="F0F2F5" w:val="clear"/>
          </w:tcPr>
          <w:p>
            <w:pPr>
              <w:jc w:val="left"/>
            </w:pPr>
            <w:r/>
            <w:r>
              <w:rPr>
                <w:rFonts w:ascii="Times New Roman" w:hAnsi="Times New Roman"/>
                <w:sz w:val="22"/>
              </w:rPr>
              <w:t>EPC</w:t>
            </w:r>
          </w:p>
        </w:tc>
        <w:tc>
          <w:tcPr>
            <w:tcW w:type="dxa" w:w="3024"/>
            <w:shd w:fill="F0F2F5" w:val="clear"/>
          </w:tcPr>
          <w:p>
            <w:pPr>
              <w:jc w:val="left"/>
            </w:pPr>
            <w:r/>
            <w:r>
              <w:rPr>
                <w:rFonts w:ascii="Times New Roman" w:hAnsi="Times New Roman"/>
                <w:sz w:val="22"/>
              </w:rPr>
              <w:t>Engineering, Procurement, Construction</w:t>
            </w:r>
          </w:p>
        </w:tc>
        <w:tc>
          <w:tcPr>
            <w:tcW w:type="dxa" w:w="3024"/>
            <w:shd w:fill="F0F2F5" w:val="clear"/>
          </w:tcPr>
          <w:p>
            <w:pPr>
              <w:jc w:val="left"/>
            </w:pPr>
            <w:r/>
            <w:r>
              <w:rPr>
                <w:rFonts w:ascii="Times New Roman" w:hAnsi="Times New Roman"/>
                <w:sz w:val="22"/>
              </w:rPr>
              <w:t>Thiết kế, Mua sắm, Thi công</w:t>
            </w:r>
          </w:p>
        </w:tc>
      </w:tr>
    </w:tbl>
    <w:p>
      <w:pPr>
        <w:spacing w:before="80" w:after="240"/>
        <w:jc w:val="center"/>
      </w:pPr>
      <w:r>
        <w:rPr>
          <w:rFonts w:ascii="Times New Roman" w:hAnsi="Times New Roman"/>
          <w:i/>
          <w:sz w:val="22"/>
        </w:rPr>
        <w:t>Bảng 1: Danh mục từ viết tắt và thuật ngữ chuyên ngành</w:t>
      </w:r>
    </w:p>
    <w:p>
      <w:r>
        <w:br w:type="page"/>
      </w:r>
    </w:p>
    <w:p>
      <w:pPr>
        <w:pStyle w:val="Heading1"/>
      </w:pPr>
      <w:r>
        <w:t>LỜI MỞ ĐẦU</w:t>
      </w:r>
    </w:p>
    <w:p>
      <w:pPr>
        <w:spacing w:after="120" w:line="360" w:lineRule="auto"/>
        <w:ind w:firstLine="720"/>
        <w:jc w:val="both"/>
      </w:pPr>
      <w:r>
        <w:rPr>
          <w:rFonts w:ascii="Times New Roman" w:hAnsi="Times New Roman"/>
          <w:b w:val="0"/>
          <w:sz w:val="26"/>
        </w:rPr>
        <w:t>Trong bối cảnh kinh tế toàn cầu hóa và cạnh tranh ngày càng gay gắt, việc hoạch định chiến lược trở thành một trong những chức năng quan trọng nhất của nhà quản trị. Doanh nghiệp không chỉ cần vận hành hiệu quả mà còn phải xác định rõ đâu là lĩnh vực cần đầu tư, đâu là lĩnh vực cần duy trì hay rút lui — đặc biệt khi doanh nghiệp hoạt động đa ngành hoặc cung cấp nhiều dòng sản phẩm/dịch vụ khác nhau.</w:t>
      </w:r>
    </w:p>
    <w:p>
      <w:pPr>
        <w:spacing w:after="120" w:line="360" w:lineRule="auto"/>
        <w:ind w:firstLine="720"/>
        <w:jc w:val="both"/>
      </w:pPr>
      <w:r>
        <w:rPr>
          <w:rFonts w:ascii="Times New Roman" w:hAnsi="Times New Roman"/>
          <w:b w:val="0"/>
          <w:sz w:val="26"/>
        </w:rPr>
        <w:t>Ma trận BCG (Boston Consulting Group) là một trong những công cụ quản trị chiến lược kinh điển, được phát triển từ những năm 1970 và vẫn giữ nguyên giá trị ứng dụng cho đến nay. Công cụ này giúp nhà quản trị phân loại các đơn vị kinh doanh chiến lược (SBU) dựa trên hai trục: thị phần tương đối và tốc độ tăng trưởng thị trường, từ đó đưa ra quyết định phân bổ nguồn lực hợp lý.</w:t>
      </w:r>
    </w:p>
    <w:p>
      <w:pPr>
        <w:spacing w:after="120" w:line="360" w:lineRule="auto"/>
        <w:ind w:firstLine="720"/>
        <w:jc w:val="both"/>
      </w:pPr>
      <w:r>
        <w:rPr>
          <w:rFonts w:ascii="Times New Roman" w:hAnsi="Times New Roman"/>
          <w:b w:val="0"/>
          <w:sz w:val="26"/>
        </w:rPr>
        <w:t>Bài tiểu luận này lựa chọn Công ty TNHH DCMvn — một doanh nghiệp hoạt động trong lĩnh vực dựng mô hình 3D và xử lý bản vẽ kỹ thuật phục vụ ngành xây dựng, trực thuộc tập đoàn mẹ tại Đức — làm đối tượng nghiên cứu. Với 9 dịch vụ đa dạng từ mô hình MEP, kiến trúc BIM đến tư vấn chuyển đổi số, DCMvn là một trường hợp phù hợp để phân tích danh mục kinh doanh thông qua ma trận BCG.</w:t>
      </w:r>
    </w:p>
    <w:p>
      <w:pPr>
        <w:spacing w:after="120" w:line="360" w:lineRule="auto"/>
        <w:ind w:firstLine="720"/>
        <w:jc w:val="both"/>
      </w:pPr>
      <w:r>
        <w:rPr>
          <w:rFonts w:ascii="Times New Roman" w:hAnsi="Times New Roman"/>
          <w:b w:val="0"/>
          <w:sz w:val="26"/>
        </w:rPr>
        <w:t>Cấu trúc bài tiểu luận gồm bốn phần: Phần I giới thiệu tổng quan về doanh nghiệp DCMvn; Phần II trình bày cơ sở lý thuyết về ma trận BCG và chu kỳ sống sản phẩm; Phần III phân tích chi tiết năm đơn vị kinh doanh chiến lược của công ty; và Phần IV thể hiện các SBU trên ma trận BCG, đồng thời hoạch định chiến lược cụ thể cho từng đơn vị.</w:t>
      </w:r>
    </w:p>
    <w:p>
      <w:r>
        <w:br w:type="page"/>
      </w:r>
    </w:p>
    <w:p>
      <w:pPr>
        <w:pStyle w:val="Heading1"/>
      </w:pPr>
      <w:r>
        <w:t>PHẦN I. GIỚI THIỆU DOANH NGHIỆP DCMvn</w:t>
      </w:r>
    </w:p>
    <w:p>
      <w:pPr>
        <w:pStyle w:val="Heading2"/>
      </w:pPr>
      <w:r>
        <w:t>1.1. Tổng quan về Công ty TNHH DCMvn</w:t>
      </w:r>
    </w:p>
    <w:p>
      <w:pPr>
        <w:spacing w:after="120" w:line="360" w:lineRule="auto"/>
        <w:ind w:firstLine="720"/>
        <w:jc w:val="both"/>
      </w:pPr>
      <w:r>
        <w:rPr>
          <w:rFonts w:ascii="Times New Roman" w:hAnsi="Times New Roman"/>
          <w:b w:val="0"/>
          <w:sz w:val="26"/>
        </w:rPr>
        <w:t>Công ty TNHH DCMvn (DCMvn CO., Ltd) là doanh nghiệp tư vấn đa ngành chuyên về Cơ điện (MEP — Mechanical, Electrical, Plumbing) và Kiến trúc, với trụ sở chính đặt tại Tầng 7, 60 Nguyễn Văn Thủ, Phường Tân Định, Thành phố Hồ Chí Minh, Việt Nam. Công ty là thành viên của một tập đoàn đa quốc gia có trụ sở tại Đức, hoạt động trong lĩnh vực cung cấp giải pháp số hóa cho ngành xây dựng.</w:t>
      </w:r>
    </w:p>
    <w:p>
      <w:pPr>
        <w:spacing w:after="120" w:line="360" w:lineRule="auto"/>
        <w:ind w:firstLine="720"/>
        <w:jc w:val="both"/>
      </w:pPr>
      <w:r>
        <w:rPr>
          <w:rFonts w:ascii="Times New Roman" w:hAnsi="Times New Roman"/>
          <w:b w:val="0"/>
          <w:sz w:val="26"/>
        </w:rPr>
        <w:t>Nhiệm vụ chính của DCMvn là triển khai mô hình 3D từ các bản vẽ thiết kế do công ty mẹ tại Đức cung cấp, đảm bảo đúng tiêu chuẩn kỹ thuật, chất lượng và tiến độ theo yêu cầu quốc tế. Các dự án của DCMvn chủ yếu tọa lạc tại Trung Âu — Đức, Cộng hòa Séc và Áo — với tổng diện tích dự án đã thực hiện trên 608.000 m², hơn 100 mô hình Revit và dữ liệu chia sẻ hàng ngày vượt 1,3 TB (DCMvn, 2026).</w:t>
      </w:r>
    </w:p>
    <w:p>
      <w:pPr>
        <w:spacing w:after="120" w:line="360" w:lineRule="auto"/>
        <w:ind w:firstLine="720"/>
        <w:jc w:val="both"/>
      </w:pPr>
      <w:r>
        <w:rPr>
          <w:rFonts w:ascii="Times New Roman" w:hAnsi="Times New Roman"/>
          <w:b w:val="0"/>
          <w:sz w:val="26"/>
        </w:rPr>
        <w:t>Tầm nhìn của DCMvn được thể hiện qua ba trụ cột: Lắng nghe (Listening) — thấu hiểu nhu cầu khách hàng; Huấn luyện (Coaching) — hỗ trợ khách hàng tìm quy trình số hóa phù hợp; và Kiểm soát (Controlling) — giám sát dự án theo ngày/tuần để đảm bảo tiến độ và ngân sách.</w:t>
      </w:r>
    </w:p>
    <w:p>
      <w:pPr>
        <w:pStyle w:val="Heading2"/>
      </w:pPr>
      <w:r>
        <w:t>1.2. Lĩnh vực hoạt động và các dịch vụ</w:t>
      </w:r>
    </w:p>
    <w:p>
      <w:pPr>
        <w:spacing w:after="120" w:line="360" w:lineRule="auto"/>
        <w:ind w:firstLine="720"/>
        <w:jc w:val="both"/>
      </w:pPr>
      <w:r>
        <w:rPr>
          <w:rFonts w:ascii="Times New Roman" w:hAnsi="Times New Roman"/>
          <w:b w:val="0"/>
          <w:sz w:val="26"/>
        </w:rPr>
        <w:t>DCMvn cung cấp 9 dịch vụ chính, tập trung vào việc ứng dụng công nghệ BIM và quy trình kỹ thuật số hoàn toàn để mang đến sản phẩm nhanh, chính xác và hiệu quả chi phí. Bảng 2 tổng hợp các dịch vụ này.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B2A3D" w:val="clear"/>
          </w:tcPr>
          <w:p>
            <w:pPr>
              <w:jc w:val="center"/>
            </w:pPr>
            <w:r/>
            <w:r>
              <w:rPr>
                <w:rFonts w:ascii="Times New Roman" w:hAnsi="Times New Roman"/>
                <w:b/>
                <w:color w:val="FFFFFF"/>
                <w:sz w:val="22"/>
              </w:rPr>
              <w:t>STT</w:t>
            </w:r>
          </w:p>
        </w:tc>
        <w:tc>
          <w:tcPr>
            <w:tcW w:type="dxa" w:w="3024"/>
            <w:shd w:fill="1B2A3D" w:val="clear"/>
          </w:tcPr>
          <w:p>
            <w:pPr>
              <w:jc w:val="center"/>
            </w:pPr>
            <w:r/>
            <w:r>
              <w:rPr>
                <w:rFonts w:ascii="Times New Roman" w:hAnsi="Times New Roman"/>
                <w:b/>
                <w:color w:val="FFFFFF"/>
                <w:sz w:val="22"/>
              </w:rPr>
              <w:t>Tên dịch vụ</w:t>
            </w:r>
          </w:p>
        </w:tc>
        <w:tc>
          <w:tcPr>
            <w:tcW w:type="dxa" w:w="3024"/>
            <w:shd w:fill="1B2A3D" w:val="clear"/>
          </w:tcPr>
          <w:p>
            <w:pPr>
              <w:jc w:val="center"/>
            </w:pPr>
            <w:r/>
            <w:r>
              <w:rPr>
                <w:rFonts w:ascii="Times New Roman" w:hAnsi="Times New Roman"/>
                <w:b/>
                <w:color w:val="FFFFFF"/>
                <w:sz w:val="22"/>
              </w:rPr>
              <w:t>Mô tả ngắn</w:t>
            </w:r>
          </w:p>
        </w:tc>
      </w:tr>
      <w:tr>
        <w:tc>
          <w:tcPr>
            <w:tcW w:type="dxa" w:w="3024"/>
          </w:tcPr>
          <w:p>
            <w:pPr>
              <w:jc w:val="left"/>
            </w:pPr>
            <w:r/>
            <w:r>
              <w:rPr>
                <w:rFonts w:ascii="Times New Roman" w:hAnsi="Times New Roman"/>
                <w:sz w:val="22"/>
              </w:rPr>
              <w:t>1</w:t>
            </w:r>
          </w:p>
        </w:tc>
        <w:tc>
          <w:tcPr>
            <w:tcW w:type="dxa" w:w="3024"/>
          </w:tcPr>
          <w:p>
            <w:pPr>
              <w:jc w:val="left"/>
            </w:pPr>
            <w:r/>
            <w:r>
              <w:rPr>
                <w:rFonts w:ascii="Times New Roman" w:hAnsi="Times New Roman"/>
                <w:sz w:val="22"/>
              </w:rPr>
              <w:t>Mô hình 3D &amp; Tài liệu kỹ thuật (HVAC)</w:t>
            </w:r>
          </w:p>
        </w:tc>
        <w:tc>
          <w:tcPr>
            <w:tcW w:type="dxa" w:w="3024"/>
          </w:tcPr>
          <w:p>
            <w:pPr>
              <w:jc w:val="left"/>
            </w:pPr>
            <w:r/>
            <w:r>
              <w:rPr>
                <w:rFonts w:ascii="Times New Roman" w:hAnsi="Times New Roman"/>
                <w:sz w:val="22"/>
              </w:rPr>
              <w:t>Dựng mô hình 3D hệ thống cơ điện, phát hiện xung đột, tài liệu kỹ thuật</w:t>
            </w:r>
          </w:p>
        </w:tc>
      </w:tr>
      <w:tr>
        <w:tc>
          <w:tcPr>
            <w:tcW w:type="dxa" w:w="3024"/>
            <w:shd w:fill="F0F2F5" w:val="clear"/>
          </w:tcPr>
          <w:p>
            <w:pPr>
              <w:jc w:val="left"/>
            </w:pPr>
            <w:r/>
            <w:r>
              <w:rPr>
                <w:rFonts w:ascii="Times New Roman" w:hAnsi="Times New Roman"/>
                <w:sz w:val="22"/>
              </w:rPr>
              <w:t>2</w:t>
            </w:r>
          </w:p>
        </w:tc>
        <w:tc>
          <w:tcPr>
            <w:tcW w:type="dxa" w:w="3024"/>
            <w:shd w:fill="F0F2F5" w:val="clear"/>
          </w:tcPr>
          <w:p>
            <w:pPr>
              <w:jc w:val="left"/>
            </w:pPr>
            <w:r/>
            <w:r>
              <w:rPr>
                <w:rFonts w:ascii="Times New Roman" w:hAnsi="Times New Roman"/>
                <w:sz w:val="22"/>
              </w:rPr>
              <w:t>Mô hình 3D &amp; Tài liệu kỹ thuật (Kiến trúc)</w:t>
            </w:r>
          </w:p>
        </w:tc>
        <w:tc>
          <w:tcPr>
            <w:tcW w:type="dxa" w:w="3024"/>
            <w:shd w:fill="F0F2F5" w:val="clear"/>
          </w:tcPr>
          <w:p>
            <w:pPr>
              <w:jc w:val="left"/>
            </w:pPr>
            <w:r/>
            <w:r>
              <w:rPr>
                <w:rFonts w:ascii="Times New Roman" w:hAnsi="Times New Roman"/>
                <w:sz w:val="22"/>
              </w:rPr>
              <w:t>Mô hình 3D kiến trúc, BIM cho thiết kế và thi công</w:t>
            </w:r>
          </w:p>
        </w:tc>
      </w:tr>
      <w:tr>
        <w:tc>
          <w:tcPr>
            <w:tcW w:type="dxa" w:w="3024"/>
          </w:tcPr>
          <w:p>
            <w:pPr>
              <w:jc w:val="left"/>
            </w:pPr>
            <w:r/>
            <w:r>
              <w:rPr>
                <w:rFonts w:ascii="Times New Roman" w:hAnsi="Times New Roman"/>
                <w:sz w:val="22"/>
              </w:rPr>
              <w:t>3</w:t>
            </w:r>
          </w:p>
        </w:tc>
        <w:tc>
          <w:tcPr>
            <w:tcW w:type="dxa" w:w="3024"/>
          </w:tcPr>
          <w:p>
            <w:pPr>
              <w:jc w:val="left"/>
            </w:pPr>
            <w:r/>
            <w:r>
              <w:rPr>
                <w:rFonts w:ascii="Times New Roman" w:hAnsi="Times New Roman"/>
                <w:sz w:val="22"/>
              </w:rPr>
              <w:t>Quản lý xung đột &amp; Phối hợp</w:t>
            </w:r>
          </w:p>
        </w:tc>
        <w:tc>
          <w:tcPr>
            <w:tcW w:type="dxa" w:w="3024"/>
          </w:tcPr>
          <w:p>
            <w:pPr>
              <w:jc w:val="left"/>
            </w:pPr>
            <w:r/>
            <w:r>
              <w:rPr>
                <w:rFonts w:ascii="Times New Roman" w:hAnsi="Times New Roman"/>
                <w:sz w:val="22"/>
              </w:rPr>
              <w:t>Phát hiện, quản lý và phối hợp xử lý va chạm giữa các hệ thống</w:t>
            </w:r>
          </w:p>
        </w:tc>
      </w:tr>
      <w:tr>
        <w:tc>
          <w:tcPr>
            <w:tcW w:type="dxa" w:w="3024"/>
            <w:shd w:fill="F0F2F5" w:val="clear"/>
          </w:tcPr>
          <w:p>
            <w:pPr>
              <w:jc w:val="left"/>
            </w:pPr>
            <w:r/>
            <w:r>
              <w:rPr>
                <w:rFonts w:ascii="Times New Roman" w:hAnsi="Times New Roman"/>
                <w:sz w:val="22"/>
              </w:rPr>
              <w:t>4</w:t>
            </w:r>
          </w:p>
        </w:tc>
        <w:tc>
          <w:tcPr>
            <w:tcW w:type="dxa" w:w="3024"/>
            <w:shd w:fill="F0F2F5" w:val="clear"/>
          </w:tcPr>
          <w:p>
            <w:pPr>
              <w:jc w:val="left"/>
            </w:pPr>
            <w:r/>
            <w:r>
              <w:rPr>
                <w:rFonts w:ascii="Times New Roman" w:hAnsi="Times New Roman"/>
                <w:sz w:val="22"/>
              </w:rPr>
              <w:t>Tạo nội dung chuyên biệt</w:t>
            </w:r>
          </w:p>
        </w:tc>
        <w:tc>
          <w:tcPr>
            <w:tcW w:type="dxa" w:w="3024"/>
            <w:shd w:fill="F0F2F5" w:val="clear"/>
          </w:tcPr>
          <w:p>
            <w:pPr>
              <w:jc w:val="left"/>
            </w:pPr>
            <w:r/>
            <w:r>
              <w:rPr>
                <w:rFonts w:ascii="Times New Roman" w:hAnsi="Times New Roman"/>
                <w:sz w:val="22"/>
              </w:rPr>
              <w:t>Tạo component 3D tùy chỉnh, mô hình tham số</w:t>
            </w:r>
          </w:p>
        </w:tc>
      </w:tr>
      <w:tr>
        <w:tc>
          <w:tcPr>
            <w:tcW w:type="dxa" w:w="3024"/>
          </w:tcPr>
          <w:p>
            <w:pPr>
              <w:jc w:val="left"/>
            </w:pPr>
            <w:r/>
            <w:r>
              <w:rPr>
                <w:rFonts w:ascii="Times New Roman" w:hAnsi="Times New Roman"/>
                <w:sz w:val="22"/>
              </w:rPr>
              <w:t>5</w:t>
            </w:r>
          </w:p>
        </w:tc>
        <w:tc>
          <w:tcPr>
            <w:tcW w:type="dxa" w:w="3024"/>
          </w:tcPr>
          <w:p>
            <w:pPr>
              <w:jc w:val="left"/>
            </w:pPr>
            <w:r/>
            <w:r>
              <w:rPr>
                <w:rFonts w:ascii="Times New Roman" w:hAnsi="Times New Roman"/>
                <w:sz w:val="22"/>
              </w:rPr>
              <w:t>Phối hợp đa ngành</w:t>
            </w:r>
          </w:p>
        </w:tc>
        <w:tc>
          <w:tcPr>
            <w:tcW w:type="dxa" w:w="3024"/>
          </w:tcPr>
          <w:p>
            <w:pPr>
              <w:jc w:val="left"/>
            </w:pPr>
            <w:r/>
            <w:r>
              <w:rPr>
                <w:rFonts w:ascii="Times New Roman" w:hAnsi="Times New Roman"/>
                <w:sz w:val="22"/>
              </w:rPr>
              <w:t>Phối hợp đồng thời nhiều ngành kỹ thuật (lên đến 7 ngành)</w:t>
            </w:r>
          </w:p>
        </w:tc>
      </w:tr>
      <w:tr>
        <w:tc>
          <w:tcPr>
            <w:tcW w:type="dxa" w:w="3024"/>
            <w:shd w:fill="F0F2F5" w:val="clear"/>
          </w:tcPr>
          <w:p>
            <w:pPr>
              <w:jc w:val="left"/>
            </w:pPr>
            <w:r/>
            <w:r>
              <w:rPr>
                <w:rFonts w:ascii="Times New Roman" w:hAnsi="Times New Roman"/>
                <w:sz w:val="22"/>
              </w:rPr>
              <w:t>6</w:t>
            </w:r>
          </w:p>
        </w:tc>
        <w:tc>
          <w:tcPr>
            <w:tcW w:type="dxa" w:w="3024"/>
            <w:shd w:fill="F0F2F5" w:val="clear"/>
          </w:tcPr>
          <w:p>
            <w:pPr>
              <w:jc w:val="left"/>
            </w:pPr>
            <w:r/>
            <w:r>
              <w:rPr>
                <w:rFonts w:ascii="Times New Roman" w:hAnsi="Times New Roman"/>
                <w:sz w:val="22"/>
              </w:rPr>
              <w:t>Scan to BIM</w:t>
            </w:r>
          </w:p>
        </w:tc>
        <w:tc>
          <w:tcPr>
            <w:tcW w:type="dxa" w:w="3024"/>
            <w:shd w:fill="F0F2F5" w:val="clear"/>
          </w:tcPr>
          <w:p>
            <w:pPr>
              <w:jc w:val="left"/>
            </w:pPr>
            <w:r/>
            <w:r>
              <w:rPr>
                <w:rFonts w:ascii="Times New Roman" w:hAnsi="Times New Roman"/>
                <w:sz w:val="22"/>
              </w:rPr>
              <w:t>Chuyển đổi dữ liệu quét laser thành mô hình BIM</w:t>
            </w:r>
          </w:p>
        </w:tc>
      </w:tr>
      <w:tr>
        <w:tc>
          <w:tcPr>
            <w:tcW w:type="dxa" w:w="3024"/>
          </w:tcPr>
          <w:p>
            <w:pPr>
              <w:jc w:val="left"/>
            </w:pPr>
            <w:r/>
            <w:r>
              <w:rPr>
                <w:rFonts w:ascii="Times New Roman" w:hAnsi="Times New Roman"/>
                <w:sz w:val="22"/>
              </w:rPr>
              <w:t>7</w:t>
            </w:r>
          </w:p>
        </w:tc>
        <w:tc>
          <w:tcPr>
            <w:tcW w:type="dxa" w:w="3024"/>
          </w:tcPr>
          <w:p>
            <w:pPr>
              <w:jc w:val="left"/>
            </w:pPr>
            <w:r/>
            <w:r>
              <w:rPr>
                <w:rFonts w:ascii="Times New Roman" w:hAnsi="Times New Roman"/>
                <w:sz w:val="22"/>
              </w:rPr>
              <w:t>Bảng khối lượng (BOQ)</w:t>
            </w:r>
          </w:p>
        </w:tc>
        <w:tc>
          <w:tcPr>
            <w:tcW w:type="dxa" w:w="3024"/>
          </w:tcPr>
          <w:p>
            <w:pPr>
              <w:jc w:val="left"/>
            </w:pPr>
            <w:r/>
            <w:r>
              <w:rPr>
                <w:rFonts w:ascii="Times New Roman" w:hAnsi="Times New Roman"/>
                <w:sz w:val="22"/>
              </w:rPr>
              <w:t>Lập bảng khối lượng, dự toán chi phí từ mô hình 3D</w:t>
            </w:r>
          </w:p>
        </w:tc>
      </w:tr>
      <w:tr>
        <w:tc>
          <w:tcPr>
            <w:tcW w:type="dxa" w:w="3024"/>
            <w:shd w:fill="F0F2F5" w:val="clear"/>
          </w:tcPr>
          <w:p>
            <w:pPr>
              <w:jc w:val="left"/>
            </w:pPr>
            <w:r/>
            <w:r>
              <w:rPr>
                <w:rFonts w:ascii="Times New Roman" w:hAnsi="Times New Roman"/>
                <w:sz w:val="22"/>
              </w:rPr>
              <w:t>8</w:t>
            </w:r>
          </w:p>
        </w:tc>
        <w:tc>
          <w:tcPr>
            <w:tcW w:type="dxa" w:w="3024"/>
            <w:shd w:fill="F0F2F5" w:val="clear"/>
          </w:tcPr>
          <w:p>
            <w:pPr>
              <w:jc w:val="left"/>
            </w:pPr>
            <w:r/>
            <w:r>
              <w:rPr>
                <w:rFonts w:ascii="Times New Roman" w:hAnsi="Times New Roman"/>
                <w:sz w:val="22"/>
              </w:rPr>
              <w:t>Chuyển đổi bản vẽ 2D</w:t>
            </w:r>
          </w:p>
        </w:tc>
        <w:tc>
          <w:tcPr>
            <w:tcW w:type="dxa" w:w="3024"/>
            <w:shd w:fill="F0F2F5" w:val="clear"/>
          </w:tcPr>
          <w:p>
            <w:pPr>
              <w:jc w:val="left"/>
            </w:pPr>
            <w:r/>
            <w:r>
              <w:rPr>
                <w:rFonts w:ascii="Times New Roman" w:hAnsi="Times New Roman"/>
                <w:sz w:val="22"/>
              </w:rPr>
              <w:t>Chuyển đổi bản vẽ 2D truyền thống thành mô hình 3D</w:t>
            </w:r>
          </w:p>
        </w:tc>
      </w:tr>
      <w:tr>
        <w:tc>
          <w:tcPr>
            <w:tcW w:type="dxa" w:w="3024"/>
          </w:tcPr>
          <w:p>
            <w:pPr>
              <w:jc w:val="left"/>
            </w:pPr>
            <w:r/>
            <w:r>
              <w:rPr>
                <w:rFonts w:ascii="Times New Roman" w:hAnsi="Times New Roman"/>
                <w:sz w:val="22"/>
              </w:rPr>
              <w:t>9</w:t>
            </w:r>
          </w:p>
        </w:tc>
        <w:tc>
          <w:tcPr>
            <w:tcW w:type="dxa" w:w="3024"/>
          </w:tcPr>
          <w:p>
            <w:pPr>
              <w:jc w:val="left"/>
            </w:pPr>
            <w:r/>
            <w:r>
              <w:rPr>
                <w:rFonts w:ascii="Times New Roman" w:hAnsi="Times New Roman"/>
                <w:sz w:val="22"/>
              </w:rPr>
              <w:t>Tư vấn chuyển đổi số</w:t>
            </w:r>
          </w:p>
        </w:tc>
        <w:tc>
          <w:tcPr>
            <w:tcW w:type="dxa" w:w="3024"/>
          </w:tcPr>
          <w:p>
            <w:pPr>
              <w:jc w:val="left"/>
            </w:pPr>
            <w:r/>
            <w:r>
              <w:rPr>
                <w:rFonts w:ascii="Times New Roman" w:hAnsi="Times New Roman"/>
                <w:sz w:val="22"/>
              </w:rPr>
              <w:t>Tư vấn chiến lược BIM, đào tạo quy trình số hóa</w:t>
            </w:r>
          </w:p>
        </w:tc>
      </w:tr>
    </w:tbl>
    <w:p>
      <w:pPr>
        <w:spacing w:before="80" w:after="240"/>
        <w:jc w:val="center"/>
      </w:pPr>
      <w:r>
        <w:rPr>
          <w:rFonts w:ascii="Times New Roman" w:hAnsi="Times New Roman"/>
          <w:i/>
          <w:sz w:val="22"/>
        </w:rPr>
        <w:t>Bảng 2: Tổng hợp 9 dịch vụ của DCMvn (Nguồn: dcmvn.com, 2026)</w:t>
      </w:r>
    </w:p>
    <w:p>
      <w:pPr>
        <w:pStyle w:val="Heading2"/>
      </w:pPr>
      <w:r>
        <w:t>1.3. Cơ cấu tổ chức và nhân sự</w:t>
      </w:r>
    </w:p>
    <w:p>
      <w:pPr>
        <w:spacing w:after="120" w:line="360" w:lineRule="auto"/>
        <w:ind w:firstLine="720"/>
        <w:jc w:val="both"/>
      </w:pPr>
      <w:r>
        <w:rPr>
          <w:rFonts w:ascii="Times New Roman" w:hAnsi="Times New Roman"/>
          <w:b w:val="0"/>
          <w:sz w:val="26"/>
        </w:rPr>
        <w:t>DCMvn hiện có hơn 60 nhân sự, trong đó phần lớn thuộc thế hệ Gen Z — những người trẻ, năng động và thành thạo công nghệ. Ban lãnh đạo gồm Tổng Giám đốc (CEO, người Đức) và Giám đốc Điều hành (COO), đảm bảo sự kết nối chặt chẽ với tiêu chuẩn và văn hóa làm việc của tập đoàn mẹ.</w:t>
      </w:r>
    </w:p>
    <w:p>
      <w:pPr>
        <w:spacing w:after="120" w:line="360" w:lineRule="auto"/>
        <w:ind w:firstLine="720"/>
        <w:jc w:val="both"/>
      </w:pPr>
      <w:r>
        <w:rPr>
          <w:rFonts w:ascii="Times New Roman" w:hAnsi="Times New Roman"/>
          <w:b w:val="0"/>
          <w:sz w:val="26"/>
        </w:rPr>
        <w:t>Cơ cấu nhân sự cho thấy sự tập trung rõ rệt vào dịch vụ MEP: có 5 Trưởng nhóm MEP quản lý khoảng 45 Kỹ sư mô hình ở các cấp từ Level 1 đến Level 3. Bên cạnh đó, bộ phận Kỹ thuật số do 1 Trưởng nhóm phụ trách với khoảng 5 Điều phối viên kỹ thuật số. Các bộ phận hỗ trợ bao gồm Nhân sự, Công nghệ thông tin, Kế toán và Hành chính.</w:t>
      </w:r>
    </w:p>
    <w:p>
      <w:pPr>
        <w:spacing w:before="120" w:after="80"/>
        <w:jc w:val="center"/>
      </w:pPr>
      <w:r>
        <w:drawing>
          <wp:inline xmlns:a="http://schemas.openxmlformats.org/drawingml/2006/main" xmlns:pic="http://schemas.openxmlformats.org/drawingml/2006/picture">
            <wp:extent cx="5486400" cy="3178116"/>
            <wp:docPr id="1" name="Picture 1"/>
            <wp:cNvGraphicFramePr>
              <a:graphicFrameLocks noChangeAspect="1"/>
            </wp:cNvGraphicFramePr>
            <a:graphic>
              <a:graphicData uri="http://schemas.openxmlformats.org/drawingml/2006/picture">
                <pic:pic>
                  <pic:nvPicPr>
                    <pic:cNvPr id="0" name="_org_chart.png"/>
                    <pic:cNvPicPr/>
                  </pic:nvPicPr>
                  <pic:blipFill>
                    <a:blip r:embed="rId9"/>
                    <a:stretch>
                      <a:fillRect/>
                    </a:stretch>
                  </pic:blipFill>
                  <pic:spPr>
                    <a:xfrm>
                      <a:off x="0" y="0"/>
                      <a:ext cx="5486400" cy="3178116"/>
                    </a:xfrm>
                    <a:prstGeom prst="rect"/>
                  </pic:spPr>
                </pic:pic>
              </a:graphicData>
            </a:graphic>
          </wp:inline>
        </w:drawing>
      </w:r>
    </w:p>
    <w:p>
      <w:pPr>
        <w:spacing w:before="80" w:after="240"/>
        <w:jc w:val="center"/>
      </w:pPr>
      <w:r>
        <w:rPr>
          <w:rFonts w:ascii="Times New Roman" w:hAnsi="Times New Roman"/>
          <w:i/>
          <w:sz w:val="22"/>
        </w:rPr>
        <w:t>Hình 1: Sơ đồ tổ chức Công ty TNHH DCMvn (Nguồn: Tổng hợp từ dcmvn.com)</w:t>
      </w:r>
    </w:p>
    <w:p>
      <w:pPr>
        <w:pStyle w:val="Heading2"/>
      </w:pPr>
      <w:r>
        <w:t>1.4. Thị trường và dự án tiêu biểu</w:t>
      </w:r>
    </w:p>
    <w:p>
      <w:pPr>
        <w:spacing w:after="120" w:line="360" w:lineRule="auto"/>
        <w:ind w:firstLine="720"/>
        <w:jc w:val="both"/>
      </w:pPr>
      <w:r>
        <w:rPr>
          <w:rFonts w:ascii="Times New Roman" w:hAnsi="Times New Roman"/>
          <w:b w:val="0"/>
          <w:sz w:val="26"/>
        </w:rPr>
        <w:t>Thị trường mục tiêu chính của DCMvn là các dự án xây dựng quy mô lớn tại Trung Âu, đặc biệt là Đức, Áo và Cộng hòa Séc. Khách hàng là các chủ đầu tư, tổng thầu và đơn vị tư vấn thiết kế tại châu 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B2A3D" w:val="clear"/>
          </w:tcPr>
          <w:p>
            <w:pPr>
              <w:jc w:val="center"/>
            </w:pPr>
            <w:r/>
            <w:r>
              <w:rPr>
                <w:rFonts w:ascii="Times New Roman" w:hAnsi="Times New Roman"/>
                <w:b/>
                <w:color w:val="FFFFFF"/>
                <w:sz w:val="22"/>
              </w:rPr>
              <w:t>Dự án</w:t>
            </w:r>
          </w:p>
        </w:tc>
        <w:tc>
          <w:tcPr>
            <w:tcW w:type="dxa" w:w="2268"/>
            <w:shd w:fill="1B2A3D" w:val="clear"/>
          </w:tcPr>
          <w:p>
            <w:pPr>
              <w:jc w:val="center"/>
            </w:pPr>
            <w:r/>
            <w:r>
              <w:rPr>
                <w:rFonts w:ascii="Times New Roman" w:hAnsi="Times New Roman"/>
                <w:b/>
                <w:color w:val="FFFFFF"/>
                <w:sz w:val="22"/>
              </w:rPr>
              <w:t>Loại hình</w:t>
            </w:r>
          </w:p>
        </w:tc>
        <w:tc>
          <w:tcPr>
            <w:tcW w:type="dxa" w:w="2268"/>
            <w:shd w:fill="1B2A3D" w:val="clear"/>
          </w:tcPr>
          <w:p>
            <w:pPr>
              <w:jc w:val="center"/>
            </w:pPr>
            <w:r/>
            <w:r>
              <w:rPr>
                <w:rFonts w:ascii="Times New Roman" w:hAnsi="Times New Roman"/>
                <w:b/>
                <w:color w:val="FFFFFF"/>
                <w:sz w:val="22"/>
              </w:rPr>
              <w:t>Quốc gia</w:t>
            </w:r>
          </w:p>
        </w:tc>
        <w:tc>
          <w:tcPr>
            <w:tcW w:type="dxa" w:w="2268"/>
            <w:shd w:fill="1B2A3D" w:val="clear"/>
          </w:tcPr>
          <w:p>
            <w:pPr>
              <w:jc w:val="center"/>
            </w:pPr>
            <w:r/>
            <w:r>
              <w:rPr>
                <w:rFonts w:ascii="Times New Roman" w:hAnsi="Times New Roman"/>
                <w:b/>
                <w:color w:val="FFFFFF"/>
                <w:sz w:val="22"/>
              </w:rPr>
              <w:t>Quy mô</w:t>
            </w:r>
          </w:p>
        </w:tc>
      </w:tr>
      <w:tr>
        <w:tc>
          <w:tcPr>
            <w:tcW w:type="dxa" w:w="2268"/>
          </w:tcPr>
          <w:p>
            <w:pPr>
              <w:jc w:val="left"/>
            </w:pPr>
            <w:r/>
            <w:r>
              <w:rPr>
                <w:rFonts w:ascii="Times New Roman" w:hAnsi="Times New Roman"/>
                <w:sz w:val="22"/>
              </w:rPr>
              <w:t>Sân bay Munich T1 mở rộng</w:t>
            </w:r>
          </w:p>
        </w:tc>
        <w:tc>
          <w:tcPr>
            <w:tcW w:type="dxa" w:w="2268"/>
          </w:tcPr>
          <w:p>
            <w:pPr>
              <w:jc w:val="left"/>
            </w:pPr>
            <w:r/>
            <w:r>
              <w:rPr>
                <w:rFonts w:ascii="Times New Roman" w:hAnsi="Times New Roman"/>
                <w:sz w:val="22"/>
              </w:rPr>
              <w:t>Hàng không</w:t>
            </w:r>
          </w:p>
        </w:tc>
        <w:tc>
          <w:tcPr>
            <w:tcW w:type="dxa" w:w="2268"/>
          </w:tcPr>
          <w:p>
            <w:pPr>
              <w:jc w:val="left"/>
            </w:pPr>
            <w:r/>
            <w:r>
              <w:rPr>
                <w:rFonts w:ascii="Times New Roman" w:hAnsi="Times New Roman"/>
                <w:sz w:val="22"/>
              </w:rPr>
              <w:t>Đức</w:t>
            </w:r>
          </w:p>
        </w:tc>
        <w:tc>
          <w:tcPr>
            <w:tcW w:type="dxa" w:w="2268"/>
          </w:tcPr>
          <w:p>
            <w:pPr>
              <w:jc w:val="left"/>
            </w:pPr>
            <w:r/>
            <w:r>
              <w:rPr>
                <w:rFonts w:ascii="Times New Roman" w:hAnsi="Times New Roman"/>
                <w:sz w:val="22"/>
              </w:rPr>
              <w:t>Mở rộng nhà ga + tổ hợp trung tâm</w:t>
            </w:r>
          </w:p>
        </w:tc>
      </w:tr>
      <w:tr>
        <w:tc>
          <w:tcPr>
            <w:tcW w:type="dxa" w:w="2268"/>
            <w:shd w:fill="F0F2F5" w:val="clear"/>
          </w:tcPr>
          <w:p>
            <w:pPr>
              <w:jc w:val="left"/>
            </w:pPr>
            <w:r/>
            <w:r>
              <w:rPr>
                <w:rFonts w:ascii="Times New Roman" w:hAnsi="Times New Roman"/>
                <w:sz w:val="22"/>
              </w:rPr>
              <w:t>Konzerthaus München</w:t>
            </w:r>
          </w:p>
        </w:tc>
        <w:tc>
          <w:tcPr>
            <w:tcW w:type="dxa" w:w="2268"/>
            <w:shd w:fill="F0F2F5" w:val="clear"/>
          </w:tcPr>
          <w:p>
            <w:pPr>
              <w:jc w:val="left"/>
            </w:pPr>
            <w:r/>
            <w:r>
              <w:rPr>
                <w:rFonts w:ascii="Times New Roman" w:hAnsi="Times New Roman"/>
                <w:sz w:val="22"/>
              </w:rPr>
              <w:t>Văn hóa – Giải trí</w:t>
            </w:r>
          </w:p>
        </w:tc>
        <w:tc>
          <w:tcPr>
            <w:tcW w:type="dxa" w:w="2268"/>
            <w:shd w:fill="F0F2F5" w:val="clear"/>
          </w:tcPr>
          <w:p>
            <w:pPr>
              <w:jc w:val="left"/>
            </w:pPr>
            <w:r/>
            <w:r>
              <w:rPr>
                <w:rFonts w:ascii="Times New Roman" w:hAnsi="Times New Roman"/>
                <w:sz w:val="22"/>
              </w:rPr>
              <w:t>Đức</w:t>
            </w:r>
          </w:p>
        </w:tc>
        <w:tc>
          <w:tcPr>
            <w:tcW w:type="dxa" w:w="2268"/>
            <w:shd w:fill="F0F2F5" w:val="clear"/>
          </w:tcPr>
          <w:p>
            <w:pPr>
              <w:jc w:val="left"/>
            </w:pPr>
            <w:r/>
            <w:r>
              <w:rPr>
                <w:rFonts w:ascii="Times New Roman" w:hAnsi="Times New Roman"/>
                <w:sz w:val="22"/>
              </w:rPr>
              <w:t>Nhà hòa nhạc tại Werksviertel</w:t>
            </w:r>
          </w:p>
        </w:tc>
      </w:tr>
      <w:tr>
        <w:tc>
          <w:tcPr>
            <w:tcW w:type="dxa" w:w="2268"/>
          </w:tcPr>
          <w:p>
            <w:pPr>
              <w:jc w:val="left"/>
            </w:pPr>
            <w:r/>
            <w:r>
              <w:rPr>
                <w:rFonts w:ascii="Times New Roman" w:hAnsi="Times New Roman"/>
                <w:sz w:val="22"/>
              </w:rPr>
              <w:t>Überseequartier</w:t>
            </w:r>
          </w:p>
        </w:tc>
        <w:tc>
          <w:tcPr>
            <w:tcW w:type="dxa" w:w="2268"/>
          </w:tcPr>
          <w:p>
            <w:pPr>
              <w:jc w:val="left"/>
            </w:pPr>
            <w:r/>
            <w:r>
              <w:rPr>
                <w:rFonts w:ascii="Times New Roman" w:hAnsi="Times New Roman"/>
                <w:sz w:val="22"/>
              </w:rPr>
              <w:t>Phức hợp</w:t>
            </w:r>
          </w:p>
        </w:tc>
        <w:tc>
          <w:tcPr>
            <w:tcW w:type="dxa" w:w="2268"/>
          </w:tcPr>
          <w:p>
            <w:pPr>
              <w:jc w:val="left"/>
            </w:pPr>
            <w:r/>
            <w:r>
              <w:rPr>
                <w:rFonts w:ascii="Times New Roman" w:hAnsi="Times New Roman"/>
                <w:sz w:val="22"/>
              </w:rPr>
              <w:t>Đức</w:t>
            </w:r>
          </w:p>
        </w:tc>
        <w:tc>
          <w:tcPr>
            <w:tcW w:type="dxa" w:w="2268"/>
          </w:tcPr>
          <w:p>
            <w:pPr>
              <w:jc w:val="left"/>
            </w:pPr>
            <w:r/>
            <w:r>
              <w:rPr>
                <w:rFonts w:ascii="Times New Roman" w:hAnsi="Times New Roman"/>
                <w:sz w:val="22"/>
              </w:rPr>
              <w:t>14 tòa nhà, 3 tầng hầm liên thông</w:t>
            </w:r>
          </w:p>
        </w:tc>
      </w:tr>
      <w:tr>
        <w:tc>
          <w:tcPr>
            <w:tcW w:type="dxa" w:w="2268"/>
            <w:shd w:fill="F0F2F5" w:val="clear"/>
          </w:tcPr>
          <w:p>
            <w:pPr>
              <w:jc w:val="left"/>
            </w:pPr>
            <w:r/>
            <w:r>
              <w:rPr>
                <w:rFonts w:ascii="Times New Roman" w:hAnsi="Times New Roman"/>
                <w:sz w:val="22"/>
              </w:rPr>
              <w:t>Trung tâm BMW Mobility</w:t>
            </w:r>
          </w:p>
        </w:tc>
        <w:tc>
          <w:tcPr>
            <w:tcW w:type="dxa" w:w="2268"/>
            <w:shd w:fill="F0F2F5" w:val="clear"/>
          </w:tcPr>
          <w:p>
            <w:pPr>
              <w:jc w:val="left"/>
            </w:pPr>
            <w:r/>
            <w:r>
              <w:rPr>
                <w:rFonts w:ascii="Times New Roman" w:hAnsi="Times New Roman"/>
                <w:sz w:val="22"/>
              </w:rPr>
              <w:t>Công nghiệp</w:t>
            </w:r>
          </w:p>
        </w:tc>
        <w:tc>
          <w:tcPr>
            <w:tcW w:type="dxa" w:w="2268"/>
            <w:shd w:fill="F0F2F5" w:val="clear"/>
          </w:tcPr>
          <w:p>
            <w:pPr>
              <w:jc w:val="left"/>
            </w:pPr>
            <w:r/>
            <w:r>
              <w:rPr>
                <w:rFonts w:ascii="Times New Roman" w:hAnsi="Times New Roman"/>
                <w:sz w:val="22"/>
              </w:rPr>
              <w:t>Cộng hòa Séc</w:t>
            </w:r>
          </w:p>
        </w:tc>
        <w:tc>
          <w:tcPr>
            <w:tcW w:type="dxa" w:w="2268"/>
            <w:shd w:fill="F0F2F5" w:val="clear"/>
          </w:tcPr>
          <w:p>
            <w:pPr>
              <w:jc w:val="left"/>
            </w:pPr>
            <w:r/>
            <w:r>
              <w:rPr>
                <w:rFonts w:ascii="Times New Roman" w:hAnsi="Times New Roman"/>
                <w:sz w:val="22"/>
              </w:rPr>
              <w:t>Trung tâm R&amp;D tại Sokolov</w:t>
            </w:r>
          </w:p>
        </w:tc>
      </w:tr>
      <w:tr>
        <w:tc>
          <w:tcPr>
            <w:tcW w:type="dxa" w:w="2268"/>
          </w:tcPr>
          <w:p>
            <w:pPr>
              <w:jc w:val="left"/>
            </w:pPr>
            <w:r/>
            <w:r>
              <w:rPr>
                <w:rFonts w:ascii="Times New Roman" w:hAnsi="Times New Roman"/>
                <w:sz w:val="22"/>
              </w:rPr>
              <w:t>ZAM München</w:t>
            </w:r>
          </w:p>
        </w:tc>
        <w:tc>
          <w:tcPr>
            <w:tcW w:type="dxa" w:w="2268"/>
          </w:tcPr>
          <w:p>
            <w:pPr>
              <w:jc w:val="left"/>
            </w:pPr>
            <w:r/>
            <w:r>
              <w:rPr>
                <w:rFonts w:ascii="Times New Roman" w:hAnsi="Times New Roman"/>
                <w:sz w:val="22"/>
              </w:rPr>
              <w:t>Dân cư – Thương mại</w:t>
            </w:r>
          </w:p>
        </w:tc>
        <w:tc>
          <w:tcPr>
            <w:tcW w:type="dxa" w:w="2268"/>
          </w:tcPr>
          <w:p>
            <w:pPr>
              <w:jc w:val="left"/>
            </w:pPr>
            <w:r/>
            <w:r>
              <w:rPr>
                <w:rFonts w:ascii="Times New Roman" w:hAnsi="Times New Roman"/>
                <w:sz w:val="22"/>
              </w:rPr>
              <w:t>Đức</w:t>
            </w:r>
          </w:p>
        </w:tc>
        <w:tc>
          <w:tcPr>
            <w:tcW w:type="dxa" w:w="2268"/>
          </w:tcPr>
          <w:p>
            <w:pPr>
              <w:jc w:val="left"/>
            </w:pPr>
            <w:r/>
            <w:r>
              <w:rPr>
                <w:rFonts w:ascii="Times New Roman" w:hAnsi="Times New Roman"/>
                <w:sz w:val="22"/>
              </w:rPr>
              <w:t>&gt;100.000 m² tại Freiham</w:t>
            </w:r>
          </w:p>
        </w:tc>
      </w:tr>
      <w:tr>
        <w:tc>
          <w:tcPr>
            <w:tcW w:type="dxa" w:w="2268"/>
            <w:shd w:fill="F0F2F5" w:val="clear"/>
          </w:tcPr>
          <w:p>
            <w:pPr>
              <w:jc w:val="left"/>
            </w:pPr>
            <w:r/>
            <w:r>
              <w:rPr>
                <w:rFonts w:ascii="Times New Roman" w:hAnsi="Times New Roman"/>
                <w:sz w:val="22"/>
              </w:rPr>
              <w:t>MedUni Campus Mariannengasse</w:t>
            </w:r>
          </w:p>
        </w:tc>
        <w:tc>
          <w:tcPr>
            <w:tcW w:type="dxa" w:w="2268"/>
            <w:shd w:fill="F0F2F5" w:val="clear"/>
          </w:tcPr>
          <w:p>
            <w:pPr>
              <w:jc w:val="left"/>
            </w:pPr>
            <w:r/>
            <w:r>
              <w:rPr>
                <w:rFonts w:ascii="Times New Roman" w:hAnsi="Times New Roman"/>
                <w:sz w:val="22"/>
              </w:rPr>
              <w:t>Giáo dục – Y tế</w:t>
            </w:r>
          </w:p>
        </w:tc>
        <w:tc>
          <w:tcPr>
            <w:tcW w:type="dxa" w:w="2268"/>
            <w:shd w:fill="F0F2F5" w:val="clear"/>
          </w:tcPr>
          <w:p>
            <w:pPr>
              <w:jc w:val="left"/>
            </w:pPr>
            <w:r/>
            <w:r>
              <w:rPr>
                <w:rFonts w:ascii="Times New Roman" w:hAnsi="Times New Roman"/>
                <w:sz w:val="22"/>
              </w:rPr>
              <w:t>Áo</w:t>
            </w:r>
          </w:p>
        </w:tc>
        <w:tc>
          <w:tcPr>
            <w:tcW w:type="dxa" w:w="2268"/>
            <w:shd w:fill="F0F2F5" w:val="clear"/>
          </w:tcPr>
          <w:p>
            <w:pPr>
              <w:jc w:val="left"/>
            </w:pPr>
            <w:r/>
            <w:r>
              <w:rPr>
                <w:rFonts w:ascii="Times New Roman" w:hAnsi="Times New Roman"/>
                <w:sz w:val="22"/>
              </w:rPr>
              <w:t>Cải tạo &amp; mở rộng khuôn viên</w:t>
            </w:r>
          </w:p>
        </w:tc>
      </w:tr>
    </w:tbl>
    <w:p>
      <w:pPr>
        <w:spacing w:before="80" w:after="240"/>
        <w:jc w:val="center"/>
      </w:pPr>
      <w:r>
        <w:rPr>
          <w:rFonts w:ascii="Times New Roman" w:hAnsi="Times New Roman"/>
          <w:i/>
          <w:sz w:val="22"/>
        </w:rPr>
        <w:t>Bảng 3: Dự án tiêu biểu của DCMvn (Nguồn: dcmvn.com/projects, 2026)</w:t>
      </w:r>
    </w:p>
    <w:p>
      <w:pPr>
        <w:pStyle w:val="Heading2"/>
      </w:pPr>
      <w:r>
        <w:t>1.5. Vị thế cạnh tranh và định hướng phát triển</w:t>
      </w:r>
    </w:p>
    <w:p>
      <w:pPr>
        <w:spacing w:after="120" w:line="360" w:lineRule="auto"/>
        <w:ind w:firstLine="720"/>
        <w:jc w:val="both"/>
      </w:pPr>
      <w:r>
        <w:rPr>
          <w:rFonts w:ascii="Times New Roman" w:hAnsi="Times New Roman"/>
          <w:b w:val="0"/>
          <w:sz w:val="26"/>
        </w:rPr>
        <w:t>Theo khung phân tích lợi thế cạnh tranh của Porter (1985), lợi thế cốt lõi của DCMvn nằm ở ba yếu tố: (1) Chất lượng đạt chuẩn quốc tế nhờ quy trình và template từ tập đoàn mẹ tại Đức — tạo rào cản gia nhập cho đối thủ mới; (2) Chi phí cạnh tranh nhờ nguồn nhân lực chất lượng tại Việt Nam — chiến lược chi phí thấp (cost leadership) trong phân khúc outsource; và (3) Năng lực phối hợp đa ngành — DCMvn có thể xử lý đồng thời đến 7 ngành kỹ thuật trong cùng một dự án, tạo sự khác biệt hóa (differentiation) so với đối thủ (DCMvn, 2026).</w:t>
      </w:r>
    </w:p>
    <w:p>
      <w:pPr>
        <w:spacing w:after="120" w:line="360" w:lineRule="auto"/>
        <w:ind w:firstLine="720"/>
        <w:jc w:val="both"/>
      </w:pPr>
      <w:r>
        <w:rPr>
          <w:rFonts w:ascii="Times New Roman" w:hAnsi="Times New Roman"/>
          <w:b w:val="0"/>
          <w:sz w:val="26"/>
        </w:rPr>
        <w:t>Định hướng phát triển bao gồm mở rộng sang dịch vụ BIM kiến trúc, phát triển mảng Scan to BIM và tư vấn chuyển đổi số — đáp ứng xu hướng chuyển đổi số trong ngành xây dựng toàn cầu và tại Việt Nam.</w:t>
      </w:r>
    </w:p>
    <w:p>
      <w:r>
        <w:br w:type="page"/>
      </w:r>
    </w:p>
    <w:p>
      <w:pPr>
        <w:pStyle w:val="Heading1"/>
      </w:pPr>
      <w:r>
        <w:t>PHẦN II. CƠ SỞ LÝ THUYẾT VỀ MA TRẬN BCG</w:t>
      </w:r>
    </w:p>
    <w:p>
      <w:pPr>
        <w:pStyle w:val="Heading2"/>
      </w:pPr>
      <w:r>
        <w:t>2.1. Lịch sử và nguồn gốc ma trận BCG</w:t>
      </w:r>
    </w:p>
    <w:p>
      <w:pPr>
        <w:spacing w:after="120" w:line="360" w:lineRule="auto"/>
        <w:ind w:firstLine="720"/>
        <w:jc w:val="both"/>
      </w:pPr>
      <w:r>
        <w:rPr>
          <w:rFonts w:ascii="Times New Roman" w:hAnsi="Times New Roman"/>
          <w:b w:val="0"/>
          <w:sz w:val="26"/>
        </w:rPr>
        <w:t>Ma trận BCG được phát triển bởi Bruce D. Henderson — nhà sáng lập Boston Consulting Group — vào năm 1970. Công cụ này ban đầu được thiết kế để giúp các tập đoàn đa ngành phân bổ nguồn lực tài chính giữa các đơn vị kinh doanh một cách tối ưu. Ý tưởng cốt lõi: không phải mọi đơn vị kinh doanh đều cần cùng một chiến lược — mỗi đơn vị có vị trí khác nhau trên thị trường và cần được đối xử khác nhau về mặt đầu tư (Henderson, 1970).</w:t>
      </w:r>
    </w:p>
    <w:p>
      <w:pPr>
        <w:spacing w:after="120" w:line="360" w:lineRule="auto"/>
        <w:ind w:firstLine="720"/>
        <w:jc w:val="both"/>
      </w:pPr>
      <w:r>
        <w:rPr>
          <w:rFonts w:ascii="Times New Roman" w:hAnsi="Times New Roman"/>
          <w:b w:val="0"/>
          <w:sz w:val="26"/>
        </w:rPr>
        <w:t>Ma trận BCG còn được biết với nhiều tên gọi: Growth-Share Matrix, Boston Matrix, hay Product Portfolio Matrix. Đây là một trong những công cụ phân tích chiến lược được sử dụng rộng rãi nhất, bên cạnh SWOT và mô hình Five Forces của Porter (Kotler &amp; Keller, 2016).</w:t>
      </w:r>
    </w:p>
    <w:p>
      <w:pPr>
        <w:pStyle w:val="Heading2"/>
      </w:pPr>
      <w:r>
        <w:t>2.2. Hai trục phân tích</w:t>
      </w:r>
    </w:p>
    <w:p>
      <w:pPr>
        <w:pStyle w:val="Heading3"/>
      </w:pPr>
      <w:r>
        <w:t>2.2.1. Tốc độ tăng trưởng thị trường</w:t>
      </w:r>
    </w:p>
    <w:p>
      <w:pPr>
        <w:spacing w:after="120" w:line="360" w:lineRule="auto"/>
        <w:ind w:firstLine="720"/>
        <w:jc w:val="both"/>
      </w:pPr>
      <w:r>
        <w:rPr>
          <w:rFonts w:ascii="Times New Roman" w:hAnsi="Times New Roman"/>
          <w:b w:val="0"/>
          <w:sz w:val="26"/>
        </w:rPr>
        <w:t>Trục tung thể hiện tốc độ tăng trưởng của thị trường mà SBU đang hoạt động. Mốc phân chia thường là 10%. Tăng trưởng cao phản ánh mức độ hấp dẫn của ngành và nhu cầu đầu tư để duy trì/gia tăng vị thế cạnh tranh.</w:t>
      </w:r>
    </w:p>
    <w:p>
      <w:pPr>
        <w:pStyle w:val="Heading3"/>
      </w:pPr>
      <w:r>
        <w:t>2.2.2. Thị phần tương đối</w:t>
      </w:r>
    </w:p>
    <w:p>
      <w:pPr>
        <w:spacing w:after="120" w:line="360" w:lineRule="auto"/>
        <w:ind w:firstLine="720"/>
        <w:jc w:val="both"/>
      </w:pPr>
      <w:r>
        <w:rPr>
          <w:rFonts w:ascii="Times New Roman" w:hAnsi="Times New Roman"/>
          <w:b w:val="0"/>
          <w:sz w:val="26"/>
        </w:rPr>
        <w:t>Trục hoành thể hiện thị phần tương đối — tỷ lệ giữa thị phần của SBU so với đối thủ cạnh tranh lớn nhất. Mốc phân chia thường là 1.0. Thị phần cao gắn liền với lợi thế về quy mô, hiệu ứng kinh nghiệm và khả năng tạo dòng tiền mạnh (Stern &amp; Stalk, 1998).</w:t>
      </w:r>
    </w:p>
    <w:p>
      <w:pPr>
        <w:pStyle w:val="Heading2"/>
      </w:pPr>
      <w:r>
        <w:t>2.3. Bốn ô chiến lược</w:t>
      </w:r>
    </w:p>
    <w:p>
      <w:pPr>
        <w:spacing w:after="120" w:line="360" w:lineRule="auto"/>
        <w:ind w:firstLine="720"/>
        <w:jc w:val="both"/>
      </w:pPr>
      <w:r>
        <w:rPr>
          <w:rFonts w:ascii="Times New Roman" w:hAnsi="Times New Roman"/>
          <w:b w:val="0"/>
          <w:sz w:val="26"/>
        </w:rPr>
        <w:t>Ngôi sao (Star): SBU có thị phần cao trong thị trường tăng trưởng nhanh — dẫn đầu thị trường nhưng cần đầu tư lớn để duy trì tốc độ. Khi thị trường chín muồi, Star có xu hướng chuyển thành Cash Cow (Henderson, 1970).</w:t>
      </w:r>
    </w:p>
    <w:p>
      <w:pPr>
        <w:spacing w:after="120" w:line="360" w:lineRule="auto"/>
        <w:ind w:firstLine="720"/>
        <w:jc w:val="both"/>
      </w:pPr>
      <w:r>
        <w:rPr>
          <w:rFonts w:ascii="Times New Roman" w:hAnsi="Times New Roman"/>
          <w:b w:val="0"/>
          <w:sz w:val="26"/>
        </w:rPr>
        <w:t>Bò sữa (Cash Cow): SBU có thị phần cao trong thị trường bão hòa — nguồn tạo dòng tiền chính, cần ít đầu tư mở rộng nhưng vẫn thu lợi nhuận cao nhờ hiệu ứng đường kinh nghiệm (experience curve) và lợi thế quy mô (Stern &amp; Stalk, 1998).</w:t>
      </w:r>
    </w:p>
    <w:p>
      <w:pPr>
        <w:spacing w:after="120" w:line="360" w:lineRule="auto"/>
        <w:ind w:firstLine="720"/>
        <w:jc w:val="both"/>
      </w:pPr>
      <w:r>
        <w:rPr>
          <w:rFonts w:ascii="Times New Roman" w:hAnsi="Times New Roman"/>
          <w:b w:val="0"/>
          <w:sz w:val="26"/>
        </w:rPr>
        <w:t>Dấu hỏi (Question Mark): SBU có thị phần thấp trong thị trường tăng trưởng nhanh — tiềm năng nhưng chưa rõ tương lai, cần quyết định đầu tư mạnh hoặc rút lui (Kotler &amp; Keller, 2016).</w:t>
      </w:r>
    </w:p>
    <w:p>
      <w:pPr>
        <w:spacing w:after="120" w:line="360" w:lineRule="auto"/>
        <w:ind w:firstLine="720"/>
        <w:jc w:val="both"/>
      </w:pPr>
      <w:r>
        <w:rPr>
          <w:rFonts w:ascii="Times New Roman" w:hAnsi="Times New Roman"/>
          <w:b w:val="0"/>
          <w:sz w:val="26"/>
        </w:rPr>
        <w:t>Con chó (Dog): SBU có thị phần thấp trong thị trường tăng trưởng chậm — không tạo nhiều giá trị, chiến lược phổ biến là thu hoạch hoặc loại bỏ (Henderson, 1970).</w:t>
      </w:r>
    </w:p>
    <w:p>
      <w:pPr>
        <w:spacing w:before="120" w:after="80"/>
        <w:jc w:val="center"/>
      </w:pPr>
      <w:r>
        <w:drawing>
          <wp:inline xmlns:a="http://schemas.openxmlformats.org/drawingml/2006/main" xmlns:pic="http://schemas.openxmlformats.org/drawingml/2006/picture">
            <wp:extent cx="4572000" cy="3999295"/>
            <wp:docPr id="2" name="Picture 2"/>
            <wp:cNvGraphicFramePr>
              <a:graphicFrameLocks noChangeAspect="1"/>
            </wp:cNvGraphicFramePr>
            <a:graphic>
              <a:graphicData uri="http://schemas.openxmlformats.org/drawingml/2006/picture">
                <pic:pic>
                  <pic:nvPicPr>
                    <pic:cNvPr id="0" name="_bcg_theory.png"/>
                    <pic:cNvPicPr/>
                  </pic:nvPicPr>
                  <pic:blipFill>
                    <a:blip r:embed="rId10"/>
                    <a:stretch>
                      <a:fillRect/>
                    </a:stretch>
                  </pic:blipFill>
                  <pic:spPr>
                    <a:xfrm>
                      <a:off x="0" y="0"/>
                      <a:ext cx="4572000" cy="3999295"/>
                    </a:xfrm>
                    <a:prstGeom prst="rect"/>
                  </pic:spPr>
                </pic:pic>
              </a:graphicData>
            </a:graphic>
          </wp:inline>
        </w:drawing>
      </w:r>
    </w:p>
    <w:p>
      <w:pPr>
        <w:spacing w:before="80" w:after="240"/>
        <w:jc w:val="center"/>
      </w:pPr>
      <w:r>
        <w:rPr>
          <w:rFonts w:ascii="Times New Roman" w:hAnsi="Times New Roman"/>
          <w:i/>
          <w:sz w:val="22"/>
        </w:rPr>
        <w:t>Hình 2: Ma trận BCG — Mô hình lý thuyết (Nguồn: Tổng hợp từ Henderson, 1970)</w:t>
      </w:r>
    </w:p>
    <w:p>
      <w:pPr>
        <w:pStyle w:val="Heading2"/>
      </w:pPr>
      <w:r>
        <w:t>2.4. Chiến lược tương ứng từng ô</w:t>
      </w:r>
    </w:p>
    <w:p>
      <w:pPr>
        <w:spacing w:after="120" w:line="360" w:lineRule="auto"/>
        <w:ind w:firstLine="720"/>
        <w:jc w:val="both"/>
      </w:pPr>
      <w:r>
        <w:rPr>
          <w:rFonts w:ascii="Times New Roman" w:hAnsi="Times New Roman"/>
          <w:b w:val="0"/>
          <w:sz w:val="26"/>
        </w:rPr>
        <w:t>Đầu tư (Build): Cho Question Mark tiềm năng — tăng nguồn lực để chiếm thị phần, hướng tới chuyển thành Star (David, 2017).</w:t>
      </w:r>
    </w:p>
    <w:p>
      <w:pPr>
        <w:spacing w:after="120" w:line="360" w:lineRule="auto"/>
        <w:ind w:firstLine="720"/>
        <w:jc w:val="both"/>
      </w:pPr>
      <w:r>
        <w:rPr>
          <w:rFonts w:ascii="Times New Roman" w:hAnsi="Times New Roman"/>
          <w:b w:val="0"/>
          <w:sz w:val="26"/>
        </w:rPr>
        <w:t>Duy trì (Hold): Cho Cash Cow và Star mạnh — giữ thị phần, tối ưu hiệu suất, duy trì dòng tiền (Kotler &amp; Keller, 2016).</w:t>
      </w:r>
    </w:p>
    <w:p>
      <w:pPr>
        <w:spacing w:after="120" w:line="360" w:lineRule="auto"/>
        <w:ind w:firstLine="720"/>
        <w:jc w:val="both"/>
      </w:pPr>
      <w:r>
        <w:rPr>
          <w:rFonts w:ascii="Times New Roman" w:hAnsi="Times New Roman"/>
          <w:b w:val="0"/>
          <w:sz w:val="26"/>
        </w:rPr>
        <w:t>Thu hoạch (Harvest): Cho Cash Cow suy yếu hoặc Dog còn tạo dòng tiền — giảm đầu tư, tối đa lợi nhuận ngắn hạn (David, 2017).</w:t>
      </w:r>
    </w:p>
    <w:p>
      <w:pPr>
        <w:spacing w:after="120" w:line="360" w:lineRule="auto"/>
        <w:ind w:firstLine="720"/>
        <w:jc w:val="both"/>
      </w:pPr>
      <w:r>
        <w:rPr>
          <w:rFonts w:ascii="Times New Roman" w:hAnsi="Times New Roman"/>
          <w:b w:val="0"/>
          <w:sz w:val="26"/>
        </w:rPr>
        <w:t>Loại bỏ (Divest): Cho Dog không triển vọng — bán, đóng cửa hoặc chuyển đổi để giải phóng nguồn lực (Wheelen &amp; Hunger, 2012).</w:t>
      </w:r>
    </w:p>
    <w:p>
      <w:pPr>
        <w:pStyle w:val="Heading2"/>
      </w:pPr>
      <w:r>
        <w:t>2.5. Chu kỳ sống sản phẩm và mối liên hệ với BCG</w:t>
      </w:r>
    </w:p>
    <w:p>
      <w:pPr>
        <w:spacing w:after="120" w:line="360" w:lineRule="auto"/>
        <w:ind w:firstLine="720"/>
        <w:jc w:val="both"/>
      </w:pPr>
      <w:r>
        <w:rPr>
          <w:rFonts w:ascii="Times New Roman" w:hAnsi="Times New Roman"/>
          <w:b w:val="0"/>
          <w:sz w:val="26"/>
        </w:rPr>
        <w:t>Chu kỳ sống sản phẩm (Product Life Cycle — PLC) gồm bốn giai đoạn: Giới thiệu, Tăng trưởng, Trưởng thành và Suy thoái. Mối liên hệ: giai đoạn Giới thiệu thường là Question Mark; Tăng trưởng là Star; Trưởng thành là Cash Cow; và Suy thoái là Dog. Hiểu vị trí trên PLC giúp dự đoán hướng di chuyển của SBU trên ma trận BCG (Levitt, 1965).</w:t>
      </w:r>
    </w:p>
    <w:p>
      <w:pPr>
        <w:spacing w:before="120" w:after="80"/>
        <w:jc w:val="center"/>
      </w:pPr>
      <w:r>
        <w:drawing>
          <wp:inline xmlns:a="http://schemas.openxmlformats.org/drawingml/2006/main" xmlns:pic="http://schemas.openxmlformats.org/drawingml/2006/picture">
            <wp:extent cx="5029200" cy="3054048"/>
            <wp:docPr id="3" name="Picture 3"/>
            <wp:cNvGraphicFramePr>
              <a:graphicFrameLocks noChangeAspect="1"/>
            </wp:cNvGraphicFramePr>
            <a:graphic>
              <a:graphicData uri="http://schemas.openxmlformats.org/drawingml/2006/picture">
                <pic:pic>
                  <pic:nvPicPr>
                    <pic:cNvPr id="0" name="_lifecycle.png"/>
                    <pic:cNvPicPr/>
                  </pic:nvPicPr>
                  <pic:blipFill>
                    <a:blip r:embed="rId11"/>
                    <a:stretch>
                      <a:fillRect/>
                    </a:stretch>
                  </pic:blipFill>
                  <pic:spPr>
                    <a:xfrm>
                      <a:off x="0" y="0"/>
                      <a:ext cx="5029200" cy="3054048"/>
                    </a:xfrm>
                    <a:prstGeom prst="rect"/>
                  </pic:spPr>
                </pic:pic>
              </a:graphicData>
            </a:graphic>
          </wp:inline>
        </w:drawing>
      </w:r>
    </w:p>
    <w:p>
      <w:pPr>
        <w:spacing w:before="80" w:after="240"/>
        <w:jc w:val="center"/>
      </w:pPr>
      <w:r>
        <w:rPr>
          <w:rFonts w:ascii="Times New Roman" w:hAnsi="Times New Roman"/>
          <w:i/>
          <w:sz w:val="22"/>
        </w:rPr>
        <w:t>Hình 3: Chu kỳ sống sản phẩm và vị trí các SBU của DCMvn</w:t>
      </w:r>
    </w:p>
    <w:p>
      <w:pPr>
        <w:pStyle w:val="Heading2"/>
      </w:pPr>
      <w:r>
        <w:t>2.6. Ưu điểm và hạn chế của ma trận BCG</w:t>
      </w:r>
    </w:p>
    <w:p>
      <w:pPr>
        <w:spacing w:after="120" w:line="360" w:lineRule="auto"/>
        <w:ind w:firstLine="720"/>
        <w:jc w:val="both"/>
      </w:pPr>
      <w:r>
        <w:rPr>
          <w:rFonts w:ascii="Times New Roman" w:hAnsi="Times New Roman"/>
          <w:b w:val="0"/>
          <w:sz w:val="26"/>
        </w:rPr>
        <w:t>Ưu điểm: Trực quan, dễ hiểu; hỗ trợ ra quyết định phân bổ nguồn lực; khuyến khích tư duy danh mục thay vì xem xét từng đơn vị riêng lẻ; dễ truyền đạt cho các cấp quản lý.</w:t>
      </w:r>
    </w:p>
    <w:p>
      <w:pPr>
        <w:spacing w:after="120" w:line="360" w:lineRule="auto"/>
        <w:ind w:firstLine="720"/>
        <w:jc w:val="both"/>
      </w:pPr>
      <w:r>
        <w:rPr>
          <w:rFonts w:ascii="Times New Roman" w:hAnsi="Times New Roman"/>
          <w:b w:val="0"/>
          <w:sz w:val="26"/>
        </w:rPr>
        <w:t>Hạn chế: Chỉ dùng hai biến số, bỏ qua nhiều yếu tố khác; giả định thị phần cao luôn dẫn đến lợi nhuận cao; khó xác định ranh giới "cao/thấp"; không phản ánh sức mạnh tổng hợp giữa các SBU (Wheelen &amp; Hunger, 2012).</w:t>
      </w:r>
    </w:p>
    <w:p>
      <w:r>
        <w:br w:type="page"/>
      </w:r>
    </w:p>
    <w:p>
      <w:pPr>
        <w:pStyle w:val="Heading1"/>
      </w:pPr>
      <w:r>
        <w:t>PHẦN III. PHÂN TÍCH CÁC ĐƠN VỊ KINH DOANH CHIẾN LƯỢC CỦA DCMvn</w:t>
      </w:r>
    </w:p>
    <w:p>
      <w:pPr>
        <w:pStyle w:val="Heading2"/>
      </w:pPr>
      <w:r>
        <w:t>3.1. Tiêu chí xác định đơn vị kinh doanh chiến lược (SBU)</w:t>
      </w:r>
    </w:p>
    <w:p>
      <w:pPr>
        <w:spacing w:after="120" w:line="360" w:lineRule="auto"/>
        <w:ind w:firstLine="720"/>
        <w:jc w:val="both"/>
      </w:pPr>
      <w:r>
        <w:rPr>
          <w:rFonts w:ascii="Times New Roman" w:hAnsi="Times New Roman"/>
          <w:b w:val="0"/>
          <w:sz w:val="26"/>
        </w:rPr>
        <w:t>Theo Wheelen &amp; Hunger (2012, tr. 198), một SBU là đơn vị kinh doanh có ba đặc trưng: (i) sứ mệnh riêng biệt, (ii) đối thủ cạnh tranh xác định được, và (iii) có thể hoạch định chiến lược độc lập mà không ảnh hưởng đến các SBU khác. Tuy nhiên, việc áp dụng tiêu chí này cho một doanh nghiệp dịch vụ BIM quy mô vừa (60+ nhân sự) cần được điều chỉnh phù hợp. Bài tiểu luận sử dụng bốn tiêu chí để nhóm 9 dịch vụ của DCMvn thành các SBU:</w:t>
      </w:r>
    </w:p>
    <w:p>
      <w:pPr>
        <w:spacing w:after="120" w:line="360" w:lineRule="auto"/>
        <w:ind w:firstLine="720"/>
        <w:jc w:val="both"/>
      </w:pPr>
      <w:r>
        <w:rPr>
          <w:rFonts w:ascii="Times New Roman" w:hAnsi="Times New Roman"/>
          <w:b w:val="0"/>
          <w:sz w:val="26"/>
        </w:rPr>
        <w:t>Tiêu chí 1 — Năng lực cốt lõi (Core Competency): Mỗi SBU phải đòi hỏi tập kỹ năng và quy trình kỹ thuật khác biệt. Ví dụ: mô hình MEP yêu cầu kiến thức hệ thống cơ điện, trong khi Scan to BIM đòi hỏi năng lực xử lý point cloud và thiết bị LiDAR — hai tập kỹ năng không thể hoán đổi trực tiếp.</w:t>
      </w:r>
    </w:p>
    <w:p>
      <w:pPr>
        <w:spacing w:after="120" w:line="360" w:lineRule="auto"/>
        <w:ind w:firstLine="720"/>
        <w:jc w:val="both"/>
      </w:pPr>
      <w:r>
        <w:rPr>
          <w:rFonts w:ascii="Times New Roman" w:hAnsi="Times New Roman"/>
          <w:b w:val="0"/>
          <w:sz w:val="26"/>
        </w:rPr>
        <w:t>Tiêu chí 2 — Phân khúc khách hàng và thị trường: Các dịch vụ phục vụ cùng phân khúc nhu cầu được nhóm chung. Mô hình HVAC 3D và tài liệu kỹ thuật MEP cùng phục vụ nhu cầu "xây dựng mới — hệ thống kỹ thuật"; trong khi Scan to BIM phục vụ nhu cầu "cải tạo — số hóa công trình hiện hữu".</w:t>
      </w:r>
    </w:p>
    <w:p>
      <w:pPr>
        <w:spacing w:after="120" w:line="360" w:lineRule="auto"/>
        <w:ind w:firstLine="720"/>
        <w:jc w:val="both"/>
      </w:pPr>
      <w:r>
        <w:rPr>
          <w:rFonts w:ascii="Times New Roman" w:hAnsi="Times New Roman"/>
          <w:b w:val="0"/>
          <w:sz w:val="26"/>
        </w:rPr>
        <w:t>Tiêu chí 3 — Dòng doanh thu và cơ cấu chi phí: Các dịch vụ chia sẻ cùng mô hình định giá và cấu trúc chi phí được xem xét nhóm chung. Quản lý xung đột và Phối hợp đa ngành đều tính phí theo giờ chuyên gia (man-hour) với biên lợi nhuận cao hơn so với mô hình tính theo m² của MEP.</w:t>
      </w:r>
    </w:p>
    <w:p>
      <w:pPr>
        <w:spacing w:after="120" w:line="360" w:lineRule="auto"/>
        <w:ind w:firstLine="720"/>
        <w:jc w:val="both"/>
      </w:pPr>
      <w:r>
        <w:rPr>
          <w:rFonts w:ascii="Times New Roman" w:hAnsi="Times New Roman"/>
          <w:b w:val="0"/>
          <w:sz w:val="26"/>
        </w:rPr>
        <w:t>Tiêu chí 4 — Chu kỳ sống và động thái cạnh tranh: Các dịch vụ ở cùng giai đoạn phát triển, đối mặt với cùng nhóm đối thủ và xu hướng thị trường tương đồng được nhóm chung. Chuyển đổi 2D, BOQ và Tạo nội dung đều đang ở giai đoạn suy thoái do bị thay thế bởi công nghệ tự động hóa.</w:t>
      </w:r>
    </w:p>
    <w:p>
      <w:pPr>
        <w:spacing w:after="120" w:line="360" w:lineRule="auto"/>
        <w:ind w:firstLine="720"/>
        <w:jc w:val="both"/>
      </w:pPr>
      <w:r>
        <w:rPr>
          <w:rFonts w:ascii="Times New Roman" w:hAnsi="Times New Roman"/>
          <w:b w:val="0"/>
          <w:sz w:val="26"/>
        </w:rPr>
        <w:t>Dựa trên bốn tiêu chí trên, 9 dịch vụ được nhóm thành 5 SBU (Bảng 4). Mỗi SBU đáp ứng ít nhất 3 trong 4 tiêu chí đồng nhất. Đáng chú ý, SBU 4 gộp Scan to BIM và Tư vấn Chuyển đổi số vì: (a) cả hai do cùng một đội — Bộ phận Kỹ thuật số (~5 người) — vận hành; (b) phục vụ cùng phân khúc "số hóa công trình hiện hữu"; (c) Scan to BIM thường là bước đầu trong lộ trình chuyển đổi số mà DCMvn tư vấn — khách hàng mua Scan to BIM gần như luôn cần tư vấn triển khai tiếp theo; và (d) cả hai đang ở giai đoạn Giới thiệu với cùng nhóm đối thủ. Nếu sau 18 tháng đội Kỹ thuật số tăng trên 15 người, việc tách SBU 4 thành hai đơn vị riêng nên được xem xét lại.</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B2A3D" w:val="clear"/>
          </w:tcPr>
          <w:p>
            <w:pPr>
              <w:jc w:val="center"/>
            </w:pPr>
            <w:r/>
            <w:r>
              <w:rPr>
                <w:rFonts w:ascii="Times New Roman" w:hAnsi="Times New Roman"/>
                <w:b/>
                <w:color w:val="FFFFFF"/>
                <w:sz w:val="22"/>
              </w:rPr>
              <w:t>SBU</w:t>
            </w:r>
          </w:p>
        </w:tc>
        <w:tc>
          <w:tcPr>
            <w:tcW w:type="dxa" w:w="1814"/>
            <w:shd w:fill="1B2A3D" w:val="clear"/>
          </w:tcPr>
          <w:p>
            <w:pPr>
              <w:jc w:val="center"/>
            </w:pPr>
            <w:r/>
            <w:r>
              <w:rPr>
                <w:rFonts w:ascii="Times New Roman" w:hAnsi="Times New Roman"/>
                <w:b/>
                <w:color w:val="FFFFFF"/>
                <w:sz w:val="22"/>
              </w:rPr>
              <w:t>Tên đơn vị</w:t>
            </w:r>
          </w:p>
        </w:tc>
        <w:tc>
          <w:tcPr>
            <w:tcW w:type="dxa" w:w="1814"/>
            <w:shd w:fill="1B2A3D" w:val="clear"/>
          </w:tcPr>
          <w:p>
            <w:pPr>
              <w:jc w:val="center"/>
            </w:pPr>
            <w:r/>
            <w:r>
              <w:rPr>
                <w:rFonts w:ascii="Times New Roman" w:hAnsi="Times New Roman"/>
                <w:b/>
                <w:color w:val="FFFFFF"/>
                <w:sz w:val="22"/>
              </w:rPr>
              <w:t>Dịch vụ gồm</w:t>
            </w:r>
          </w:p>
        </w:tc>
        <w:tc>
          <w:tcPr>
            <w:tcW w:type="dxa" w:w="1814"/>
            <w:shd w:fill="1B2A3D" w:val="clear"/>
          </w:tcPr>
          <w:p>
            <w:pPr>
              <w:jc w:val="center"/>
            </w:pPr>
            <w:r/>
            <w:r>
              <w:rPr>
                <w:rFonts w:ascii="Times New Roman" w:hAnsi="Times New Roman"/>
                <w:b/>
                <w:color w:val="FFFFFF"/>
                <w:sz w:val="22"/>
              </w:rPr>
              <w:t>Tiêu chí chính</w:t>
            </w:r>
          </w:p>
        </w:tc>
        <w:tc>
          <w:tcPr>
            <w:tcW w:type="dxa" w:w="1814"/>
            <w:shd w:fill="1B2A3D" w:val="clear"/>
          </w:tcPr>
          <w:p>
            <w:pPr>
              <w:jc w:val="center"/>
            </w:pPr>
            <w:r/>
            <w:r>
              <w:rPr>
                <w:rFonts w:ascii="Times New Roman" w:hAnsi="Times New Roman"/>
                <w:b/>
                <w:color w:val="FFFFFF"/>
                <w:sz w:val="22"/>
              </w:rPr>
              <w:t>Giai đoạn CKS</w:t>
            </w:r>
          </w:p>
        </w:tc>
      </w:tr>
      <w:tr>
        <w:tc>
          <w:tcPr>
            <w:tcW w:type="dxa" w:w="1814"/>
          </w:tcPr>
          <w:p>
            <w:pPr>
              <w:jc w:val="left"/>
            </w:pPr>
            <w:r/>
            <w:r>
              <w:rPr>
                <w:rFonts w:ascii="Times New Roman" w:hAnsi="Times New Roman"/>
                <w:sz w:val="22"/>
              </w:rPr>
              <w:t>1</w:t>
            </w:r>
          </w:p>
        </w:tc>
        <w:tc>
          <w:tcPr>
            <w:tcW w:type="dxa" w:w="1814"/>
          </w:tcPr>
          <w:p>
            <w:pPr>
              <w:jc w:val="left"/>
            </w:pPr>
            <w:r/>
            <w:r>
              <w:rPr>
                <w:rFonts w:ascii="Times New Roman" w:hAnsi="Times New Roman"/>
                <w:sz w:val="22"/>
              </w:rPr>
              <w:t>Mô hình 3D &amp; Tài liệu kỹ thuật MEP</w:t>
            </w:r>
          </w:p>
        </w:tc>
        <w:tc>
          <w:tcPr>
            <w:tcW w:type="dxa" w:w="1814"/>
          </w:tcPr>
          <w:p>
            <w:pPr>
              <w:jc w:val="left"/>
            </w:pPr>
            <w:r/>
            <w:r>
              <w:rPr>
                <w:rFonts w:ascii="Times New Roman" w:hAnsi="Times New Roman"/>
                <w:sz w:val="22"/>
              </w:rPr>
              <w:t>Mô hình HVAC/MEP, Tài liệu kỹ thuật</w:t>
            </w:r>
          </w:p>
        </w:tc>
        <w:tc>
          <w:tcPr>
            <w:tcW w:type="dxa" w:w="1814"/>
          </w:tcPr>
          <w:p>
            <w:pPr>
              <w:jc w:val="left"/>
            </w:pPr>
            <w:r/>
            <w:r>
              <w:rPr>
                <w:rFonts w:ascii="Times New Roman" w:hAnsi="Times New Roman"/>
                <w:sz w:val="22"/>
              </w:rPr>
              <w:t>Năng lực cốt lõi, Khách hàng</w:t>
            </w:r>
          </w:p>
        </w:tc>
        <w:tc>
          <w:tcPr>
            <w:tcW w:type="dxa" w:w="1814"/>
          </w:tcPr>
          <w:p>
            <w:pPr>
              <w:jc w:val="left"/>
            </w:pPr>
            <w:r/>
            <w:r>
              <w:rPr>
                <w:rFonts w:ascii="Times New Roman" w:hAnsi="Times New Roman"/>
                <w:sz w:val="22"/>
              </w:rPr>
              <w:t>Trưởng thành</w:t>
            </w:r>
          </w:p>
        </w:tc>
      </w:tr>
      <w:tr>
        <w:tc>
          <w:tcPr>
            <w:tcW w:type="dxa" w:w="1814"/>
            <w:shd w:fill="F0F2F5" w:val="clear"/>
          </w:tcPr>
          <w:p>
            <w:pPr>
              <w:jc w:val="left"/>
            </w:pPr>
            <w:r/>
            <w:r>
              <w:rPr>
                <w:rFonts w:ascii="Times New Roman" w:hAnsi="Times New Roman"/>
                <w:sz w:val="22"/>
              </w:rPr>
              <w:t>2</w:t>
            </w:r>
          </w:p>
        </w:tc>
        <w:tc>
          <w:tcPr>
            <w:tcW w:type="dxa" w:w="1814"/>
            <w:shd w:fill="F0F2F5" w:val="clear"/>
          </w:tcPr>
          <w:p>
            <w:pPr>
              <w:jc w:val="left"/>
            </w:pPr>
            <w:r/>
            <w:r>
              <w:rPr>
                <w:rFonts w:ascii="Times New Roman" w:hAnsi="Times New Roman"/>
                <w:sz w:val="22"/>
              </w:rPr>
              <w:t>Dịch vụ BIM Kiến trúc</w:t>
            </w:r>
          </w:p>
        </w:tc>
        <w:tc>
          <w:tcPr>
            <w:tcW w:type="dxa" w:w="1814"/>
            <w:shd w:fill="F0F2F5" w:val="clear"/>
          </w:tcPr>
          <w:p>
            <w:pPr>
              <w:jc w:val="left"/>
            </w:pPr>
            <w:r/>
            <w:r>
              <w:rPr>
                <w:rFonts w:ascii="Times New Roman" w:hAnsi="Times New Roman"/>
                <w:sz w:val="22"/>
              </w:rPr>
              <w:t>Mô hình 3D Kiến trúc</w:t>
            </w:r>
          </w:p>
        </w:tc>
        <w:tc>
          <w:tcPr>
            <w:tcW w:type="dxa" w:w="1814"/>
            <w:shd w:fill="F0F2F5" w:val="clear"/>
          </w:tcPr>
          <w:p>
            <w:pPr>
              <w:jc w:val="left"/>
            </w:pPr>
            <w:r/>
            <w:r>
              <w:rPr>
                <w:rFonts w:ascii="Times New Roman" w:hAnsi="Times New Roman"/>
                <w:sz w:val="22"/>
              </w:rPr>
              <w:t>Năng lực cốt lõi, Thị trường</w:t>
            </w:r>
          </w:p>
        </w:tc>
        <w:tc>
          <w:tcPr>
            <w:tcW w:type="dxa" w:w="1814"/>
            <w:shd w:fill="F0F2F5" w:val="clear"/>
          </w:tcPr>
          <w:p>
            <w:pPr>
              <w:jc w:val="left"/>
            </w:pPr>
            <w:r/>
            <w:r>
              <w:rPr>
                <w:rFonts w:ascii="Times New Roman" w:hAnsi="Times New Roman"/>
                <w:sz w:val="22"/>
              </w:rPr>
              <w:t>Tăng trưởng</w:t>
            </w:r>
          </w:p>
        </w:tc>
      </w:tr>
      <w:tr>
        <w:tc>
          <w:tcPr>
            <w:tcW w:type="dxa" w:w="1814"/>
          </w:tcPr>
          <w:p>
            <w:pPr>
              <w:jc w:val="left"/>
            </w:pPr>
            <w:r/>
            <w:r>
              <w:rPr>
                <w:rFonts w:ascii="Times New Roman" w:hAnsi="Times New Roman"/>
                <w:sz w:val="22"/>
              </w:rPr>
              <w:t>3</w:t>
            </w:r>
          </w:p>
        </w:tc>
        <w:tc>
          <w:tcPr>
            <w:tcW w:type="dxa" w:w="1814"/>
          </w:tcPr>
          <w:p>
            <w:pPr>
              <w:jc w:val="left"/>
            </w:pPr>
            <w:r/>
            <w:r>
              <w:rPr>
                <w:rFonts w:ascii="Times New Roman" w:hAnsi="Times New Roman"/>
                <w:sz w:val="22"/>
              </w:rPr>
              <w:t>Phối hợp đa ngành &amp; Quản lý xung đột</w:t>
            </w:r>
          </w:p>
        </w:tc>
        <w:tc>
          <w:tcPr>
            <w:tcW w:type="dxa" w:w="1814"/>
          </w:tcPr>
          <w:p>
            <w:pPr>
              <w:jc w:val="left"/>
            </w:pPr>
            <w:r/>
            <w:r>
              <w:rPr>
                <w:rFonts w:ascii="Times New Roman" w:hAnsi="Times New Roman"/>
                <w:sz w:val="22"/>
              </w:rPr>
              <w:t>Quản lý xung đột, Phối hợp đa ngành</w:t>
            </w:r>
          </w:p>
        </w:tc>
        <w:tc>
          <w:tcPr>
            <w:tcW w:type="dxa" w:w="1814"/>
          </w:tcPr>
          <w:p>
            <w:pPr>
              <w:jc w:val="left"/>
            </w:pPr>
            <w:r/>
            <w:r>
              <w:rPr>
                <w:rFonts w:ascii="Times New Roman" w:hAnsi="Times New Roman"/>
                <w:sz w:val="22"/>
              </w:rPr>
              <w:t>Dòng doanh thu, Năng lực</w:t>
            </w:r>
          </w:p>
        </w:tc>
        <w:tc>
          <w:tcPr>
            <w:tcW w:type="dxa" w:w="1814"/>
          </w:tcPr>
          <w:p>
            <w:pPr>
              <w:jc w:val="left"/>
            </w:pPr>
            <w:r/>
            <w:r>
              <w:rPr>
                <w:rFonts w:ascii="Times New Roman" w:hAnsi="Times New Roman"/>
                <w:sz w:val="22"/>
              </w:rPr>
              <w:t>Tăng trưởng</w:t>
            </w:r>
          </w:p>
        </w:tc>
      </w:tr>
      <w:tr>
        <w:tc>
          <w:tcPr>
            <w:tcW w:type="dxa" w:w="1814"/>
            <w:shd w:fill="F0F2F5" w:val="clear"/>
          </w:tcPr>
          <w:p>
            <w:pPr>
              <w:jc w:val="left"/>
            </w:pPr>
            <w:r/>
            <w:r>
              <w:rPr>
                <w:rFonts w:ascii="Times New Roman" w:hAnsi="Times New Roman"/>
                <w:sz w:val="22"/>
              </w:rPr>
              <w:t>4</w:t>
            </w:r>
          </w:p>
        </w:tc>
        <w:tc>
          <w:tcPr>
            <w:tcW w:type="dxa" w:w="1814"/>
            <w:shd w:fill="F0F2F5" w:val="clear"/>
          </w:tcPr>
          <w:p>
            <w:pPr>
              <w:jc w:val="left"/>
            </w:pPr>
            <w:r/>
            <w:r>
              <w:rPr>
                <w:rFonts w:ascii="Times New Roman" w:hAnsi="Times New Roman"/>
                <w:sz w:val="22"/>
              </w:rPr>
              <w:t>Scan to BIM &amp; Tư vấn Chuyển đổi số</w:t>
            </w:r>
          </w:p>
        </w:tc>
        <w:tc>
          <w:tcPr>
            <w:tcW w:type="dxa" w:w="1814"/>
            <w:shd w:fill="F0F2F5" w:val="clear"/>
          </w:tcPr>
          <w:p>
            <w:pPr>
              <w:jc w:val="left"/>
            </w:pPr>
            <w:r/>
            <w:r>
              <w:rPr>
                <w:rFonts w:ascii="Times New Roman" w:hAnsi="Times New Roman"/>
                <w:sz w:val="22"/>
              </w:rPr>
              <w:t>Scan to BIM, Tư vấn số hóa</w:t>
            </w:r>
          </w:p>
        </w:tc>
        <w:tc>
          <w:tcPr>
            <w:tcW w:type="dxa" w:w="1814"/>
            <w:shd w:fill="F0F2F5" w:val="clear"/>
          </w:tcPr>
          <w:p>
            <w:pPr>
              <w:jc w:val="left"/>
            </w:pPr>
            <w:r/>
            <w:r>
              <w:rPr>
                <w:rFonts w:ascii="Times New Roman" w:hAnsi="Times New Roman"/>
                <w:sz w:val="22"/>
              </w:rPr>
              <w:t>Khách hàng, Đội ngũ chung</w:t>
            </w:r>
          </w:p>
        </w:tc>
        <w:tc>
          <w:tcPr>
            <w:tcW w:type="dxa" w:w="1814"/>
            <w:shd w:fill="F0F2F5" w:val="clear"/>
          </w:tcPr>
          <w:p>
            <w:pPr>
              <w:jc w:val="left"/>
            </w:pPr>
            <w:r/>
            <w:r>
              <w:rPr>
                <w:rFonts w:ascii="Times New Roman" w:hAnsi="Times New Roman"/>
                <w:sz w:val="22"/>
              </w:rPr>
              <w:t>Giới thiệu</w:t>
            </w:r>
          </w:p>
        </w:tc>
      </w:tr>
      <w:tr>
        <w:tc>
          <w:tcPr>
            <w:tcW w:type="dxa" w:w="1814"/>
          </w:tcPr>
          <w:p>
            <w:pPr>
              <w:jc w:val="left"/>
            </w:pPr>
            <w:r/>
            <w:r>
              <w:rPr>
                <w:rFonts w:ascii="Times New Roman" w:hAnsi="Times New Roman"/>
                <w:sz w:val="22"/>
              </w:rPr>
              <w:t>5</w:t>
            </w:r>
          </w:p>
        </w:tc>
        <w:tc>
          <w:tcPr>
            <w:tcW w:type="dxa" w:w="1814"/>
          </w:tcPr>
          <w:p>
            <w:pPr>
              <w:jc w:val="left"/>
            </w:pPr>
            <w:r/>
            <w:r>
              <w:rPr>
                <w:rFonts w:ascii="Times New Roman" w:hAnsi="Times New Roman"/>
                <w:sz w:val="22"/>
              </w:rPr>
              <w:t>Chuyển đổi 2D &amp; Dịch vụ hỗ trợ</w:t>
            </w:r>
          </w:p>
        </w:tc>
        <w:tc>
          <w:tcPr>
            <w:tcW w:type="dxa" w:w="1814"/>
          </w:tcPr>
          <w:p>
            <w:pPr>
              <w:jc w:val="left"/>
            </w:pPr>
            <w:r/>
            <w:r>
              <w:rPr>
                <w:rFonts w:ascii="Times New Roman" w:hAnsi="Times New Roman"/>
                <w:sz w:val="22"/>
              </w:rPr>
              <w:t>Chuyển đổi 2D, BOQ, Tạo nội dung</w:t>
            </w:r>
          </w:p>
        </w:tc>
        <w:tc>
          <w:tcPr>
            <w:tcW w:type="dxa" w:w="1814"/>
          </w:tcPr>
          <w:p>
            <w:pPr>
              <w:jc w:val="left"/>
            </w:pPr>
            <w:r/>
            <w:r>
              <w:rPr>
                <w:rFonts w:ascii="Times New Roman" w:hAnsi="Times New Roman"/>
                <w:sz w:val="22"/>
              </w:rPr>
              <w:t>Chu kỳ sống, Chi phí</w:t>
            </w:r>
          </w:p>
        </w:tc>
        <w:tc>
          <w:tcPr>
            <w:tcW w:type="dxa" w:w="1814"/>
          </w:tcPr>
          <w:p>
            <w:pPr>
              <w:jc w:val="left"/>
            </w:pPr>
            <w:r/>
            <w:r>
              <w:rPr>
                <w:rFonts w:ascii="Times New Roman" w:hAnsi="Times New Roman"/>
                <w:sz w:val="22"/>
              </w:rPr>
              <w:t>Suy thoái</w:t>
            </w:r>
          </w:p>
        </w:tc>
      </w:tr>
    </w:tbl>
    <w:p>
      <w:pPr>
        <w:spacing w:before="80" w:after="240"/>
        <w:jc w:val="center"/>
      </w:pPr>
      <w:r>
        <w:rPr>
          <w:rFonts w:ascii="Times New Roman" w:hAnsi="Times New Roman"/>
          <w:i/>
          <w:sz w:val="22"/>
        </w:rPr>
        <w:t>Bảng 4: Tổng hợp 5 đơn vị kinh doanh chiến lược của DCMvn</w:t>
      </w:r>
    </w:p>
    <w:p>
      <w:pPr>
        <w:pStyle w:val="Heading2"/>
      </w:pPr>
      <w:r>
        <w:t>3.2. SBU 1: Mô hình 3D &amp; Tài liệu kỹ thuật MEP (Bò sữa)</w:t>
      </w:r>
    </w:p>
    <w:p>
      <w:pPr>
        <w:pStyle w:val="Heading3"/>
      </w:pPr>
      <w:r>
        <w:t>3.2.1. Mô tả dịch vụ</w:t>
      </w:r>
    </w:p>
    <w:p>
      <w:pPr>
        <w:spacing w:after="120" w:line="360" w:lineRule="auto"/>
        <w:ind w:firstLine="720"/>
        <w:jc w:val="both"/>
      </w:pPr>
      <w:r>
        <w:rPr>
          <w:rFonts w:ascii="Times New Roman" w:hAnsi="Times New Roman"/>
          <w:b w:val="0"/>
          <w:sz w:val="26"/>
        </w:rPr>
        <w:t>Đây là dịch vụ cốt lõi và nguồn doanh thu chính từ khi thành lập. Bao gồm dựng mô hình 3D chi tiết cho hệ thống cơ điện: HVAC, hệ thống điện, cấp thoát nước, kèm tài liệu kỹ thuật như bản vẽ thi công, schedule, specification theo tiêu chuẩn dự án châu Âu.</w:t>
      </w:r>
    </w:p>
    <w:p>
      <w:pPr>
        <w:pStyle w:val="Heading3"/>
      </w:pPr>
      <w:r>
        <w:t>3.2.2. Đặc điểm và quy mô</w:t>
      </w:r>
    </w:p>
    <w:p>
      <w:pPr>
        <w:spacing w:after="120" w:line="360" w:lineRule="auto"/>
        <w:ind w:firstLine="720"/>
        <w:jc w:val="both"/>
      </w:pPr>
      <w:r>
        <w:rPr>
          <w:rFonts w:ascii="Times New Roman" w:hAnsi="Times New Roman"/>
          <w:b w:val="0"/>
          <w:sz w:val="26"/>
        </w:rPr>
        <w:t>SBU 1 chiếm ưu thế tuyệt đối: khoảng 80% nhân sự (45+ kỹ sư mô hình, 5 Trưởng nhóm MEP). Tất cả dự án lớn (Sân bay Munich, BMW, Konzerthaus, Überseequartier) đều có MEP modeling là trọng tâm. Quy trình chuẩn hóa cao nhất với template và best practice từ tập đoàn mẹ.</w:t>
      </w:r>
    </w:p>
    <w:p>
      <w:pPr>
        <w:pStyle w:val="Heading3"/>
      </w:pPr>
      <w:r>
        <w:t>3.2.3. Phân tích thị trường</w:t>
      </w:r>
    </w:p>
    <w:p>
      <w:pPr>
        <w:spacing w:after="120" w:line="360" w:lineRule="auto"/>
        <w:ind w:firstLine="720"/>
        <w:jc w:val="both"/>
      </w:pPr>
      <w:r>
        <w:rPr>
          <w:rFonts w:ascii="Times New Roman" w:hAnsi="Times New Roman"/>
          <w:b w:val="0"/>
          <w:sz w:val="26"/>
        </w:rPr>
        <w:t>Theo báo cáo của Allied Market Research (2024), thị trường BIM toàn cầu dự kiến đạt CAGR khoảng 13–15% giai đoạn 2024–2032, tuy nhiên phân khúc MEP tại Tây Âu — nơi BIM đã được phổ cập rộng rãi — chỉ tăng trưởng ở mức 5–8%. Phần lớn dự án quy mô lớn ở Đức, Áo, Séc đã bắt buộc sử dụng BIM từ năm 2020 (McKinsey, 2020). Nhu cầu ổn định ở mức cao nhưng không còn tăng đột phá. DCMvn có vị thế vững chắc — thị phần tương đối được đánh giá là cao trong phân khúc BIM outsource cho Trung Âu nhờ danh mục dự án dày dặn và quy trình chuẩn hóa từ tập đoàn mẹ (DCMvn, 2026).</w:t>
      </w:r>
    </w:p>
    <w:p>
      <w:pPr>
        <w:pStyle w:val="Heading3"/>
      </w:pPr>
      <w:r>
        <w:t>3.2.4. Giai đoạn chu kỳ sống: Trưởng thành</w:t>
      </w:r>
    </w:p>
    <w:p>
      <w:pPr>
        <w:spacing w:after="120" w:line="360" w:lineRule="auto"/>
        <w:ind w:firstLine="720"/>
        <w:jc w:val="both"/>
      </w:pPr>
      <w:r>
        <w:rPr>
          <w:rFonts w:ascii="Times New Roman" w:hAnsi="Times New Roman"/>
          <w:b w:val="0"/>
          <w:sz w:val="26"/>
        </w:rPr>
        <w:t>Doanh thu ổn định, quy trình chuẩn hóa, ít đầu tư R&amp;D mới, vị thế vững chắc — SBU 1 là nền tảng tài chính giúp DCMvn đầu tư vào các SBU mới.</w:t>
      </w:r>
    </w:p>
    <w:p>
      <w:pPr>
        <w:pStyle w:val="Heading2"/>
      </w:pPr>
      <w:r>
        <w:t>3.3. SBU 2: Dịch vụ BIM Kiến trúc (Ngôi sao)</w:t>
      </w:r>
    </w:p>
    <w:p>
      <w:pPr>
        <w:pStyle w:val="Heading3"/>
      </w:pPr>
      <w:r>
        <w:t>3.3.1. Mô tả dịch vụ</w:t>
      </w:r>
    </w:p>
    <w:p>
      <w:pPr>
        <w:spacing w:after="120" w:line="360" w:lineRule="auto"/>
        <w:ind w:firstLine="720"/>
        <w:jc w:val="both"/>
      </w:pPr>
      <w:r>
        <w:rPr>
          <w:rFonts w:ascii="Times New Roman" w:hAnsi="Times New Roman"/>
          <w:b w:val="0"/>
          <w:sz w:val="26"/>
        </w:rPr>
        <w:t>Mở rộng năng lực từ MEP sang kiến trúc — dựng mô hình 3D kiến trúc, BIM cho thiết kế mặt đứng, mặt bằng và phối cảnh. Tích hợp BIM và phân tích dữ liệu để giảm rủi ro, nâng độ chính xác.</w:t>
      </w:r>
    </w:p>
    <w:p>
      <w:pPr>
        <w:pStyle w:val="Heading3"/>
      </w:pPr>
      <w:r>
        <w:t>3.3.2. Phân tích thị trường</w:t>
      </w:r>
    </w:p>
    <w:p>
      <w:pPr>
        <w:spacing w:after="120" w:line="360" w:lineRule="auto"/>
        <w:ind w:firstLine="720"/>
        <w:jc w:val="both"/>
      </w:pPr>
      <w:r>
        <w:rPr>
          <w:rFonts w:ascii="Times New Roman" w:hAnsi="Times New Roman"/>
          <w:b w:val="0"/>
          <w:sz w:val="26"/>
        </w:rPr>
        <w:t>Phân khúc BIM kiến trúc đang tăng trưởng nhanh hơn MEP, với CAGR ước tính 12–18% (Allied Market Research, 2024). Nhiều quốc gia mở rộng yêu cầu BIM bắt buộc từ hạ tầng sang thiết kế kiến trúc dân dụng; xu hướng thiết kế bền vững (sustainable design) đòi hỏi mô hình hóa chi tiết hơn (McKinsey, 2020). DCMvn đang xây dựng thị phần trong phân khúc này, tận dụng năng lực nhân sự và quy trình có sẵn từ dịch vụ MEP.</w:t>
      </w:r>
    </w:p>
    <w:p>
      <w:pPr>
        <w:pStyle w:val="Heading3"/>
      </w:pPr>
      <w:r>
        <w:t>3.3.3. Giai đoạn chu kỳ sống: Tăng trưởng</w:t>
      </w:r>
    </w:p>
    <w:p>
      <w:pPr>
        <w:spacing w:after="120" w:line="360" w:lineRule="auto"/>
        <w:ind w:firstLine="720"/>
        <w:jc w:val="both"/>
      </w:pPr>
      <w:r>
        <w:rPr>
          <w:rFonts w:ascii="Times New Roman" w:hAnsi="Times New Roman"/>
          <w:b w:val="0"/>
          <w:sz w:val="26"/>
        </w:rPr>
        <w:t>Doanh thu đang gia tăng, đội ngũ mở rộng, thị trường còn nhiều tiềm năng — SBU 2 cần được đầu tư tiếp để trở thành trụ cột thứ hai sau MEP.</w:t>
      </w:r>
    </w:p>
    <w:p>
      <w:pPr>
        <w:pStyle w:val="Heading2"/>
      </w:pPr>
      <w:r>
        <w:t>3.4. SBU 3: Phối hợp đa ngành &amp; Quản lý xung đột (Ngôi sao)</w:t>
      </w:r>
    </w:p>
    <w:p>
      <w:pPr>
        <w:pStyle w:val="Heading3"/>
      </w:pPr>
      <w:r>
        <w:t>3.4.1. Mô tả dịch vụ</w:t>
      </w:r>
    </w:p>
    <w:p>
      <w:pPr>
        <w:spacing w:after="120" w:line="360" w:lineRule="auto"/>
        <w:ind w:firstLine="720"/>
        <w:jc w:val="both"/>
      </w:pPr>
      <w:r>
        <w:rPr>
          <w:rFonts w:ascii="Times New Roman" w:hAnsi="Times New Roman"/>
          <w:b w:val="0"/>
          <w:sz w:val="26"/>
        </w:rPr>
        <w:t>Gồm hai dịch vụ liên quan: Quản lý xung đột (phát hiện và giải quyết va chạm giữa các hệ thống) và Phối hợp đa ngành (quản lý đồng thời lên đến 7 ngành kỹ thuật). Dịch vụ giá trị gia tăng cao nhất vì đòi hỏi năng lực chuyên sâu và kinh nghiệm quản lý dự án phức tạp.</w:t>
      </w:r>
    </w:p>
    <w:p>
      <w:pPr>
        <w:pStyle w:val="Heading3"/>
      </w:pPr>
      <w:r>
        <w:t>3.4.2. Phân tích thị trường</w:t>
      </w:r>
    </w:p>
    <w:p>
      <w:pPr>
        <w:spacing w:after="120" w:line="360" w:lineRule="auto"/>
        <w:ind w:firstLine="720"/>
        <w:jc w:val="both"/>
      </w:pPr>
      <w:r>
        <w:rPr>
          <w:rFonts w:ascii="Times New Roman" w:hAnsi="Times New Roman"/>
          <w:b w:val="0"/>
          <w:sz w:val="26"/>
        </w:rPr>
        <w:t>Theo McKinsey (2020), xu hướng dự án phức hợp đa chức năng (mixed-use) đang tăng mạnh tại châu Âu, kéo theo nhu cầu phối hợp BIM liên ngành. Rất ít đơn vị BIM outsource có năng lực xử lý 7 ngành đồng thời — đây là lợi thế cạnh tranh rõ ràng theo khung phân tích khác biệt hóa (differentiation) của Porter (1985).</w:t>
      </w:r>
    </w:p>
    <w:p>
      <w:pPr>
        <w:pStyle w:val="Heading3"/>
      </w:pPr>
      <w:r>
        <w:t>3.4.3. Giai đoạn chu kỳ sống: Tăng trưởng</w:t>
      </w:r>
    </w:p>
    <w:p>
      <w:pPr>
        <w:spacing w:after="120" w:line="360" w:lineRule="auto"/>
        <w:ind w:firstLine="720"/>
        <w:jc w:val="both"/>
      </w:pPr>
      <w:r>
        <w:rPr>
          <w:rFonts w:ascii="Times New Roman" w:hAnsi="Times New Roman"/>
          <w:b w:val="0"/>
          <w:sz w:val="26"/>
        </w:rPr>
        <w:t>Nhu cầu cao, lợi thế cạnh tranh mạnh, biên lợi nhuận cao nhờ tính chuyên môn — SBU 3 là dịch vụ giúp DCMvn khác biệt hóa so với đối thủ.</w:t>
      </w:r>
    </w:p>
    <w:p>
      <w:pPr>
        <w:pStyle w:val="Heading2"/>
      </w:pPr>
      <w:r>
        <w:t>3.5. SBU 4: Scan to BIM &amp; Tư vấn Chuyển đổi số (Dấu hỏi)</w:t>
      </w:r>
    </w:p>
    <w:p>
      <w:pPr>
        <w:pStyle w:val="Heading3"/>
      </w:pPr>
      <w:r>
        <w:t>3.5.1. Mô tả dịch vụ và lý do gộp chung</w:t>
      </w:r>
    </w:p>
    <w:p>
      <w:pPr>
        <w:spacing w:after="120" w:line="360" w:lineRule="auto"/>
        <w:ind w:firstLine="720"/>
        <w:jc w:val="both"/>
      </w:pPr>
      <w:r>
        <w:rPr>
          <w:rFonts w:ascii="Times New Roman" w:hAnsi="Times New Roman"/>
          <w:b w:val="0"/>
          <w:sz w:val="26"/>
        </w:rPr>
        <w:t>Gồm: Scan to BIM (chuyển dữ liệu quét laser thành mô hình BIM — đặc biệt quan trọng cho dự án cải tạo khi tài liệu cũ không còn) và Tư vấn Chuyển đổi số (đánh giá mức độ trưởng thành số, xây dựng lộ trình chuyển đổi, triển khai nền tảng cộng tác kỹ thuật số).</w:t>
      </w:r>
    </w:p>
    <w:p>
      <w:pPr>
        <w:spacing w:after="120" w:line="360" w:lineRule="auto"/>
        <w:ind w:firstLine="720"/>
        <w:jc w:val="both"/>
      </w:pPr>
      <w:r>
        <w:rPr>
          <w:rFonts w:ascii="Times New Roman" w:hAnsi="Times New Roman"/>
          <w:b w:val="0"/>
          <w:sz w:val="26"/>
        </w:rPr>
        <w:t>Hai dịch vụ này được giữ trong cùng một SBU vì bốn lý do: Thứ nhất, cùng đội ngũ vận hành — Bộ phận Kỹ thuật số hiện chỉ có khoảng 5 nhân sự, chưa đủ quy mô để tách thành hai đơn vị có chiến lược riêng. Thứ hai, cùng phân khúc khách hàng — cả hai nhắm đến chủ đầu tư và nhà quản lý cơ sở vật chất (facility management) có nhu cầu số hóa tòa nhà hiện hữu. Thứ ba, chuỗi giá trị liên tục — Scan to BIM thường là bước đầu tiên trong lộ trình chuyển đổi số; khách hàng mua dịch vụ quét 3D gần như luôn cần tư vấn triển khai BIM tiếp theo. Thứ tư, cùng giai đoạn Giới thiệu trên chu kỳ sống sản phẩm, đối mặt với cùng nhóm đối thủ cạnh tranh. Khi đội Kỹ thuật số đạt trên 15 người (dự kiến Q4/2027), cần đánh giá lại việc tách thành hai SBU riêng biệt.</w:t>
      </w:r>
    </w:p>
    <w:p>
      <w:pPr>
        <w:pStyle w:val="Heading3"/>
      </w:pPr>
      <w:r>
        <w:t>3.5.2. Phân tích thị trường</w:t>
      </w:r>
    </w:p>
    <w:p>
      <w:pPr>
        <w:spacing w:after="120" w:line="360" w:lineRule="auto"/>
        <w:ind w:firstLine="720"/>
        <w:jc w:val="both"/>
      </w:pPr>
      <w:r>
        <w:rPr>
          <w:rFonts w:ascii="Times New Roman" w:hAnsi="Times New Roman"/>
          <w:b w:val="0"/>
          <w:sz w:val="26"/>
        </w:rPr>
        <w:t>Thị trường chuyển đổi số trong xây dựng đang tăng trưởng rất nhanh, với CAGR ước tính 20–25%, được thúc đẩy bởi European Green Deal và yêu cầu số hóa quản lý năng lượng tòa nhà hiện hữu (Allied Market Research, 2024). Tuy nhiên, đội Kỹ thuật số của DCMvn chỉ có khoảng 5 người (DCMvn, 2026) — thị phần hiện tại được đánh giá là còn thấp nhưng tiềm năng mở rộng rất lớn.</w:t>
      </w:r>
    </w:p>
    <w:p>
      <w:pPr>
        <w:pStyle w:val="Heading3"/>
      </w:pPr>
      <w:r>
        <w:t>3.5.3. Giai đoạn chu kỳ sống: Giới thiệu</w:t>
      </w:r>
    </w:p>
    <w:p>
      <w:pPr>
        <w:spacing w:after="120" w:line="360" w:lineRule="auto"/>
        <w:ind w:firstLine="720"/>
        <w:jc w:val="both"/>
      </w:pPr>
      <w:r>
        <w:rPr>
          <w:rFonts w:ascii="Times New Roman" w:hAnsi="Times New Roman"/>
          <w:b w:val="0"/>
          <w:sz w:val="26"/>
        </w:rPr>
        <w:t>Dịch vụ mới, doanh thu còn khiêm tốn, cần đầu tư vào nhân sự và công nghệ. Quyết định chiến lược: đầu tư mạnh để chiếm thị phần hay chờ đợi thị trường rõ ràng hơn.</w:t>
      </w:r>
    </w:p>
    <w:p>
      <w:pPr>
        <w:pStyle w:val="Heading2"/>
      </w:pPr>
      <w:r>
        <w:t>3.6. SBU 5: Chuyển đổi 2D &amp; Dịch vụ hỗ trợ (Con chó)</w:t>
      </w:r>
    </w:p>
    <w:p>
      <w:pPr>
        <w:pStyle w:val="Heading3"/>
      </w:pPr>
      <w:r>
        <w:t>3.6.1. Mô tả dịch vụ</w:t>
      </w:r>
    </w:p>
    <w:p>
      <w:pPr>
        <w:spacing w:after="120" w:line="360" w:lineRule="auto"/>
        <w:ind w:firstLine="720"/>
        <w:jc w:val="both"/>
      </w:pPr>
      <w:r>
        <w:rPr>
          <w:rFonts w:ascii="Times New Roman" w:hAnsi="Times New Roman"/>
          <w:b w:val="0"/>
          <w:sz w:val="26"/>
        </w:rPr>
        <w:t>Gộp ba dịch vụ: Chuyển đổi bản vẽ 2D sang 3D, Bảng khối lượng (BOQ), và Tạo nội dung chuyên biệt. Đây là dịch vụ có từ sớm, mang tính routine và biên lợi nhuận thấp.</w:t>
      </w:r>
    </w:p>
    <w:p>
      <w:pPr>
        <w:pStyle w:val="Heading3"/>
      </w:pPr>
      <w:r>
        <w:t>3.6.2. Phân tích thị trường</w:t>
      </w:r>
    </w:p>
    <w:p>
      <w:pPr>
        <w:spacing w:after="120" w:line="360" w:lineRule="auto"/>
        <w:ind w:firstLine="720"/>
        <w:jc w:val="both"/>
      </w:pPr>
      <w:r>
        <w:rPr>
          <w:rFonts w:ascii="Times New Roman" w:hAnsi="Times New Roman"/>
          <w:b w:val="0"/>
          <w:sz w:val="26"/>
        </w:rPr>
        <w:t>Chuyển đổi 2D đang suy giảm vì ngày càng nhiều dự án khởi đầu trực tiếp bằng 3D/BIM — xu hướng "BIM-native" mà Allied Market Research (2024) ghi nhận rõ ràng. BOQ và nội dung chuyên biệt đang bị tự động hóa bởi plugin phần mềm (McKinsey, 2020). Thị phần không cao vì nhiều đơn vị BIM outsource đều có thể cung cấp — không có sự khác biệt hóa đáng kể.</w:t>
      </w:r>
    </w:p>
    <w:p>
      <w:pPr>
        <w:pStyle w:val="Heading3"/>
      </w:pPr>
      <w:r>
        <w:t>3.6.3. Giai đoạn chu kỳ sống: Suy thoái</w:t>
      </w:r>
    </w:p>
    <w:p>
      <w:pPr>
        <w:spacing w:after="120" w:line="360" w:lineRule="auto"/>
        <w:ind w:firstLine="720"/>
        <w:jc w:val="both"/>
      </w:pPr>
      <w:r>
        <w:rPr>
          <w:rFonts w:ascii="Times New Roman" w:hAnsi="Times New Roman"/>
          <w:b w:val="0"/>
          <w:sz w:val="26"/>
        </w:rPr>
        <w:t>Doanh thu giảm dần. Tuy nhiên, dịch vụ vẫn hỗ trợ SBU 1 và SBU 2 nên không loại bỏ hoàn toàn — cần chuyển đổi mục đích sử dụng nguồn lực.</w:t>
      </w:r>
    </w:p>
    <w:p>
      <w:r>
        <w:br w:type="page"/>
      </w:r>
    </w:p>
    <w:p>
      <w:pPr>
        <w:pStyle w:val="Heading1"/>
      </w:pPr>
      <w:r>
        <w:t>PHẦN IV. MA TRẬN BCG VÀ HOẠCH ĐỊNH CHIẾN LƯỢC</w:t>
      </w:r>
    </w:p>
    <w:p>
      <w:pPr>
        <w:pStyle w:val="Heading2"/>
      </w:pPr>
      <w:r>
        <w:t>4.1. Phương pháp ước lượng vị trí BCG</w:t>
      </w:r>
    </w:p>
    <w:p>
      <w:pPr>
        <w:spacing w:after="120" w:line="360" w:lineRule="auto"/>
        <w:ind w:firstLine="720"/>
        <w:jc w:val="both"/>
      </w:pPr>
      <w:r>
        <w:rPr>
          <w:rFonts w:ascii="Times New Roman" w:hAnsi="Times New Roman"/>
          <w:b w:val="0"/>
          <w:sz w:val="26"/>
        </w:rPr>
        <w:t>Do DCMvn là doanh nghiệp vừa hoạt động trong thị trường ngách (BIM outsource cho Trung Âu), dữ liệu thị phần và tăng trưởng không được công bố chi tiết theo từng phân khúc. Bài tiểu luận sử dụng phương pháp ước lượng bán định lượng (semi-quantitative), kết hợp: (a) dữ liệu ngành từ báo cáo Allied Market Research (2024) và McKinsey (2020); (b) thông tin nội bộ về cơ cấu nhân sự và danh mục dự án từ dcmvn.com; và (c) so sánh tương đối với các đối thủ BIM outsource cùng khu vực. Thang đánh giá: thị phần tương đối chia thành 5 bậc (Rất thấp / Thấp / Trung bình / Cao / Rất cao) với mốc phân chia BCG tại "Trung bình"; tăng trưởng thị trường ước lượng theo % CAGR với mốc 10%.</w:t>
      </w:r>
    </w:p>
    <w:p>
      <w:pPr>
        <w:spacing w:after="120" w:line="360" w:lineRule="auto"/>
        <w:ind w:firstLine="720"/>
        <w:jc w:val="both"/>
      </w:pPr>
      <w:r>
        <w:rPr>
          <w:rFonts w:ascii="Times New Roman" w:hAnsi="Times New Roman"/>
          <w:b w:val="0"/>
          <w:sz w:val="26"/>
        </w:rPr>
        <w:t>Riêng về thị phần tương đối (Relative Market Share — RMS), bài tiểu luận áp dụng công thức gốc của Henderson (1970): RMS = Thị phần của SBU ÷ Thị phần của đối thủ cạnh tranh lớn nhất. Do không có dữ liệu doanh thu công khai theo từng phân khúc dịch vụ, việc ước lượng sử dụng ba chỉ báo gián tiếp (proxy): (i) số lượng nhân sự chuyên trách — phản ánh năng lực sản xuất tương đối; (ii) quy mô và số lượng dự án đã hoàn thành — phản ánh uy tín và thâm nhập thị trường; và (iii) mức độ chuẩn hóa quy trình — phản ánh hiệu ứng đường kinh nghiệm (Stern &amp; Stalk, 1998). Chẳng hạn, SBU 1 có 45+ kỹ sư MEP chuyên trách và danh mục 6+ dự án lớn tại Trung Âu; so sánh với đối thủ outsource lớn nhất cùng khu vực (ước tính 30–35 kỹ sư MEP dựa trên thông tin tuyển dụng công khai), hệ số RMS được suy ra vào khoảng 1.2–1.5×.</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B2A3D" w:val="clear"/>
          </w:tcPr>
          <w:p>
            <w:pPr>
              <w:jc w:val="center"/>
            </w:pPr>
            <w:r/>
            <w:r>
              <w:rPr>
                <w:rFonts w:ascii="Times New Roman" w:hAnsi="Times New Roman"/>
                <w:b/>
                <w:color w:val="FFFFFF"/>
                <w:sz w:val="22"/>
              </w:rPr>
              <w:t>SBU</w:t>
            </w:r>
          </w:p>
        </w:tc>
        <w:tc>
          <w:tcPr>
            <w:tcW w:type="dxa" w:w="1512"/>
            <w:shd w:fill="1B2A3D" w:val="clear"/>
          </w:tcPr>
          <w:p>
            <w:pPr>
              <w:jc w:val="center"/>
            </w:pPr>
            <w:r/>
            <w:r>
              <w:rPr>
                <w:rFonts w:ascii="Times New Roman" w:hAnsi="Times New Roman"/>
                <w:b/>
                <w:color w:val="FFFFFF"/>
                <w:sz w:val="22"/>
              </w:rPr>
              <w:t>Thị phần tương đối</w:t>
            </w:r>
          </w:p>
        </w:tc>
        <w:tc>
          <w:tcPr>
            <w:tcW w:type="dxa" w:w="1512"/>
            <w:shd w:fill="1B2A3D" w:val="clear"/>
          </w:tcPr>
          <w:p>
            <w:pPr>
              <w:jc w:val="center"/>
            </w:pPr>
            <w:r/>
            <w:r>
              <w:rPr>
                <w:rFonts w:ascii="Times New Roman" w:hAnsi="Times New Roman"/>
                <w:b/>
                <w:color w:val="FFFFFF"/>
                <w:sz w:val="22"/>
              </w:rPr>
              <w:t>Căn cứ thị phần</w:t>
            </w:r>
          </w:p>
        </w:tc>
        <w:tc>
          <w:tcPr>
            <w:tcW w:type="dxa" w:w="1512"/>
            <w:shd w:fill="1B2A3D" w:val="clear"/>
          </w:tcPr>
          <w:p>
            <w:pPr>
              <w:jc w:val="center"/>
            </w:pPr>
            <w:r/>
            <w:r>
              <w:rPr>
                <w:rFonts w:ascii="Times New Roman" w:hAnsi="Times New Roman"/>
                <w:b/>
                <w:color w:val="FFFFFF"/>
                <w:sz w:val="22"/>
              </w:rPr>
              <w:t>Tăng trưởng (CAGR)</w:t>
            </w:r>
          </w:p>
        </w:tc>
        <w:tc>
          <w:tcPr>
            <w:tcW w:type="dxa" w:w="1512"/>
            <w:shd w:fill="1B2A3D" w:val="clear"/>
          </w:tcPr>
          <w:p>
            <w:pPr>
              <w:jc w:val="center"/>
            </w:pPr>
            <w:r/>
            <w:r>
              <w:rPr>
                <w:rFonts w:ascii="Times New Roman" w:hAnsi="Times New Roman"/>
                <w:b/>
                <w:color w:val="FFFFFF"/>
                <w:sz w:val="22"/>
              </w:rPr>
              <w:t>Căn cứ tăng trưởng</w:t>
            </w:r>
          </w:p>
        </w:tc>
        <w:tc>
          <w:tcPr>
            <w:tcW w:type="dxa" w:w="1512"/>
            <w:shd w:fill="1B2A3D" w:val="clear"/>
          </w:tcPr>
          <w:p>
            <w:pPr>
              <w:jc w:val="center"/>
            </w:pPr>
            <w:r/>
            <w:r>
              <w:rPr>
                <w:rFonts w:ascii="Times New Roman" w:hAnsi="Times New Roman"/>
                <w:b/>
                <w:color w:val="FFFFFF"/>
                <w:sz w:val="22"/>
              </w:rPr>
              <w:t>Kết luận BCG</w:t>
            </w:r>
          </w:p>
        </w:tc>
      </w:tr>
      <w:tr>
        <w:tc>
          <w:tcPr>
            <w:tcW w:type="dxa" w:w="1512"/>
          </w:tcPr>
          <w:p>
            <w:pPr>
              <w:jc w:val="left"/>
            </w:pPr>
            <w:r/>
            <w:r>
              <w:rPr>
                <w:rFonts w:ascii="Times New Roman" w:hAnsi="Times New Roman"/>
                <w:sz w:val="22"/>
              </w:rPr>
              <w:t>SBU 1 — MEP 3D</w:t>
            </w:r>
          </w:p>
        </w:tc>
        <w:tc>
          <w:tcPr>
            <w:tcW w:type="dxa" w:w="1512"/>
          </w:tcPr>
          <w:p>
            <w:pPr>
              <w:jc w:val="left"/>
            </w:pPr>
            <w:r/>
            <w:r>
              <w:rPr>
                <w:rFonts w:ascii="Times New Roman" w:hAnsi="Times New Roman"/>
                <w:sz w:val="22"/>
              </w:rPr>
              <w:t>Cao (~1.2–1.5×)</w:t>
            </w:r>
          </w:p>
        </w:tc>
        <w:tc>
          <w:tcPr>
            <w:tcW w:type="dxa" w:w="1512"/>
          </w:tcPr>
          <w:p>
            <w:pPr>
              <w:jc w:val="left"/>
            </w:pPr>
            <w:r/>
            <w:r>
              <w:rPr>
                <w:rFonts w:ascii="Times New Roman" w:hAnsi="Times New Roman"/>
                <w:sz w:val="22"/>
              </w:rPr>
              <w:t>80% nhân sự; 608.000 m²; 6+ dự án lớn; quy trình chuẩn từ tập đoàn mẹ</w:t>
            </w:r>
          </w:p>
        </w:tc>
        <w:tc>
          <w:tcPr>
            <w:tcW w:type="dxa" w:w="1512"/>
          </w:tcPr>
          <w:p>
            <w:pPr>
              <w:jc w:val="left"/>
            </w:pPr>
            <w:r/>
            <w:r>
              <w:rPr>
                <w:rFonts w:ascii="Times New Roman" w:hAnsi="Times New Roman"/>
                <w:sz w:val="22"/>
              </w:rPr>
              <w:t>5–8%</w:t>
            </w:r>
          </w:p>
        </w:tc>
        <w:tc>
          <w:tcPr>
            <w:tcW w:type="dxa" w:w="1512"/>
          </w:tcPr>
          <w:p>
            <w:pPr>
              <w:jc w:val="left"/>
            </w:pPr>
            <w:r/>
            <w:r>
              <w:rPr>
                <w:rFonts w:ascii="Times New Roman" w:hAnsi="Times New Roman"/>
                <w:sz w:val="22"/>
              </w:rPr>
              <w:t>BIM MEP tại EU đã phổ cập; nhu cầu ổn định (Allied MR, 2024)</w:t>
            </w:r>
          </w:p>
        </w:tc>
        <w:tc>
          <w:tcPr>
            <w:tcW w:type="dxa" w:w="1512"/>
          </w:tcPr>
          <w:p>
            <w:pPr>
              <w:jc w:val="left"/>
            </w:pPr>
            <w:r/>
            <w:r>
              <w:rPr>
                <w:rFonts w:ascii="Times New Roman" w:hAnsi="Times New Roman"/>
                <w:sz w:val="22"/>
              </w:rPr>
              <w:t>Có thể xếp vào ô Bò sữa</w:t>
            </w:r>
          </w:p>
        </w:tc>
      </w:tr>
      <w:tr>
        <w:tc>
          <w:tcPr>
            <w:tcW w:type="dxa" w:w="1512"/>
            <w:shd w:fill="F0F2F5" w:val="clear"/>
          </w:tcPr>
          <w:p>
            <w:pPr>
              <w:jc w:val="left"/>
            </w:pPr>
            <w:r/>
            <w:r>
              <w:rPr>
                <w:rFonts w:ascii="Times New Roman" w:hAnsi="Times New Roman"/>
                <w:sz w:val="22"/>
              </w:rPr>
              <w:t>SBU 2 — Kiến trúc</w:t>
            </w:r>
          </w:p>
        </w:tc>
        <w:tc>
          <w:tcPr>
            <w:tcW w:type="dxa" w:w="1512"/>
            <w:shd w:fill="F0F2F5" w:val="clear"/>
          </w:tcPr>
          <w:p>
            <w:pPr>
              <w:jc w:val="left"/>
            </w:pPr>
            <w:r/>
            <w:r>
              <w:rPr>
                <w:rFonts w:ascii="Times New Roman" w:hAnsi="Times New Roman"/>
                <w:sz w:val="22"/>
              </w:rPr>
              <w:t>Trung bình–Cao (~0.8–1.0×)</w:t>
            </w:r>
          </w:p>
        </w:tc>
        <w:tc>
          <w:tcPr>
            <w:tcW w:type="dxa" w:w="1512"/>
            <w:shd w:fill="F0F2F5" w:val="clear"/>
          </w:tcPr>
          <w:p>
            <w:pPr>
              <w:jc w:val="left"/>
            </w:pPr>
            <w:r/>
            <w:r>
              <w:rPr>
                <w:rFonts w:ascii="Times New Roman" w:hAnsi="Times New Roman"/>
                <w:sz w:val="22"/>
              </w:rPr>
              <w:t>Mới mở rộng từ MEP; tận dụng quy trình và nhân sự có sẵn</w:t>
            </w:r>
          </w:p>
        </w:tc>
        <w:tc>
          <w:tcPr>
            <w:tcW w:type="dxa" w:w="1512"/>
            <w:shd w:fill="F0F2F5" w:val="clear"/>
          </w:tcPr>
          <w:p>
            <w:pPr>
              <w:jc w:val="left"/>
            </w:pPr>
            <w:r/>
            <w:r>
              <w:rPr>
                <w:rFonts w:ascii="Times New Roman" w:hAnsi="Times New Roman"/>
                <w:sz w:val="22"/>
              </w:rPr>
              <w:t>12–18%</w:t>
            </w:r>
          </w:p>
        </w:tc>
        <w:tc>
          <w:tcPr>
            <w:tcW w:type="dxa" w:w="1512"/>
            <w:shd w:fill="F0F2F5" w:val="clear"/>
          </w:tcPr>
          <w:p>
            <w:pPr>
              <w:jc w:val="left"/>
            </w:pPr>
            <w:r/>
            <w:r>
              <w:rPr>
                <w:rFonts w:ascii="Times New Roman" w:hAnsi="Times New Roman"/>
                <w:sz w:val="22"/>
              </w:rPr>
              <w:t>BIM kiến trúc tăng nhanh; quy định bắt buộc mở rộng (McKinsey, 2020)</w:t>
            </w:r>
          </w:p>
        </w:tc>
        <w:tc>
          <w:tcPr>
            <w:tcW w:type="dxa" w:w="1512"/>
            <w:shd w:fill="F0F2F5" w:val="clear"/>
          </w:tcPr>
          <w:p>
            <w:pPr>
              <w:jc w:val="left"/>
            </w:pPr>
            <w:r/>
            <w:r>
              <w:rPr>
                <w:rFonts w:ascii="Times New Roman" w:hAnsi="Times New Roman"/>
                <w:sz w:val="22"/>
              </w:rPr>
              <w:t>Ước lượng thuộc ô Ngôi sao</w:t>
            </w:r>
          </w:p>
        </w:tc>
      </w:tr>
      <w:tr>
        <w:tc>
          <w:tcPr>
            <w:tcW w:type="dxa" w:w="1512"/>
          </w:tcPr>
          <w:p>
            <w:pPr>
              <w:jc w:val="left"/>
            </w:pPr>
            <w:r/>
            <w:r>
              <w:rPr>
                <w:rFonts w:ascii="Times New Roman" w:hAnsi="Times New Roman"/>
                <w:sz w:val="22"/>
              </w:rPr>
              <w:t>SBU 3 — Phối hợp</w:t>
            </w:r>
          </w:p>
        </w:tc>
        <w:tc>
          <w:tcPr>
            <w:tcW w:type="dxa" w:w="1512"/>
          </w:tcPr>
          <w:p>
            <w:pPr>
              <w:jc w:val="left"/>
            </w:pPr>
            <w:r/>
            <w:r>
              <w:rPr>
                <w:rFonts w:ascii="Times New Roman" w:hAnsi="Times New Roman"/>
                <w:sz w:val="22"/>
              </w:rPr>
              <w:t>Cao (~1.3–1.5×)</w:t>
            </w:r>
          </w:p>
        </w:tc>
        <w:tc>
          <w:tcPr>
            <w:tcW w:type="dxa" w:w="1512"/>
          </w:tcPr>
          <w:p>
            <w:pPr>
              <w:jc w:val="left"/>
            </w:pPr>
            <w:r/>
            <w:r>
              <w:rPr>
                <w:rFonts w:ascii="Times New Roman" w:hAnsi="Times New Roman"/>
                <w:sz w:val="22"/>
              </w:rPr>
              <w:t>Năng lực 7 ngành đồng thời; dự án Überseequartier (14 tòa nhà)</w:t>
            </w:r>
          </w:p>
        </w:tc>
        <w:tc>
          <w:tcPr>
            <w:tcW w:type="dxa" w:w="1512"/>
          </w:tcPr>
          <w:p>
            <w:pPr>
              <w:jc w:val="left"/>
            </w:pPr>
            <w:r/>
            <w:r>
              <w:rPr>
                <w:rFonts w:ascii="Times New Roman" w:hAnsi="Times New Roman"/>
                <w:sz w:val="22"/>
              </w:rPr>
              <w:t>15–20%</w:t>
            </w:r>
          </w:p>
        </w:tc>
        <w:tc>
          <w:tcPr>
            <w:tcW w:type="dxa" w:w="1512"/>
          </w:tcPr>
          <w:p>
            <w:pPr>
              <w:jc w:val="left"/>
            </w:pPr>
            <w:r/>
            <w:r>
              <w:rPr>
                <w:rFonts w:ascii="Times New Roman" w:hAnsi="Times New Roman"/>
                <w:sz w:val="22"/>
              </w:rPr>
              <w:t>Dự án phức hợp tăng mạnh; nhu cầu phối hợp BIM liên ngành</w:t>
            </w:r>
          </w:p>
        </w:tc>
        <w:tc>
          <w:tcPr>
            <w:tcW w:type="dxa" w:w="1512"/>
          </w:tcPr>
          <w:p>
            <w:pPr>
              <w:jc w:val="left"/>
            </w:pPr>
            <w:r/>
            <w:r>
              <w:rPr>
                <w:rFonts w:ascii="Times New Roman" w:hAnsi="Times New Roman"/>
                <w:sz w:val="22"/>
              </w:rPr>
              <w:t>Ước lượng thuộc ô Ngôi sao</w:t>
            </w:r>
          </w:p>
        </w:tc>
      </w:tr>
      <w:tr>
        <w:tc>
          <w:tcPr>
            <w:tcW w:type="dxa" w:w="1512"/>
            <w:shd w:fill="F0F2F5" w:val="clear"/>
          </w:tcPr>
          <w:p>
            <w:pPr>
              <w:jc w:val="left"/>
            </w:pPr>
            <w:r/>
            <w:r>
              <w:rPr>
                <w:rFonts w:ascii="Times New Roman" w:hAnsi="Times New Roman"/>
                <w:sz w:val="22"/>
              </w:rPr>
              <w:t>SBU 4 — Scan/Số hóa</w:t>
            </w:r>
          </w:p>
        </w:tc>
        <w:tc>
          <w:tcPr>
            <w:tcW w:type="dxa" w:w="1512"/>
            <w:shd w:fill="F0F2F5" w:val="clear"/>
          </w:tcPr>
          <w:p>
            <w:pPr>
              <w:jc w:val="left"/>
            </w:pPr>
            <w:r/>
            <w:r>
              <w:rPr>
                <w:rFonts w:ascii="Times New Roman" w:hAnsi="Times New Roman"/>
                <w:sz w:val="22"/>
              </w:rPr>
              <w:t>Thấp (~0.3–0.5×)</w:t>
            </w:r>
          </w:p>
        </w:tc>
        <w:tc>
          <w:tcPr>
            <w:tcW w:type="dxa" w:w="1512"/>
            <w:shd w:fill="F0F2F5" w:val="clear"/>
          </w:tcPr>
          <w:p>
            <w:pPr>
              <w:jc w:val="left"/>
            </w:pPr>
            <w:r/>
            <w:r>
              <w:rPr>
                <w:rFonts w:ascii="Times New Roman" w:hAnsi="Times New Roman"/>
                <w:sz w:val="22"/>
              </w:rPr>
              <w:t>Đội Kỹ thuật số ~5 người; dịch vụ mới triển khai</w:t>
            </w:r>
          </w:p>
        </w:tc>
        <w:tc>
          <w:tcPr>
            <w:tcW w:type="dxa" w:w="1512"/>
            <w:shd w:fill="F0F2F5" w:val="clear"/>
          </w:tcPr>
          <w:p>
            <w:pPr>
              <w:jc w:val="left"/>
            </w:pPr>
            <w:r/>
            <w:r>
              <w:rPr>
                <w:rFonts w:ascii="Times New Roman" w:hAnsi="Times New Roman"/>
                <w:sz w:val="22"/>
              </w:rPr>
              <w:t>20–25%</w:t>
            </w:r>
          </w:p>
        </w:tc>
        <w:tc>
          <w:tcPr>
            <w:tcW w:type="dxa" w:w="1512"/>
            <w:shd w:fill="F0F2F5" w:val="clear"/>
          </w:tcPr>
          <w:p>
            <w:pPr>
              <w:jc w:val="left"/>
            </w:pPr>
            <w:r/>
            <w:r>
              <w:rPr>
                <w:rFonts w:ascii="Times New Roman" w:hAnsi="Times New Roman"/>
                <w:sz w:val="22"/>
              </w:rPr>
              <w:t>Chuyển đổi số EU tăng rất nhanh; European Green Deal (Allied MR, 2024)</w:t>
            </w:r>
          </w:p>
        </w:tc>
        <w:tc>
          <w:tcPr>
            <w:tcW w:type="dxa" w:w="1512"/>
            <w:shd w:fill="F0F2F5" w:val="clear"/>
          </w:tcPr>
          <w:p>
            <w:pPr>
              <w:jc w:val="left"/>
            </w:pPr>
            <w:r/>
            <w:r>
              <w:rPr>
                <w:rFonts w:ascii="Times New Roman" w:hAnsi="Times New Roman"/>
                <w:sz w:val="22"/>
              </w:rPr>
              <w:t>Có thể xếp vào ô Dấu hỏi</w:t>
            </w:r>
          </w:p>
        </w:tc>
      </w:tr>
      <w:tr>
        <w:tc>
          <w:tcPr>
            <w:tcW w:type="dxa" w:w="1512"/>
          </w:tcPr>
          <w:p>
            <w:pPr>
              <w:jc w:val="left"/>
            </w:pPr>
            <w:r/>
            <w:r>
              <w:rPr>
                <w:rFonts w:ascii="Times New Roman" w:hAnsi="Times New Roman"/>
                <w:sz w:val="22"/>
              </w:rPr>
              <w:t>SBU 5 — 2D &amp; Hỗ trợ</w:t>
            </w:r>
          </w:p>
        </w:tc>
        <w:tc>
          <w:tcPr>
            <w:tcW w:type="dxa" w:w="1512"/>
          </w:tcPr>
          <w:p>
            <w:pPr>
              <w:jc w:val="left"/>
            </w:pPr>
            <w:r/>
            <w:r>
              <w:rPr>
                <w:rFonts w:ascii="Times New Roman" w:hAnsi="Times New Roman"/>
                <w:sz w:val="22"/>
              </w:rPr>
              <w:t>Thấp (~0.4–0.6×)</w:t>
            </w:r>
          </w:p>
        </w:tc>
        <w:tc>
          <w:tcPr>
            <w:tcW w:type="dxa" w:w="1512"/>
          </w:tcPr>
          <w:p>
            <w:pPr>
              <w:jc w:val="left"/>
            </w:pPr>
            <w:r/>
            <w:r>
              <w:rPr>
                <w:rFonts w:ascii="Times New Roman" w:hAnsi="Times New Roman"/>
                <w:sz w:val="22"/>
              </w:rPr>
              <w:t>Dịch vụ routine; nhiều đối thủ tương đương; không khác biệt hóa</w:t>
            </w:r>
          </w:p>
        </w:tc>
        <w:tc>
          <w:tcPr>
            <w:tcW w:type="dxa" w:w="1512"/>
          </w:tcPr>
          <w:p>
            <w:pPr>
              <w:jc w:val="left"/>
            </w:pPr>
            <w:r/>
            <w:r>
              <w:rPr>
                <w:rFonts w:ascii="Times New Roman" w:hAnsi="Times New Roman"/>
                <w:sz w:val="22"/>
              </w:rPr>
              <w:t>–2% đến 3%</w:t>
            </w:r>
          </w:p>
        </w:tc>
        <w:tc>
          <w:tcPr>
            <w:tcW w:type="dxa" w:w="1512"/>
          </w:tcPr>
          <w:p>
            <w:pPr>
              <w:jc w:val="left"/>
            </w:pPr>
            <w:r/>
            <w:r>
              <w:rPr>
                <w:rFonts w:ascii="Times New Roman" w:hAnsi="Times New Roman"/>
                <w:sz w:val="22"/>
              </w:rPr>
              <w:t>Bản vẽ 2D bị thay thế bởi BIM native; BOQ tự động hóa</w:t>
            </w:r>
          </w:p>
        </w:tc>
        <w:tc>
          <w:tcPr>
            <w:tcW w:type="dxa" w:w="1512"/>
          </w:tcPr>
          <w:p>
            <w:pPr>
              <w:jc w:val="left"/>
            </w:pPr>
            <w:r/>
            <w:r>
              <w:rPr>
                <w:rFonts w:ascii="Times New Roman" w:hAnsi="Times New Roman"/>
                <w:sz w:val="22"/>
              </w:rPr>
              <w:t>Ước lượng thuộc ô Con chó</w:t>
            </w:r>
          </w:p>
        </w:tc>
      </w:tr>
    </w:tbl>
    <w:p>
      <w:pPr>
        <w:spacing w:before="80" w:after="240"/>
        <w:jc w:val="center"/>
      </w:pPr>
      <w:r>
        <w:rPr>
          <w:rFonts w:ascii="Times New Roman" w:hAnsi="Times New Roman"/>
          <w:i/>
          <w:sz w:val="22"/>
        </w:rPr>
        <w:t>Bảng 5: Phương pháp ước lượng vị trí BCG cho từng SBU</w:t>
      </w:r>
    </w:p>
    <w:p>
      <w:pPr>
        <w:pStyle w:val="Heading2"/>
      </w:pPr>
      <w:r>
        <w:t>4.2. Thể hiện các SBU trên ma trận BCG</w:t>
      </w:r>
    </w:p>
    <w:p>
      <w:pPr>
        <w:spacing w:after="120" w:line="360" w:lineRule="auto"/>
        <w:ind w:firstLine="720"/>
        <w:jc w:val="both"/>
      </w:pPr>
      <w:r>
        <w:rPr>
          <w:rFonts w:ascii="Times New Roman" w:hAnsi="Times New Roman"/>
          <w:b w:val="0"/>
          <w:sz w:val="26"/>
        </w:rPr>
        <w:t>Hình 4 thể hiện vị trí của 5 SBU trên ma trận BCG. Kích thước và hình dạng mỗi điểm phản ánh tương đối quy mô doanh thu/nhân sự của SBU trong danh mục kinh doanh tổng thể. Các SBU sử dụng marker khác nhau để phân biệt rõ ràng khi in đen trắng.</w:t>
      </w:r>
    </w:p>
    <w:p>
      <w:pPr>
        <w:spacing w:before="120" w:after="80"/>
        <w:jc w:val="center"/>
      </w:pPr>
      <w:r>
        <w:drawing>
          <wp:inline xmlns:a="http://schemas.openxmlformats.org/drawingml/2006/main" xmlns:pic="http://schemas.openxmlformats.org/drawingml/2006/picture">
            <wp:extent cx="5029200" cy="4466637"/>
            <wp:docPr id="4" name="Picture 4"/>
            <wp:cNvGraphicFramePr>
              <a:graphicFrameLocks noChangeAspect="1"/>
            </wp:cNvGraphicFramePr>
            <a:graphic>
              <a:graphicData uri="http://schemas.openxmlformats.org/drawingml/2006/picture">
                <pic:pic>
                  <pic:nvPicPr>
                    <pic:cNvPr id="0" name="_bcg_dcmvn.png"/>
                    <pic:cNvPicPr/>
                  </pic:nvPicPr>
                  <pic:blipFill>
                    <a:blip r:embed="rId12"/>
                    <a:stretch>
                      <a:fillRect/>
                    </a:stretch>
                  </pic:blipFill>
                  <pic:spPr>
                    <a:xfrm>
                      <a:off x="0" y="0"/>
                      <a:ext cx="5029200" cy="4466637"/>
                    </a:xfrm>
                    <a:prstGeom prst="rect"/>
                  </pic:spPr>
                </pic:pic>
              </a:graphicData>
            </a:graphic>
          </wp:inline>
        </w:drawing>
      </w:r>
    </w:p>
    <w:p>
      <w:pPr>
        <w:spacing w:before="80" w:after="240"/>
        <w:jc w:val="center"/>
      </w:pPr>
      <w:r>
        <w:rPr>
          <w:rFonts w:ascii="Times New Roman" w:hAnsi="Times New Roman"/>
          <w:i/>
          <w:sz w:val="22"/>
        </w:rPr>
        <w:t>Hình 4: Ma trận BCG — DCMvn CO., Ltd (5 SBU)</w:t>
      </w:r>
    </w:p>
    <w:p>
      <w:pPr>
        <w:pStyle w:val="Heading2"/>
      </w:pPr>
      <w:r>
        <w:t>4.3. Chiến lược cho SBU 1 — Bò sữa: Duy trì (Hold)</w:t>
      </w:r>
    </w:p>
    <w:p>
      <w:pPr>
        <w:spacing w:after="120" w:line="360" w:lineRule="auto"/>
        <w:ind w:firstLine="720"/>
        <w:jc w:val="both"/>
      </w:pPr>
      <w:r>
        <w:rPr>
          <w:rFonts w:ascii="Times New Roman" w:hAnsi="Times New Roman"/>
          <w:b w:val="0"/>
          <w:sz w:val="26"/>
        </w:rPr>
        <w:t>Mục tiêu: Duy trì vị thế, tối ưu hiệu suất, bảo toàn dòng tiền để tài trợ cho SBU tăng trưởng.</w:t>
      </w:r>
    </w:p>
    <w:p>
      <w:pPr>
        <w:spacing w:after="120" w:line="360" w:lineRule="auto"/>
        <w:ind w:firstLine="720"/>
        <w:jc w:val="both"/>
      </w:pPr>
      <w:r>
        <w:rPr>
          <w:rFonts w:ascii="Times New Roman" w:hAnsi="Times New Roman"/>
          <w:b w:val="0"/>
          <w:sz w:val="26"/>
        </w:rPr>
        <w:t>Hành động: (1) Chuẩn hóa quy trình sâu hơn: giảm tỷ lệ rework từ ước tính 12–15% hiện tại xuống dưới 8% trong 12 tháng thông qua checklist kiểm tra chất lượng bắt buộc. (2) Automation: triển khai ít nhất 5 Revit script/plugin để tự động hóa tác vụ lặp, mục tiêu tăng throughput mỗi kỹ sư thêm 10–15% trong 6 tháng. (3) Duy trì chất lượng và quan hệ khách hàng EU — đạt tỷ lệ khách hàng quay lại ≥ 90%. (4) Phân bổ ít nhất 20% dòng tiền ròng từ SBU 1 làm ngân sách đầu tư cho SBU 2, 3 và 4.</w:t>
      </w:r>
    </w:p>
    <w:p>
      <w:pPr>
        <w:pStyle w:val="Heading2"/>
      </w:pPr>
      <w:r>
        <w:t>4.4. Chiến lược cho SBU 2 — Ngôi sao: Đầu tư (Build)</w:t>
      </w:r>
    </w:p>
    <w:p>
      <w:pPr>
        <w:spacing w:after="120" w:line="360" w:lineRule="auto"/>
        <w:ind w:firstLine="720"/>
        <w:jc w:val="both"/>
      </w:pPr>
      <w:r>
        <w:rPr>
          <w:rFonts w:ascii="Times New Roman" w:hAnsi="Times New Roman"/>
          <w:b w:val="0"/>
          <w:sz w:val="26"/>
        </w:rPr>
        <w:t>Mục tiêu: Mở rộng năng lực BIM kiến trúc, chiếm thị phần, trở thành trụ cột doanh thu thứ hai.</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B2A3D" w:val="clear"/>
          </w:tcPr>
          <w:p>
            <w:pPr>
              <w:jc w:val="center"/>
            </w:pPr>
            <w:r/>
            <w:r>
              <w:rPr>
                <w:rFonts w:ascii="Times New Roman" w:hAnsi="Times New Roman"/>
                <w:b/>
                <w:color w:val="FFFFFF"/>
                <w:sz w:val="22"/>
              </w:rPr>
              <w:t>Mốc thời gian</w:t>
            </w:r>
          </w:p>
        </w:tc>
        <w:tc>
          <w:tcPr>
            <w:tcW w:type="dxa" w:w="3024"/>
            <w:shd w:fill="1B2A3D" w:val="clear"/>
          </w:tcPr>
          <w:p>
            <w:pPr>
              <w:jc w:val="center"/>
            </w:pPr>
            <w:r/>
            <w:r>
              <w:rPr>
                <w:rFonts w:ascii="Times New Roman" w:hAnsi="Times New Roman"/>
                <w:b/>
                <w:color w:val="FFFFFF"/>
                <w:sz w:val="22"/>
              </w:rPr>
              <w:t>Hành động</w:t>
            </w:r>
          </w:p>
        </w:tc>
        <w:tc>
          <w:tcPr>
            <w:tcW w:type="dxa" w:w="3024"/>
            <w:shd w:fill="1B2A3D" w:val="clear"/>
          </w:tcPr>
          <w:p>
            <w:pPr>
              <w:jc w:val="center"/>
            </w:pPr>
            <w:r/>
            <w:r>
              <w:rPr>
                <w:rFonts w:ascii="Times New Roman" w:hAnsi="Times New Roman"/>
                <w:b/>
                <w:color w:val="FFFFFF"/>
                <w:sz w:val="22"/>
              </w:rPr>
              <w:t>KPI đo lường</w:t>
            </w:r>
          </w:p>
        </w:tc>
      </w:tr>
      <w:tr>
        <w:tc>
          <w:tcPr>
            <w:tcW w:type="dxa" w:w="3024"/>
          </w:tcPr>
          <w:p>
            <w:pPr>
              <w:jc w:val="left"/>
            </w:pPr>
            <w:r/>
            <w:r>
              <w:rPr>
                <w:rFonts w:ascii="Times New Roman" w:hAnsi="Times New Roman"/>
                <w:sz w:val="22"/>
              </w:rPr>
              <w:t>Q3/2026 (0–3 tháng)</w:t>
            </w:r>
          </w:p>
        </w:tc>
        <w:tc>
          <w:tcPr>
            <w:tcW w:type="dxa" w:w="3024"/>
          </w:tcPr>
          <w:p>
            <w:pPr>
              <w:jc w:val="left"/>
            </w:pPr>
            <w:r/>
            <w:r>
              <w:rPr>
                <w:rFonts w:ascii="Times New Roman" w:hAnsi="Times New Roman"/>
                <w:sz w:val="22"/>
              </w:rPr>
              <w:t>Chuyển 3–5 kỹ sư MEP Level 3 sang đào tạo chuyên sâu kiến trúc BIM</w:t>
            </w:r>
          </w:p>
        </w:tc>
        <w:tc>
          <w:tcPr>
            <w:tcW w:type="dxa" w:w="3024"/>
          </w:tcPr>
          <w:p>
            <w:pPr>
              <w:jc w:val="left"/>
            </w:pPr>
            <w:r/>
            <w:r>
              <w:rPr>
                <w:rFonts w:ascii="Times New Roman" w:hAnsi="Times New Roman"/>
                <w:sz w:val="22"/>
              </w:rPr>
              <w:t>Số kỹ sư hoàn thành đào tạo ≥ 3; chứng nhận Autodesk Revit Architecture</w:t>
            </w:r>
          </w:p>
        </w:tc>
      </w:tr>
      <w:tr>
        <w:tc>
          <w:tcPr>
            <w:tcW w:type="dxa" w:w="3024"/>
            <w:shd w:fill="F0F2F5" w:val="clear"/>
          </w:tcPr>
          <w:p>
            <w:pPr>
              <w:jc w:val="left"/>
            </w:pPr>
            <w:r/>
            <w:r>
              <w:rPr>
                <w:rFonts w:ascii="Times New Roman" w:hAnsi="Times New Roman"/>
                <w:sz w:val="22"/>
              </w:rPr>
              <w:t>Q4/2026 (3–6 tháng)</w:t>
            </w:r>
          </w:p>
        </w:tc>
        <w:tc>
          <w:tcPr>
            <w:tcW w:type="dxa" w:w="3024"/>
            <w:shd w:fill="F0F2F5" w:val="clear"/>
          </w:tcPr>
          <w:p>
            <w:pPr>
              <w:jc w:val="left"/>
            </w:pPr>
            <w:r/>
            <w:r>
              <w:rPr>
                <w:rFonts w:ascii="Times New Roman" w:hAnsi="Times New Roman"/>
                <w:sz w:val="22"/>
              </w:rPr>
              <w:t>Hoàn thiện bộ template BIM kiến trúc; nhận dự án pilot từ tập đoàn mẹ</w:t>
            </w:r>
          </w:p>
        </w:tc>
        <w:tc>
          <w:tcPr>
            <w:tcW w:type="dxa" w:w="3024"/>
            <w:shd w:fill="F0F2F5" w:val="clear"/>
          </w:tcPr>
          <w:p>
            <w:pPr>
              <w:jc w:val="left"/>
            </w:pPr>
            <w:r/>
            <w:r>
              <w:rPr>
                <w:rFonts w:ascii="Times New Roman" w:hAnsi="Times New Roman"/>
                <w:sz w:val="22"/>
              </w:rPr>
              <w:t>Template 100%; ≥ 1 dự án pilot</w:t>
            </w:r>
          </w:p>
        </w:tc>
      </w:tr>
      <w:tr>
        <w:tc>
          <w:tcPr>
            <w:tcW w:type="dxa" w:w="3024"/>
          </w:tcPr>
          <w:p>
            <w:pPr>
              <w:jc w:val="left"/>
            </w:pPr>
            <w:r/>
            <w:r>
              <w:rPr>
                <w:rFonts w:ascii="Times New Roman" w:hAnsi="Times New Roman"/>
                <w:sz w:val="22"/>
              </w:rPr>
              <w:t>Q2/2027 (6–12 tháng)</w:t>
            </w:r>
          </w:p>
        </w:tc>
        <w:tc>
          <w:tcPr>
            <w:tcW w:type="dxa" w:w="3024"/>
          </w:tcPr>
          <w:p>
            <w:pPr>
              <w:jc w:val="left"/>
            </w:pPr>
            <w:r/>
            <w:r>
              <w:rPr>
                <w:rFonts w:ascii="Times New Roman" w:hAnsi="Times New Roman"/>
                <w:sz w:val="22"/>
              </w:rPr>
              <w:t>Cross-selling cho 2–3 khách hàng hiện tại; xây dựng case study</w:t>
            </w:r>
          </w:p>
        </w:tc>
        <w:tc>
          <w:tcPr>
            <w:tcW w:type="dxa" w:w="3024"/>
          </w:tcPr>
          <w:p>
            <w:pPr>
              <w:jc w:val="left"/>
            </w:pPr>
            <w:r/>
            <w:r>
              <w:rPr>
                <w:rFonts w:ascii="Times New Roman" w:hAnsi="Times New Roman"/>
                <w:sz w:val="22"/>
              </w:rPr>
              <w:t>Tỷ trọng doanh thu kiến trúc ≥ 10%</w:t>
            </w:r>
          </w:p>
        </w:tc>
      </w:tr>
      <w:tr>
        <w:tc>
          <w:tcPr>
            <w:tcW w:type="dxa" w:w="3024"/>
            <w:shd w:fill="F0F2F5" w:val="clear"/>
          </w:tcPr>
          <w:p>
            <w:pPr>
              <w:jc w:val="left"/>
            </w:pPr>
            <w:r/>
            <w:r>
              <w:rPr>
                <w:rFonts w:ascii="Times New Roman" w:hAnsi="Times New Roman"/>
                <w:sz w:val="22"/>
              </w:rPr>
              <w:t>Q4/2027 (12–18 tháng)</w:t>
            </w:r>
          </w:p>
        </w:tc>
        <w:tc>
          <w:tcPr>
            <w:tcW w:type="dxa" w:w="3024"/>
            <w:shd w:fill="F0F2F5" w:val="clear"/>
          </w:tcPr>
          <w:p>
            <w:pPr>
              <w:jc w:val="left"/>
            </w:pPr>
            <w:r/>
            <w:r>
              <w:rPr>
                <w:rFonts w:ascii="Times New Roman" w:hAnsi="Times New Roman"/>
                <w:sz w:val="22"/>
              </w:rPr>
              <w:t>Mở rộng đội kiến trúc lên 8–10 người</w:t>
            </w:r>
          </w:p>
        </w:tc>
        <w:tc>
          <w:tcPr>
            <w:tcW w:type="dxa" w:w="3024"/>
            <w:shd w:fill="F0F2F5" w:val="clear"/>
          </w:tcPr>
          <w:p>
            <w:pPr>
              <w:jc w:val="left"/>
            </w:pPr>
            <w:r/>
            <w:r>
              <w:rPr>
                <w:rFonts w:ascii="Times New Roman" w:hAnsi="Times New Roman"/>
                <w:sz w:val="22"/>
              </w:rPr>
              <w:t>Headcount kiến trúc ≥ 8; DT ≥ 15%</w:t>
            </w:r>
          </w:p>
        </w:tc>
      </w:tr>
      <w:tr>
        <w:tc>
          <w:tcPr>
            <w:tcW w:type="dxa" w:w="3024"/>
          </w:tcPr>
          <w:p>
            <w:pPr>
              <w:jc w:val="left"/>
            </w:pPr>
            <w:r/>
            <w:r>
              <w:rPr>
                <w:rFonts w:ascii="Times New Roman" w:hAnsi="Times New Roman"/>
                <w:sz w:val="22"/>
              </w:rPr>
              <w:t>Q2/2028 (18–24 tháng)</w:t>
            </w:r>
          </w:p>
        </w:tc>
        <w:tc>
          <w:tcPr>
            <w:tcW w:type="dxa" w:w="3024"/>
          </w:tcPr>
          <w:p>
            <w:pPr>
              <w:jc w:val="left"/>
            </w:pPr>
            <w:r/>
            <w:r>
              <w:rPr>
                <w:rFonts w:ascii="Times New Roman" w:hAnsi="Times New Roman"/>
                <w:sz w:val="22"/>
              </w:rPr>
              <w:t>Đạt năng lực cung cấp BIM kiến trúc độc lập</w:t>
            </w:r>
          </w:p>
        </w:tc>
        <w:tc>
          <w:tcPr>
            <w:tcW w:type="dxa" w:w="3024"/>
          </w:tcPr>
          <w:p>
            <w:pPr>
              <w:jc w:val="left"/>
            </w:pPr>
            <w:r/>
            <w:r>
              <w:rPr>
                <w:rFonts w:ascii="Times New Roman" w:hAnsi="Times New Roman"/>
                <w:sz w:val="22"/>
              </w:rPr>
              <w:t>≥ 2 dự án thuần; biên LN ≥ 25%</w:t>
            </w:r>
          </w:p>
        </w:tc>
      </w:tr>
    </w:tbl>
    <w:p>
      <w:pPr>
        <w:spacing w:before="80" w:after="240"/>
        <w:jc w:val="center"/>
      </w:pPr>
      <w:r>
        <w:rPr>
          <w:rFonts w:ascii="Times New Roman" w:hAnsi="Times New Roman"/>
          <w:i/>
          <w:sz w:val="22"/>
        </w:rPr>
        <w:t>Bảng 6: Lộ trình chiến lược và KPI — SBU 2: BIM Kiến trúc</w:t>
      </w:r>
    </w:p>
    <w:p>
      <w:pPr>
        <w:pStyle w:val="Heading2"/>
      </w:pPr>
      <w:r>
        <w:t>4.5. Chiến lược cho SBU 3 — Ngôi sao: Đầu tư (Build)</w:t>
      </w:r>
    </w:p>
    <w:p>
      <w:pPr>
        <w:spacing w:after="120" w:line="360" w:lineRule="auto"/>
        <w:ind w:firstLine="720"/>
        <w:jc w:val="both"/>
      </w:pPr>
      <w:r>
        <w:rPr>
          <w:rFonts w:ascii="Times New Roman" w:hAnsi="Times New Roman"/>
          <w:b w:val="0"/>
          <w:sz w:val="26"/>
        </w:rPr>
        <w:t>Mục tiêu: Nâng cao giá trị dịch vụ, định vị DCMvn dẫn đầu về phối hợp đa ngành.</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B2A3D" w:val="clear"/>
          </w:tcPr>
          <w:p>
            <w:pPr>
              <w:jc w:val="center"/>
            </w:pPr>
            <w:r/>
            <w:r>
              <w:rPr>
                <w:rFonts w:ascii="Times New Roman" w:hAnsi="Times New Roman"/>
                <w:b/>
                <w:color w:val="FFFFFF"/>
                <w:sz w:val="22"/>
              </w:rPr>
              <w:t>Mốc thời gian</w:t>
            </w:r>
          </w:p>
        </w:tc>
        <w:tc>
          <w:tcPr>
            <w:tcW w:type="dxa" w:w="3024"/>
            <w:shd w:fill="1B2A3D" w:val="clear"/>
          </w:tcPr>
          <w:p>
            <w:pPr>
              <w:jc w:val="center"/>
            </w:pPr>
            <w:r/>
            <w:r>
              <w:rPr>
                <w:rFonts w:ascii="Times New Roman" w:hAnsi="Times New Roman"/>
                <w:b/>
                <w:color w:val="FFFFFF"/>
                <w:sz w:val="22"/>
              </w:rPr>
              <w:t>Hành động</w:t>
            </w:r>
          </w:p>
        </w:tc>
        <w:tc>
          <w:tcPr>
            <w:tcW w:type="dxa" w:w="3024"/>
            <w:shd w:fill="1B2A3D" w:val="clear"/>
          </w:tcPr>
          <w:p>
            <w:pPr>
              <w:jc w:val="center"/>
            </w:pPr>
            <w:r/>
            <w:r>
              <w:rPr>
                <w:rFonts w:ascii="Times New Roman" w:hAnsi="Times New Roman"/>
                <w:b/>
                <w:color w:val="FFFFFF"/>
                <w:sz w:val="22"/>
              </w:rPr>
              <w:t>KPI đo lường</w:t>
            </w:r>
          </w:p>
        </w:tc>
      </w:tr>
      <w:tr>
        <w:tc>
          <w:tcPr>
            <w:tcW w:type="dxa" w:w="3024"/>
          </w:tcPr>
          <w:p>
            <w:pPr>
              <w:jc w:val="left"/>
            </w:pPr>
            <w:r/>
            <w:r>
              <w:rPr>
                <w:rFonts w:ascii="Times New Roman" w:hAnsi="Times New Roman"/>
                <w:sz w:val="22"/>
              </w:rPr>
              <w:t>Q3/2026 (0–3 tháng)</w:t>
            </w:r>
          </w:p>
        </w:tc>
        <w:tc>
          <w:tcPr>
            <w:tcW w:type="dxa" w:w="3024"/>
          </w:tcPr>
          <w:p>
            <w:pPr>
              <w:jc w:val="left"/>
            </w:pPr>
            <w:r/>
            <w:r>
              <w:rPr>
                <w:rFonts w:ascii="Times New Roman" w:hAnsi="Times New Roman"/>
                <w:sz w:val="22"/>
              </w:rPr>
              <w:t>Xây dựng SOP phối hợp đa ngành; đào tạo 5 chuyên gia BIM coordination</w:t>
            </w:r>
          </w:p>
        </w:tc>
        <w:tc>
          <w:tcPr>
            <w:tcW w:type="dxa" w:w="3024"/>
          </w:tcPr>
          <w:p>
            <w:pPr>
              <w:jc w:val="left"/>
            </w:pPr>
            <w:r/>
            <w:r>
              <w:rPr>
                <w:rFonts w:ascii="Times New Roman" w:hAnsi="Times New Roman"/>
                <w:sz w:val="22"/>
              </w:rPr>
              <w:t>SOP hoàn thành; 5 người đạt chứng chỉ</w:t>
            </w:r>
          </w:p>
        </w:tc>
      </w:tr>
      <w:tr>
        <w:tc>
          <w:tcPr>
            <w:tcW w:type="dxa" w:w="3024"/>
            <w:shd w:fill="F0F2F5" w:val="clear"/>
          </w:tcPr>
          <w:p>
            <w:pPr>
              <w:jc w:val="left"/>
            </w:pPr>
            <w:r/>
            <w:r>
              <w:rPr>
                <w:rFonts w:ascii="Times New Roman" w:hAnsi="Times New Roman"/>
                <w:sz w:val="22"/>
              </w:rPr>
              <w:t>Q4/2026 (3–6 tháng)</w:t>
            </w:r>
          </w:p>
        </w:tc>
        <w:tc>
          <w:tcPr>
            <w:tcW w:type="dxa" w:w="3024"/>
            <w:shd w:fill="F0F2F5" w:val="clear"/>
          </w:tcPr>
          <w:p>
            <w:pPr>
              <w:jc w:val="left"/>
            </w:pPr>
            <w:r/>
            <w:r>
              <w:rPr>
                <w:rFonts w:ascii="Times New Roman" w:hAnsi="Times New Roman"/>
                <w:sz w:val="22"/>
              </w:rPr>
              <w:t>Triển khai Navisworks/Solibri nâng cao; tăng giá dịch vụ 10–15%</w:t>
            </w:r>
          </w:p>
        </w:tc>
        <w:tc>
          <w:tcPr>
            <w:tcW w:type="dxa" w:w="3024"/>
            <w:shd w:fill="F0F2F5" w:val="clear"/>
          </w:tcPr>
          <w:p>
            <w:pPr>
              <w:jc w:val="left"/>
            </w:pPr>
            <w:r/>
            <w:r>
              <w:rPr>
                <w:rFonts w:ascii="Times New Roman" w:hAnsi="Times New Roman"/>
                <w:sz w:val="22"/>
              </w:rPr>
              <w:t>Công cụ 100%; đơn giá mới áp dụng</w:t>
            </w:r>
          </w:p>
        </w:tc>
      </w:tr>
      <w:tr>
        <w:tc>
          <w:tcPr>
            <w:tcW w:type="dxa" w:w="3024"/>
          </w:tcPr>
          <w:p>
            <w:pPr>
              <w:jc w:val="left"/>
            </w:pPr>
            <w:r/>
            <w:r>
              <w:rPr>
                <w:rFonts w:ascii="Times New Roman" w:hAnsi="Times New Roman"/>
                <w:sz w:val="22"/>
              </w:rPr>
              <w:t>Q2/2027 (6–12 tháng)</w:t>
            </w:r>
          </w:p>
        </w:tc>
        <w:tc>
          <w:tcPr>
            <w:tcW w:type="dxa" w:w="3024"/>
          </w:tcPr>
          <w:p>
            <w:pPr>
              <w:jc w:val="left"/>
            </w:pPr>
            <w:r/>
            <w:r>
              <w:rPr>
                <w:rFonts w:ascii="Times New Roman" w:hAnsi="Times New Roman"/>
                <w:sz w:val="22"/>
              </w:rPr>
              <w:t>Mở rộng từ 7 lên 9 ngành phối hợp; publish case study</w:t>
            </w:r>
          </w:p>
        </w:tc>
        <w:tc>
          <w:tcPr>
            <w:tcW w:type="dxa" w:w="3024"/>
          </w:tcPr>
          <w:p>
            <w:pPr>
              <w:jc w:val="left"/>
            </w:pPr>
            <w:r/>
            <w:r>
              <w:rPr>
                <w:rFonts w:ascii="Times New Roman" w:hAnsi="Times New Roman"/>
                <w:sz w:val="22"/>
              </w:rPr>
              <w:t>≥ 9 ngành; ≥ 1 case study</w:t>
            </w:r>
          </w:p>
        </w:tc>
      </w:tr>
      <w:tr>
        <w:tc>
          <w:tcPr>
            <w:tcW w:type="dxa" w:w="3024"/>
            <w:shd w:fill="F0F2F5" w:val="clear"/>
          </w:tcPr>
          <w:p>
            <w:pPr>
              <w:jc w:val="left"/>
            </w:pPr>
            <w:r/>
            <w:r>
              <w:rPr>
                <w:rFonts w:ascii="Times New Roman" w:hAnsi="Times New Roman"/>
                <w:sz w:val="22"/>
              </w:rPr>
              <w:t>Q4/2027 (12–18 tháng)</w:t>
            </w:r>
          </w:p>
        </w:tc>
        <w:tc>
          <w:tcPr>
            <w:tcW w:type="dxa" w:w="3024"/>
            <w:shd w:fill="F0F2F5" w:val="clear"/>
          </w:tcPr>
          <w:p>
            <w:pPr>
              <w:jc w:val="left"/>
            </w:pPr>
            <w:r/>
            <w:r>
              <w:rPr>
                <w:rFonts w:ascii="Times New Roman" w:hAnsi="Times New Roman"/>
                <w:sz w:val="22"/>
              </w:rPr>
              <w:t>Đạt CSAT ≥ 95%; SBU 3 đóng góp ≥ 20% tổng DT</w:t>
            </w:r>
          </w:p>
        </w:tc>
        <w:tc>
          <w:tcPr>
            <w:tcW w:type="dxa" w:w="3024"/>
            <w:shd w:fill="F0F2F5" w:val="clear"/>
          </w:tcPr>
          <w:p>
            <w:pPr>
              <w:jc w:val="left"/>
            </w:pPr>
            <w:r/>
            <w:r>
              <w:rPr>
                <w:rFonts w:ascii="Times New Roman" w:hAnsi="Times New Roman"/>
                <w:sz w:val="22"/>
              </w:rPr>
              <w:t>CSAT ≥ 95%; DT ≥ 20%</w:t>
            </w:r>
          </w:p>
        </w:tc>
      </w:tr>
    </w:tbl>
    <w:p>
      <w:pPr>
        <w:spacing w:before="80" w:after="240"/>
        <w:jc w:val="center"/>
      </w:pPr>
      <w:r>
        <w:rPr>
          <w:rFonts w:ascii="Times New Roman" w:hAnsi="Times New Roman"/>
          <w:i/>
          <w:sz w:val="22"/>
        </w:rPr>
        <w:t>Bảng 7: Lộ trình chiến lược và KPI — SBU 3: Phối hợp đa ngành</w:t>
      </w:r>
    </w:p>
    <w:p>
      <w:pPr>
        <w:pStyle w:val="Heading2"/>
      </w:pPr>
      <w:r>
        <w:t>4.6. Chiến lược cho SBU 4 — Dấu hỏi: Đầu tư có chọn lọc</w:t>
      </w:r>
    </w:p>
    <w:p>
      <w:pPr>
        <w:spacing w:after="120" w:line="360" w:lineRule="auto"/>
        <w:ind w:firstLine="720"/>
        <w:jc w:val="both"/>
      </w:pPr>
      <w:r>
        <w:rPr>
          <w:rFonts w:ascii="Times New Roman" w:hAnsi="Times New Roman"/>
          <w:b w:val="0"/>
          <w:sz w:val="26"/>
        </w:rPr>
        <w:t>Mục tiêu: Tập trung vào Scan to BIM và tư vấn số hóa, đầu tư có kiểm soát, quyết định go/no-go sau 12 tháng.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B2A3D" w:val="clear"/>
          </w:tcPr>
          <w:p>
            <w:pPr>
              <w:jc w:val="center"/>
            </w:pPr>
            <w:r/>
            <w:r>
              <w:rPr>
                <w:rFonts w:ascii="Times New Roman" w:hAnsi="Times New Roman"/>
                <w:b/>
                <w:color w:val="FFFFFF"/>
                <w:sz w:val="22"/>
              </w:rPr>
              <w:t>Mốc thời gian</w:t>
            </w:r>
          </w:p>
        </w:tc>
        <w:tc>
          <w:tcPr>
            <w:tcW w:type="dxa" w:w="2268"/>
            <w:shd w:fill="1B2A3D" w:val="clear"/>
          </w:tcPr>
          <w:p>
            <w:pPr>
              <w:jc w:val="center"/>
            </w:pPr>
            <w:r/>
            <w:r>
              <w:rPr>
                <w:rFonts w:ascii="Times New Roman" w:hAnsi="Times New Roman"/>
                <w:b/>
                <w:color w:val="FFFFFF"/>
                <w:sz w:val="22"/>
              </w:rPr>
              <w:t>Hành động</w:t>
            </w:r>
          </w:p>
        </w:tc>
        <w:tc>
          <w:tcPr>
            <w:tcW w:type="dxa" w:w="2268"/>
            <w:shd w:fill="1B2A3D" w:val="clear"/>
          </w:tcPr>
          <w:p>
            <w:pPr>
              <w:jc w:val="center"/>
            </w:pPr>
            <w:r/>
            <w:r>
              <w:rPr>
                <w:rFonts w:ascii="Times New Roman" w:hAnsi="Times New Roman"/>
                <w:b/>
                <w:color w:val="FFFFFF"/>
                <w:sz w:val="22"/>
              </w:rPr>
              <w:t>KPI đo lường</w:t>
            </w:r>
          </w:p>
        </w:tc>
        <w:tc>
          <w:tcPr>
            <w:tcW w:type="dxa" w:w="2268"/>
            <w:shd w:fill="1B2A3D" w:val="clear"/>
          </w:tcPr>
          <w:p>
            <w:pPr>
              <w:jc w:val="center"/>
            </w:pPr>
            <w:r/>
            <w:r>
              <w:rPr>
                <w:rFonts w:ascii="Times New Roman" w:hAnsi="Times New Roman"/>
                <w:b/>
                <w:color w:val="FFFFFF"/>
                <w:sz w:val="22"/>
              </w:rPr>
              <w:t>Go/No-Go Gate</w:t>
            </w:r>
          </w:p>
        </w:tc>
      </w:tr>
      <w:tr>
        <w:tc>
          <w:tcPr>
            <w:tcW w:type="dxa" w:w="2268"/>
          </w:tcPr>
          <w:p>
            <w:pPr>
              <w:jc w:val="left"/>
            </w:pPr>
            <w:r/>
            <w:r>
              <w:rPr>
                <w:rFonts w:ascii="Times New Roman" w:hAnsi="Times New Roman"/>
                <w:sz w:val="22"/>
              </w:rPr>
              <w:t>Q3/2026 (0–3 tháng)</w:t>
            </w:r>
          </w:p>
        </w:tc>
        <w:tc>
          <w:tcPr>
            <w:tcW w:type="dxa" w:w="2268"/>
          </w:tcPr>
          <w:p>
            <w:pPr>
              <w:jc w:val="left"/>
            </w:pPr>
            <w:r/>
            <w:r>
              <w:rPr>
                <w:rFonts w:ascii="Times New Roman" w:hAnsi="Times New Roman"/>
                <w:sz w:val="22"/>
              </w:rPr>
              <w:t>Tuyển 3 nhân sự Scan to BIM + 1 chuyên gia tư vấn; đối tác LiDAR</w:t>
            </w:r>
          </w:p>
        </w:tc>
        <w:tc>
          <w:tcPr>
            <w:tcW w:type="dxa" w:w="2268"/>
          </w:tcPr>
          <w:p>
            <w:pPr>
              <w:jc w:val="left"/>
            </w:pPr>
            <w:r/>
            <w:r>
              <w:rPr>
                <w:rFonts w:ascii="Times New Roman" w:hAnsi="Times New Roman"/>
                <w:sz w:val="22"/>
              </w:rPr>
              <w:t>Headcount 9; ≥ 1 đối tác MOU</w:t>
            </w:r>
          </w:p>
        </w:tc>
        <w:tc>
          <w:tcPr>
            <w:tcW w:type="dxa" w:w="2268"/>
          </w:tcPr>
          <w:p>
            <w:pPr>
              <w:jc w:val="left"/>
            </w:pPr>
            <w:r/>
            <w:r>
              <w:rPr>
                <w:rFonts w:ascii="Times New Roman" w:hAnsi="Times New Roman"/>
                <w:sz w:val="22"/>
              </w:rPr>
              <w:t>—</w:t>
            </w:r>
          </w:p>
        </w:tc>
      </w:tr>
      <w:tr>
        <w:tc>
          <w:tcPr>
            <w:tcW w:type="dxa" w:w="2268"/>
            <w:shd w:fill="F0F2F5" w:val="clear"/>
          </w:tcPr>
          <w:p>
            <w:pPr>
              <w:jc w:val="left"/>
            </w:pPr>
            <w:r/>
            <w:r>
              <w:rPr>
                <w:rFonts w:ascii="Times New Roman" w:hAnsi="Times New Roman"/>
                <w:sz w:val="22"/>
              </w:rPr>
              <w:t>Q4/2026 (3–6 tháng)</w:t>
            </w:r>
          </w:p>
        </w:tc>
        <w:tc>
          <w:tcPr>
            <w:tcW w:type="dxa" w:w="2268"/>
            <w:shd w:fill="F0F2F5" w:val="clear"/>
          </w:tcPr>
          <w:p>
            <w:pPr>
              <w:jc w:val="left"/>
            </w:pPr>
            <w:r/>
            <w:r>
              <w:rPr>
                <w:rFonts w:ascii="Times New Roman" w:hAnsi="Times New Roman"/>
                <w:sz w:val="22"/>
              </w:rPr>
              <w:t>Hoàn thành 2 dự án pilot (1 EU + 1 VN); xây dựng bộ giá</w:t>
            </w:r>
          </w:p>
        </w:tc>
        <w:tc>
          <w:tcPr>
            <w:tcW w:type="dxa" w:w="2268"/>
            <w:shd w:fill="F0F2F5" w:val="clear"/>
          </w:tcPr>
          <w:p>
            <w:pPr>
              <w:jc w:val="left"/>
            </w:pPr>
            <w:r/>
            <w:r>
              <w:rPr>
                <w:rFonts w:ascii="Times New Roman" w:hAnsi="Times New Roman"/>
                <w:sz w:val="22"/>
              </w:rPr>
              <w:t>≥ 2 pilot; bộ giá ban hành</w:t>
            </w:r>
          </w:p>
        </w:tc>
        <w:tc>
          <w:tcPr>
            <w:tcW w:type="dxa" w:w="2268"/>
            <w:shd w:fill="F0F2F5" w:val="clear"/>
          </w:tcPr>
          <w:p>
            <w:pPr>
              <w:jc w:val="left"/>
            </w:pPr>
            <w:r/>
            <w:r>
              <w:rPr>
                <w:rFonts w:ascii="Times New Roman" w:hAnsi="Times New Roman"/>
                <w:sz w:val="22"/>
              </w:rPr>
              <w:t>—</w:t>
            </w:r>
          </w:p>
        </w:tc>
      </w:tr>
      <w:tr>
        <w:tc>
          <w:tcPr>
            <w:tcW w:type="dxa" w:w="2268"/>
          </w:tcPr>
          <w:p>
            <w:pPr>
              <w:jc w:val="left"/>
            </w:pPr>
            <w:r/>
            <w:r>
              <w:rPr>
                <w:rFonts w:ascii="Times New Roman" w:hAnsi="Times New Roman"/>
                <w:sz w:val="22"/>
              </w:rPr>
              <w:t>Q2/2027 (6–12 tháng)</w:t>
            </w:r>
          </w:p>
        </w:tc>
        <w:tc>
          <w:tcPr>
            <w:tcW w:type="dxa" w:w="2268"/>
          </w:tcPr>
          <w:p>
            <w:pPr>
              <w:jc w:val="left"/>
            </w:pPr>
            <w:r/>
            <w:r>
              <w:rPr>
                <w:rFonts w:ascii="Times New Roman" w:hAnsi="Times New Roman"/>
                <w:sz w:val="22"/>
              </w:rPr>
              <w:t>Nhắm thị trường VN; doanh thu đủ bù chi phí</w:t>
            </w:r>
          </w:p>
        </w:tc>
        <w:tc>
          <w:tcPr>
            <w:tcW w:type="dxa" w:w="2268"/>
          </w:tcPr>
          <w:p>
            <w:pPr>
              <w:jc w:val="left"/>
            </w:pPr>
            <w:r/>
            <w:r>
              <w:rPr>
                <w:rFonts w:ascii="Times New Roman" w:hAnsi="Times New Roman"/>
                <w:sz w:val="22"/>
              </w:rPr>
              <w:t>DT ≥ 70% chi phí; ≥ 3 khách mới</w:t>
            </w:r>
          </w:p>
        </w:tc>
        <w:tc>
          <w:tcPr>
            <w:tcW w:type="dxa" w:w="2268"/>
          </w:tcPr>
          <w:p>
            <w:pPr>
              <w:jc w:val="left"/>
            </w:pPr>
            <w:r/>
            <w:r>
              <w:rPr>
                <w:rFonts w:ascii="Times New Roman" w:hAnsi="Times New Roman"/>
                <w:sz w:val="22"/>
              </w:rPr>
              <w:t>GATE 1: ≥70% → tiếp tục</w:t>
            </w:r>
          </w:p>
        </w:tc>
      </w:tr>
      <w:tr>
        <w:tc>
          <w:tcPr>
            <w:tcW w:type="dxa" w:w="2268"/>
            <w:shd w:fill="F0F2F5" w:val="clear"/>
          </w:tcPr>
          <w:p>
            <w:pPr>
              <w:jc w:val="left"/>
            </w:pPr>
            <w:r/>
            <w:r>
              <w:rPr>
                <w:rFonts w:ascii="Times New Roman" w:hAnsi="Times New Roman"/>
                <w:sz w:val="22"/>
              </w:rPr>
              <w:t>Q4/2027 (12–18 tháng)</w:t>
            </w:r>
          </w:p>
        </w:tc>
        <w:tc>
          <w:tcPr>
            <w:tcW w:type="dxa" w:w="2268"/>
            <w:shd w:fill="F0F2F5" w:val="clear"/>
          </w:tcPr>
          <w:p>
            <w:pPr>
              <w:jc w:val="left"/>
            </w:pPr>
            <w:r/>
            <w:r>
              <w:rPr>
                <w:rFonts w:ascii="Times New Roman" w:hAnsi="Times New Roman"/>
                <w:sz w:val="22"/>
              </w:rPr>
              <w:t>Mở rộng lên 12–15 người (nếu qua Gate 1)</w:t>
            </w:r>
          </w:p>
        </w:tc>
        <w:tc>
          <w:tcPr>
            <w:tcW w:type="dxa" w:w="2268"/>
            <w:shd w:fill="F0F2F5" w:val="clear"/>
          </w:tcPr>
          <w:p>
            <w:pPr>
              <w:jc w:val="left"/>
            </w:pPr>
            <w:r/>
            <w:r>
              <w:rPr>
                <w:rFonts w:ascii="Times New Roman" w:hAnsi="Times New Roman"/>
                <w:sz w:val="22"/>
              </w:rPr>
              <w:t>Headcount 12–15</w:t>
            </w:r>
          </w:p>
        </w:tc>
        <w:tc>
          <w:tcPr>
            <w:tcW w:type="dxa" w:w="2268"/>
            <w:shd w:fill="F0F2F5" w:val="clear"/>
          </w:tcPr>
          <w:p>
            <w:pPr>
              <w:jc w:val="left"/>
            </w:pPr>
            <w:r/>
            <w:r>
              <w:rPr>
                <w:rFonts w:ascii="Times New Roman" w:hAnsi="Times New Roman"/>
                <w:sz w:val="22"/>
              </w:rPr>
              <w:t>GATE 2: Biên LN ≥ 15%</w:t>
            </w:r>
          </w:p>
        </w:tc>
      </w:tr>
      <w:tr>
        <w:tc>
          <w:tcPr>
            <w:tcW w:type="dxa" w:w="2268"/>
          </w:tcPr>
          <w:p>
            <w:pPr>
              <w:jc w:val="left"/>
            </w:pPr>
            <w:r/>
            <w:r>
              <w:rPr>
                <w:rFonts w:ascii="Times New Roman" w:hAnsi="Times New Roman"/>
                <w:sz w:val="22"/>
              </w:rPr>
              <w:t>Q2/2028 (18–24 tháng)</w:t>
            </w:r>
          </w:p>
        </w:tc>
        <w:tc>
          <w:tcPr>
            <w:tcW w:type="dxa" w:w="2268"/>
          </w:tcPr>
          <w:p>
            <w:pPr>
              <w:jc w:val="left"/>
            </w:pPr>
            <w:r/>
            <w:r>
              <w:rPr>
                <w:rFonts w:ascii="Times New Roman" w:hAnsi="Times New Roman"/>
                <w:sz w:val="22"/>
              </w:rPr>
              <w:t>Đánh giá tách SBU 4 thành 2 đơn vị riêng</w:t>
            </w:r>
          </w:p>
        </w:tc>
        <w:tc>
          <w:tcPr>
            <w:tcW w:type="dxa" w:w="2268"/>
          </w:tcPr>
          <w:p>
            <w:pPr>
              <w:jc w:val="left"/>
            </w:pPr>
            <w:r/>
            <w:r>
              <w:rPr>
                <w:rFonts w:ascii="Times New Roman" w:hAnsi="Times New Roman"/>
                <w:sz w:val="22"/>
              </w:rPr>
              <w:t>Quyết định tách/giữ; DT ≥ 8%</w:t>
            </w:r>
          </w:p>
        </w:tc>
        <w:tc>
          <w:tcPr>
            <w:tcW w:type="dxa" w:w="2268"/>
          </w:tcPr>
          <w:p>
            <w:pPr>
              <w:jc w:val="left"/>
            </w:pPr>
            <w:r/>
            <w:r>
              <w:rPr>
                <w:rFonts w:ascii="Times New Roman" w:hAnsi="Times New Roman"/>
                <w:sz w:val="22"/>
              </w:rPr>
              <w:t>—</w:t>
            </w:r>
          </w:p>
        </w:tc>
      </w:tr>
    </w:tbl>
    <w:p>
      <w:pPr>
        <w:spacing w:before="80" w:after="240"/>
        <w:jc w:val="center"/>
      </w:pPr>
      <w:r>
        <w:rPr>
          <w:rFonts w:ascii="Times New Roman" w:hAnsi="Times New Roman"/>
          <w:i/>
          <w:sz w:val="22"/>
        </w:rPr>
        <w:t>Bảng 8: Lộ trình chiến lược và KPI — SBU 4: Scan to BIM &amp; Số hóa</w:t>
      </w:r>
    </w:p>
    <w:p>
      <w:pPr>
        <w:pStyle w:val="Heading2"/>
      </w:pPr>
      <w:r>
        <w:t>4.7. Chiến lược cho SBU 5 — Con chó: Thu hoạch &amp; Chuyển đổi</w:t>
      </w:r>
    </w:p>
    <w:p>
      <w:pPr>
        <w:spacing w:after="120" w:line="360" w:lineRule="auto"/>
        <w:ind w:firstLine="720"/>
        <w:jc w:val="both"/>
      </w:pPr>
      <w:r>
        <w:rPr>
          <w:rFonts w:ascii="Times New Roman" w:hAnsi="Times New Roman"/>
          <w:b w:val="0"/>
          <w:sz w:val="26"/>
        </w:rPr>
        <w:t>Mục tiêu: Không đầu tư mở rộng, thu hoạch doanh thu còn lại, chuyển nguồn lực sang SBU khác.</w:t>
      </w:r>
    </w:p>
    <w:p>
      <w:pPr>
        <w:spacing w:after="120" w:line="360" w:lineRule="auto"/>
        <w:ind w:firstLine="720"/>
        <w:jc w:val="both"/>
      </w:pPr>
      <w:r>
        <w:rPr>
          <w:rFonts w:ascii="Times New Roman" w:hAnsi="Times New Roman"/>
          <w:b w:val="0"/>
          <w:sz w:val="26"/>
        </w:rPr>
        <w:t>Hành động theo lộ trình: Q3–Q4/2026 — Không tuyển thêm nhân sự cho 2D; tích hợp BOQ vào quy trình SBU 1 (plugin tự động xuất BOQ từ mô hình 3D). Q1/2027 — Chuyển nhân sự Content Creation sang đào tạo BIM kiến trúc (SBU 2) hoặc Scan to BIM (SBU 4). Q2–Q4/2027 — Giải phóng headcount khi nhu cầu 2D giảm tự nhiên; SBU 5 chỉ duy trì với 1–2 nhân sự kiêm nhiệm. KPI: Giảm headcount SBU 5 từ hiện tại xuống ≤ 2 người trong 12 tháng; 100% tác vụ BOQ được tự động hóa.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B2A3D" w:val="clear"/>
          </w:tcPr>
          <w:p>
            <w:pPr>
              <w:jc w:val="center"/>
            </w:pPr>
            <w:r/>
            <w:r>
              <w:rPr>
                <w:rFonts w:ascii="Times New Roman" w:hAnsi="Times New Roman"/>
                <w:b/>
                <w:color w:val="FFFFFF"/>
                <w:sz w:val="22"/>
              </w:rPr>
              <w:t>SBU</w:t>
            </w:r>
          </w:p>
        </w:tc>
        <w:tc>
          <w:tcPr>
            <w:tcW w:type="dxa" w:w="2268"/>
            <w:shd w:fill="1B2A3D" w:val="clear"/>
          </w:tcPr>
          <w:p>
            <w:pPr>
              <w:jc w:val="center"/>
            </w:pPr>
            <w:r/>
            <w:r>
              <w:rPr>
                <w:rFonts w:ascii="Times New Roman" w:hAnsi="Times New Roman"/>
                <w:b/>
                <w:color w:val="FFFFFF"/>
                <w:sz w:val="22"/>
              </w:rPr>
              <w:t>Vị trí BCG</w:t>
            </w:r>
          </w:p>
        </w:tc>
        <w:tc>
          <w:tcPr>
            <w:tcW w:type="dxa" w:w="2268"/>
            <w:shd w:fill="1B2A3D" w:val="clear"/>
          </w:tcPr>
          <w:p>
            <w:pPr>
              <w:jc w:val="center"/>
            </w:pPr>
            <w:r/>
            <w:r>
              <w:rPr>
                <w:rFonts w:ascii="Times New Roman" w:hAnsi="Times New Roman"/>
                <w:b/>
                <w:color w:val="FFFFFF"/>
                <w:sz w:val="22"/>
              </w:rPr>
              <w:t>Chiến lược</w:t>
            </w:r>
          </w:p>
        </w:tc>
        <w:tc>
          <w:tcPr>
            <w:tcW w:type="dxa" w:w="2268"/>
            <w:shd w:fill="1B2A3D" w:val="clear"/>
          </w:tcPr>
          <w:p>
            <w:pPr>
              <w:jc w:val="center"/>
            </w:pPr>
            <w:r/>
            <w:r>
              <w:rPr>
                <w:rFonts w:ascii="Times New Roman" w:hAnsi="Times New Roman"/>
                <w:b/>
                <w:color w:val="FFFFFF"/>
                <w:sz w:val="22"/>
              </w:rPr>
              <w:t>KPI trọng yếu (12 tháng)</w:t>
            </w:r>
          </w:p>
        </w:tc>
      </w:tr>
      <w:tr>
        <w:tc>
          <w:tcPr>
            <w:tcW w:type="dxa" w:w="2268"/>
          </w:tcPr>
          <w:p>
            <w:pPr>
              <w:jc w:val="left"/>
            </w:pPr>
            <w:r/>
            <w:r>
              <w:rPr>
                <w:rFonts w:ascii="Times New Roman" w:hAnsi="Times New Roman"/>
                <w:sz w:val="22"/>
              </w:rPr>
              <w:t>SBU 1 — MEP</w:t>
            </w:r>
          </w:p>
        </w:tc>
        <w:tc>
          <w:tcPr>
            <w:tcW w:type="dxa" w:w="2268"/>
          </w:tcPr>
          <w:p>
            <w:pPr>
              <w:jc w:val="left"/>
            </w:pPr>
            <w:r/>
            <w:r>
              <w:rPr>
                <w:rFonts w:ascii="Times New Roman" w:hAnsi="Times New Roman"/>
                <w:sz w:val="22"/>
              </w:rPr>
              <w:t>Bò sữa</w:t>
            </w:r>
          </w:p>
        </w:tc>
        <w:tc>
          <w:tcPr>
            <w:tcW w:type="dxa" w:w="2268"/>
          </w:tcPr>
          <w:p>
            <w:pPr>
              <w:jc w:val="left"/>
            </w:pPr>
            <w:r/>
            <w:r>
              <w:rPr>
                <w:rFonts w:ascii="Times New Roman" w:hAnsi="Times New Roman"/>
                <w:sz w:val="22"/>
              </w:rPr>
              <w:t>Duy trì (Hold)</w:t>
            </w:r>
          </w:p>
        </w:tc>
        <w:tc>
          <w:tcPr>
            <w:tcW w:type="dxa" w:w="2268"/>
          </w:tcPr>
          <w:p>
            <w:pPr>
              <w:jc w:val="left"/>
            </w:pPr>
            <w:r/>
            <w:r>
              <w:rPr>
                <w:rFonts w:ascii="Times New Roman" w:hAnsi="Times New Roman"/>
                <w:sz w:val="22"/>
              </w:rPr>
              <w:t>Rework &lt; 8%; throughput +10–15%; tái đầu tư ≥ 20% dòng tiền</w:t>
            </w:r>
          </w:p>
        </w:tc>
      </w:tr>
      <w:tr>
        <w:tc>
          <w:tcPr>
            <w:tcW w:type="dxa" w:w="2268"/>
            <w:shd w:fill="F0F2F5" w:val="clear"/>
          </w:tcPr>
          <w:p>
            <w:pPr>
              <w:jc w:val="left"/>
            </w:pPr>
            <w:r/>
            <w:r>
              <w:rPr>
                <w:rFonts w:ascii="Times New Roman" w:hAnsi="Times New Roman"/>
                <w:sz w:val="22"/>
              </w:rPr>
              <w:t>SBU 2 — Kiến trúc</w:t>
            </w:r>
          </w:p>
        </w:tc>
        <w:tc>
          <w:tcPr>
            <w:tcW w:type="dxa" w:w="2268"/>
            <w:shd w:fill="F0F2F5" w:val="clear"/>
          </w:tcPr>
          <w:p>
            <w:pPr>
              <w:jc w:val="left"/>
            </w:pPr>
            <w:r/>
            <w:r>
              <w:rPr>
                <w:rFonts w:ascii="Times New Roman" w:hAnsi="Times New Roman"/>
                <w:sz w:val="22"/>
              </w:rPr>
              <w:t>Ngôi sao</w:t>
            </w:r>
          </w:p>
        </w:tc>
        <w:tc>
          <w:tcPr>
            <w:tcW w:type="dxa" w:w="2268"/>
            <w:shd w:fill="F0F2F5" w:val="clear"/>
          </w:tcPr>
          <w:p>
            <w:pPr>
              <w:jc w:val="left"/>
            </w:pPr>
            <w:r/>
            <w:r>
              <w:rPr>
                <w:rFonts w:ascii="Times New Roman" w:hAnsi="Times New Roman"/>
                <w:sz w:val="22"/>
              </w:rPr>
              <w:t>Đầu tư (Build)</w:t>
            </w:r>
          </w:p>
        </w:tc>
        <w:tc>
          <w:tcPr>
            <w:tcW w:type="dxa" w:w="2268"/>
            <w:shd w:fill="F0F2F5" w:val="clear"/>
          </w:tcPr>
          <w:p>
            <w:pPr>
              <w:jc w:val="left"/>
            </w:pPr>
            <w:r/>
            <w:r>
              <w:rPr>
                <w:rFonts w:ascii="Times New Roman" w:hAnsi="Times New Roman"/>
                <w:sz w:val="22"/>
              </w:rPr>
              <w:t>Tỷ trọng DT ≥ 10%; headcount ≥ 8; ≥ 1 dự án pilot</w:t>
            </w:r>
          </w:p>
        </w:tc>
      </w:tr>
      <w:tr>
        <w:tc>
          <w:tcPr>
            <w:tcW w:type="dxa" w:w="2268"/>
          </w:tcPr>
          <w:p>
            <w:pPr>
              <w:jc w:val="left"/>
            </w:pPr>
            <w:r/>
            <w:r>
              <w:rPr>
                <w:rFonts w:ascii="Times New Roman" w:hAnsi="Times New Roman"/>
                <w:sz w:val="22"/>
              </w:rPr>
              <w:t>SBU 3 — Phối hợp</w:t>
            </w:r>
          </w:p>
        </w:tc>
        <w:tc>
          <w:tcPr>
            <w:tcW w:type="dxa" w:w="2268"/>
          </w:tcPr>
          <w:p>
            <w:pPr>
              <w:jc w:val="left"/>
            </w:pPr>
            <w:r/>
            <w:r>
              <w:rPr>
                <w:rFonts w:ascii="Times New Roman" w:hAnsi="Times New Roman"/>
                <w:sz w:val="22"/>
              </w:rPr>
              <w:t>Ngôi sao</w:t>
            </w:r>
          </w:p>
        </w:tc>
        <w:tc>
          <w:tcPr>
            <w:tcW w:type="dxa" w:w="2268"/>
          </w:tcPr>
          <w:p>
            <w:pPr>
              <w:jc w:val="left"/>
            </w:pPr>
            <w:r/>
            <w:r>
              <w:rPr>
                <w:rFonts w:ascii="Times New Roman" w:hAnsi="Times New Roman"/>
                <w:sz w:val="22"/>
              </w:rPr>
              <w:t>Đầu tư (Build)</w:t>
            </w:r>
          </w:p>
        </w:tc>
        <w:tc>
          <w:tcPr>
            <w:tcW w:type="dxa" w:w="2268"/>
          </w:tcPr>
          <w:p>
            <w:pPr>
              <w:jc w:val="left"/>
            </w:pPr>
            <w:r/>
            <w:r>
              <w:rPr>
                <w:rFonts w:ascii="Times New Roman" w:hAnsi="Times New Roman"/>
                <w:sz w:val="22"/>
              </w:rPr>
              <w:t>Tỷ trọng DT ≥ 20%; đơn giá +10–15%; CSAT ≥ 95%</w:t>
            </w:r>
          </w:p>
        </w:tc>
      </w:tr>
      <w:tr>
        <w:tc>
          <w:tcPr>
            <w:tcW w:type="dxa" w:w="2268"/>
            <w:shd w:fill="F0F2F5" w:val="clear"/>
          </w:tcPr>
          <w:p>
            <w:pPr>
              <w:jc w:val="left"/>
            </w:pPr>
            <w:r/>
            <w:r>
              <w:rPr>
                <w:rFonts w:ascii="Times New Roman" w:hAnsi="Times New Roman"/>
                <w:sz w:val="22"/>
              </w:rPr>
              <w:t>SBU 4 — Scan/Số hóa</w:t>
            </w:r>
          </w:p>
        </w:tc>
        <w:tc>
          <w:tcPr>
            <w:tcW w:type="dxa" w:w="2268"/>
            <w:shd w:fill="F0F2F5" w:val="clear"/>
          </w:tcPr>
          <w:p>
            <w:pPr>
              <w:jc w:val="left"/>
            </w:pPr>
            <w:r/>
            <w:r>
              <w:rPr>
                <w:rFonts w:ascii="Times New Roman" w:hAnsi="Times New Roman"/>
                <w:sz w:val="22"/>
              </w:rPr>
              <w:t>Dấu hỏi</w:t>
            </w:r>
          </w:p>
        </w:tc>
        <w:tc>
          <w:tcPr>
            <w:tcW w:type="dxa" w:w="2268"/>
            <w:shd w:fill="F0F2F5" w:val="clear"/>
          </w:tcPr>
          <w:p>
            <w:pPr>
              <w:jc w:val="left"/>
            </w:pPr>
            <w:r/>
            <w:r>
              <w:rPr>
                <w:rFonts w:ascii="Times New Roman" w:hAnsi="Times New Roman"/>
                <w:sz w:val="22"/>
              </w:rPr>
              <w:t>Đầu tư chọn lọc</w:t>
            </w:r>
          </w:p>
        </w:tc>
        <w:tc>
          <w:tcPr>
            <w:tcW w:type="dxa" w:w="2268"/>
            <w:shd w:fill="F0F2F5" w:val="clear"/>
          </w:tcPr>
          <w:p>
            <w:pPr>
              <w:jc w:val="left"/>
            </w:pPr>
            <w:r/>
            <w:r>
              <w:rPr>
                <w:rFonts w:ascii="Times New Roman" w:hAnsi="Times New Roman"/>
                <w:sz w:val="22"/>
              </w:rPr>
              <w:t>DT ≥ 70% chi phí; headcount 9–15; ≥ 3 khách mới</w:t>
            </w:r>
          </w:p>
        </w:tc>
      </w:tr>
      <w:tr>
        <w:tc>
          <w:tcPr>
            <w:tcW w:type="dxa" w:w="2268"/>
          </w:tcPr>
          <w:p>
            <w:pPr>
              <w:jc w:val="left"/>
            </w:pPr>
            <w:r/>
            <w:r>
              <w:rPr>
                <w:rFonts w:ascii="Times New Roman" w:hAnsi="Times New Roman"/>
                <w:sz w:val="22"/>
              </w:rPr>
              <w:t>SBU 5 — 2D &amp; Hỗ trợ</w:t>
            </w:r>
          </w:p>
        </w:tc>
        <w:tc>
          <w:tcPr>
            <w:tcW w:type="dxa" w:w="2268"/>
          </w:tcPr>
          <w:p>
            <w:pPr>
              <w:jc w:val="left"/>
            </w:pPr>
            <w:r/>
            <w:r>
              <w:rPr>
                <w:rFonts w:ascii="Times New Roman" w:hAnsi="Times New Roman"/>
                <w:sz w:val="22"/>
              </w:rPr>
              <w:t>Con chó</w:t>
            </w:r>
          </w:p>
        </w:tc>
        <w:tc>
          <w:tcPr>
            <w:tcW w:type="dxa" w:w="2268"/>
          </w:tcPr>
          <w:p>
            <w:pPr>
              <w:jc w:val="left"/>
            </w:pPr>
            <w:r/>
            <w:r>
              <w:rPr>
                <w:rFonts w:ascii="Times New Roman" w:hAnsi="Times New Roman"/>
                <w:sz w:val="22"/>
              </w:rPr>
              <w:t>Thu hoạch</w:t>
            </w:r>
          </w:p>
        </w:tc>
        <w:tc>
          <w:tcPr>
            <w:tcW w:type="dxa" w:w="2268"/>
          </w:tcPr>
          <w:p>
            <w:pPr>
              <w:jc w:val="left"/>
            </w:pPr>
            <w:r/>
            <w:r>
              <w:rPr>
                <w:rFonts w:ascii="Times New Roman" w:hAnsi="Times New Roman"/>
                <w:sz w:val="22"/>
              </w:rPr>
              <w:t>Headcount ≤ 2; BOQ tự động 100%</w:t>
            </w:r>
          </w:p>
        </w:tc>
      </w:tr>
    </w:tbl>
    <w:p>
      <w:pPr>
        <w:spacing w:before="80" w:after="240"/>
        <w:jc w:val="center"/>
      </w:pPr>
      <w:r>
        <w:rPr>
          <w:rFonts w:ascii="Times New Roman" w:hAnsi="Times New Roman"/>
          <w:i/>
          <w:sz w:val="22"/>
        </w:rPr>
        <w:t>Bảng 9: Tổng hợp vị trí BCG và chiến lược đề xuất cho từng SBU</w:t>
      </w:r>
    </w:p>
    <w:p>
      <w:r>
        <w:br w:type="page"/>
      </w:r>
    </w:p>
    <w:p>
      <w:pPr>
        <w:pStyle w:val="Heading1"/>
      </w:pPr>
      <w:r>
        <w:t>KẾT LUẬN</w:t>
      </w:r>
    </w:p>
    <w:p>
      <w:pPr>
        <w:spacing w:after="120" w:line="360" w:lineRule="auto"/>
        <w:ind w:firstLine="720"/>
        <w:jc w:val="both"/>
      </w:pPr>
      <w:r>
        <w:rPr>
          <w:rFonts w:ascii="Times New Roman" w:hAnsi="Times New Roman"/>
          <w:b w:val="0"/>
          <w:sz w:val="26"/>
        </w:rPr>
        <w:t>Bài tiểu luận đã phân tích danh mục kinh doanh của Công ty TNHH DCMvn thông qua ma trận BCG. Từ 9 dịch vụ, bài viết xác định 5 SBU dựa trên bốn tiêu chí (năng lực cốt lõi, phân khúc khách hàng, dòng doanh thu và chu kỳ sống), phân bố vào cả bốn ô của ma trận: SBU 1 (MEP 3D) có thể được xếp vào ô Bò sữa — nguồn tạo dòng tiền ổn định; SBU 2 (Kiến trúc BIM) và SBU 3 (Phối hợp đa ngành) được ước lượng thuộc ô Ngôi sao với tiềm năng tăng trưởng cao; SBU 4 (Scan to BIM &amp; Số hóa) có thể được xếp vào ô Dấu hỏi — tiềm năng nhưng chưa rõ tương lai; và SBU 5 (2D &amp; Hỗ trợ) được ước lượng thuộc ô Con chó, cần chiến lược thu hoạch.</w:t>
      </w:r>
    </w:p>
    <w:p>
      <w:pPr>
        <w:spacing w:after="120" w:line="360" w:lineRule="auto"/>
        <w:ind w:firstLine="720"/>
        <w:jc w:val="both"/>
      </w:pPr>
      <w:r>
        <w:rPr>
          <w:rFonts w:ascii="Times New Roman" w:hAnsi="Times New Roman"/>
          <w:b w:val="0"/>
          <w:sz w:val="26"/>
        </w:rPr>
        <w:t>Phương pháp ước lượng bán định lượng — kết hợp dữ liệu ngành (Allied Market Research, McKinsey), thông tin nội bộ (cơ cấu nhân sự, danh mục dự án) và so sánh đối thủ — cho phép định vị các SBU một cách có căn cứ dù không có số liệu tài chính chi tiết.</w:t>
      </w:r>
    </w:p>
    <w:p>
      <w:pPr>
        <w:spacing w:after="120" w:line="360" w:lineRule="auto"/>
        <w:ind w:firstLine="720"/>
        <w:jc w:val="both"/>
      </w:pPr>
      <w:r>
        <w:rPr>
          <w:rFonts w:ascii="Times New Roman" w:hAnsi="Times New Roman"/>
          <w:b w:val="0"/>
          <w:sz w:val="26"/>
        </w:rPr>
        <w:t>Khuyến nghị quản trị với lộ trình cụ thể: (1) Bảo toàn hiệu suất SBU 1 — nguồn nuôi dưỡng toàn bộ công ty, giảm rework xuống &lt; 8%, tăng throughput 10–15%. (2) Đầu tư mạnh cho SBU 2 (mục tiêu 15% doanh thu trong 18 tháng) và SBU 3 (tăng giá 10–15%, mở rộng năng lực 9 ngành). (3) Đầu tư có kiểm soát cho SBU 4 với cơ chế Go/No-Go Gate rõ ràng — doanh thu ≥ 70% chi phí sau 12 tháng mới tiếp tục mở rộng. (4) Thu hoạch SBU 5 và chuyển nhân sự sang SBU 2, 4. Với đội ngũ Gen Z năng động và khả năng học hỏi nhanh, việc chuyển dịch kỹ năng giữa các SBU hoàn toàn khả thi.</w:t>
      </w:r>
    </w:p>
    <w:p>
      <w:pPr>
        <w:spacing w:after="120" w:line="360" w:lineRule="auto"/>
        <w:ind w:firstLine="720"/>
        <w:jc w:val="both"/>
      </w:pPr>
      <w:r>
        <w:rPr>
          <w:rFonts w:ascii="Times New Roman" w:hAnsi="Times New Roman"/>
          <w:b w:val="0"/>
          <w:sz w:val="26"/>
        </w:rPr>
        <w:t>Hạn chế: Do tính bảo mật, số liệu doanh thu và thị phần cụ thể được ước lượng định tính dựa trên cơ cấu nhân sự, thông tin công khai và xu hướng ngành. Hướng phát triển: áp dụng phân tích định lượng nếu có dữ liệu nội bộ, hoặc kết hợp ma trận GE-McKinsey (9 ô) để phân tích đa chiều hơn.</w:t>
      </w:r>
    </w:p>
    <w:p>
      <w:r>
        <w:br w:type="page"/>
      </w:r>
    </w:p>
    <w:p>
      <w:pPr>
        <w:pStyle w:val="Heading1"/>
      </w:pPr>
      <w:r>
        <w:t>TÀI LIỆU THAM KHẢO</w:t>
      </w:r>
    </w:p>
    <w:p>
      <w:pPr>
        <w:pStyle w:val="Heading2"/>
      </w:pPr>
      <w:r>
        <w:t>Giáo trình và sách tham khảo</w:t>
      </w:r>
    </w:p>
    <w:p>
      <w:pPr>
        <w:spacing w:after="80" w:line="360" w:lineRule="auto"/>
        <w:jc w:val="both"/>
      </w:pPr>
      <w:r>
        <w:rPr>
          <w:rFonts w:ascii="Times New Roman" w:hAnsi="Times New Roman"/>
          <w:b w:val="0"/>
          <w:sz w:val="26"/>
        </w:rPr>
        <w:t>1. Phạm Thị Thùy Duyên (2024). Bài giảng Quản trị học. Trường Đại học Quy Nhơn.</w:t>
      </w:r>
    </w:p>
    <w:p>
      <w:pPr>
        <w:spacing w:after="80" w:line="360" w:lineRule="auto"/>
        <w:jc w:val="both"/>
      </w:pPr>
      <w:r>
        <w:rPr>
          <w:rFonts w:ascii="Times New Roman" w:hAnsi="Times New Roman"/>
          <w:b w:val="0"/>
          <w:sz w:val="26"/>
        </w:rPr>
        <w:t>2. Nguyễn Hải Sản (2012). Quản trị học. NXB Thống kê.</w:t>
      </w:r>
    </w:p>
    <w:p>
      <w:pPr>
        <w:spacing w:after="80" w:line="360" w:lineRule="auto"/>
        <w:jc w:val="both"/>
      </w:pPr>
      <w:r>
        <w:rPr>
          <w:rFonts w:ascii="Times New Roman" w:hAnsi="Times New Roman"/>
          <w:b w:val="0"/>
          <w:sz w:val="26"/>
        </w:rPr>
        <w:t>3. Henderson, B. D. (1970). The Product Portfolio. Boston: Boston Consulting Group.</w:t>
      </w:r>
    </w:p>
    <w:p>
      <w:pPr>
        <w:spacing w:after="80" w:line="360" w:lineRule="auto"/>
        <w:jc w:val="both"/>
      </w:pPr>
      <w:r>
        <w:rPr>
          <w:rFonts w:ascii="Times New Roman" w:hAnsi="Times New Roman"/>
          <w:b w:val="0"/>
          <w:sz w:val="26"/>
        </w:rPr>
        <w:t>4. Kotler, P. &amp; Keller, K. L. (2016). Marketing Management (15th ed.). Pearson Education.</w:t>
      </w:r>
    </w:p>
    <w:p>
      <w:pPr>
        <w:spacing w:after="80" w:line="360" w:lineRule="auto"/>
        <w:jc w:val="both"/>
      </w:pPr>
      <w:r>
        <w:rPr>
          <w:rFonts w:ascii="Times New Roman" w:hAnsi="Times New Roman"/>
          <w:b w:val="0"/>
          <w:sz w:val="26"/>
        </w:rPr>
        <w:t>5. Wheelen, T. L. &amp; Hunger, J. D. (2012). Strategic Management and Business Policy (13th ed.). Pearson.</w:t>
      </w:r>
    </w:p>
    <w:p>
      <w:pPr>
        <w:spacing w:after="80" w:line="360" w:lineRule="auto"/>
        <w:jc w:val="both"/>
      </w:pPr>
      <w:r>
        <w:rPr>
          <w:rFonts w:ascii="Times New Roman" w:hAnsi="Times New Roman"/>
          <w:b w:val="0"/>
          <w:sz w:val="26"/>
        </w:rPr>
        <w:t>6. David, F. R. (2017). Strategic Management: A Competitive Advantage Approach (16th ed.). Pearson.</w:t>
      </w:r>
    </w:p>
    <w:p>
      <w:pPr>
        <w:spacing w:after="80" w:line="360" w:lineRule="auto"/>
        <w:jc w:val="both"/>
      </w:pPr>
      <w:r>
        <w:rPr>
          <w:rFonts w:ascii="Times New Roman" w:hAnsi="Times New Roman"/>
          <w:b w:val="0"/>
          <w:sz w:val="26"/>
        </w:rPr>
        <w:t>7. Porter, M. E. (1985). Competitive Advantage. Free Press.</w:t>
      </w:r>
    </w:p>
    <w:p>
      <w:pPr>
        <w:spacing w:after="80" w:line="360" w:lineRule="auto"/>
        <w:jc w:val="both"/>
      </w:pPr>
      <w:r>
        <w:rPr>
          <w:rFonts w:ascii="Times New Roman" w:hAnsi="Times New Roman"/>
          <w:b w:val="0"/>
          <w:sz w:val="26"/>
        </w:rPr>
        <w:t>8. Stern, C. W. &amp; Stalk, G. (1998). Perspectives on Strategy from BCG. John Wiley &amp; Sons.</w:t>
      </w:r>
    </w:p>
    <w:p>
      <w:pPr>
        <w:pStyle w:val="Heading2"/>
      </w:pPr>
      <w:r>
        <w:t>Bài báo và tài liệu ngành</w:t>
      </w:r>
    </w:p>
    <w:p>
      <w:pPr>
        <w:spacing w:after="80" w:line="360" w:lineRule="auto"/>
        <w:jc w:val="both"/>
      </w:pPr>
      <w:r>
        <w:rPr>
          <w:rFonts w:ascii="Times New Roman" w:hAnsi="Times New Roman"/>
          <w:b w:val="0"/>
          <w:sz w:val="26"/>
        </w:rPr>
        <w:t>9. Levitt, T. (1965). Exploit the Product Life Cycle. Harvard Business Review, 43(6), 81–94.</w:t>
      </w:r>
    </w:p>
    <w:p>
      <w:pPr>
        <w:spacing w:after="80" w:line="360" w:lineRule="auto"/>
        <w:jc w:val="both"/>
      </w:pPr>
      <w:r>
        <w:rPr>
          <w:rFonts w:ascii="Times New Roman" w:hAnsi="Times New Roman"/>
          <w:b w:val="0"/>
          <w:sz w:val="26"/>
        </w:rPr>
        <w:t>10. Madsen, D. (2017). Not Dead Yet: The Rise, Fall, and Persistence of the BCG Matrix. Problems and Perspectives in Management, 15(1).</w:t>
      </w:r>
    </w:p>
    <w:p>
      <w:pPr>
        <w:spacing w:after="80" w:line="360" w:lineRule="auto"/>
        <w:jc w:val="both"/>
      </w:pPr>
      <w:r>
        <w:rPr>
          <w:rFonts w:ascii="Times New Roman" w:hAnsi="Times New Roman"/>
          <w:b w:val="0"/>
          <w:sz w:val="26"/>
        </w:rPr>
        <w:t>11. Allied Market Research (2024). Building Information Modeling Market — Global Forecast 2024–2032.</w:t>
      </w:r>
    </w:p>
    <w:p>
      <w:pPr>
        <w:spacing w:after="80" w:line="360" w:lineRule="auto"/>
        <w:jc w:val="both"/>
      </w:pPr>
      <w:r>
        <w:rPr>
          <w:rFonts w:ascii="Times New Roman" w:hAnsi="Times New Roman"/>
          <w:b w:val="0"/>
          <w:sz w:val="26"/>
        </w:rPr>
        <w:t>12. McKinsey &amp; Company (2020). The next normal in construction.</w:t>
      </w:r>
    </w:p>
    <w:p>
      <w:pPr>
        <w:pStyle w:val="Heading2"/>
      </w:pPr>
      <w:r>
        <w:t>Nguồn trực tuyến</w:t>
      </w:r>
    </w:p>
    <w:p>
      <w:pPr>
        <w:spacing w:after="80" w:line="360" w:lineRule="auto"/>
        <w:jc w:val="both"/>
      </w:pPr>
      <w:r>
        <w:rPr>
          <w:rFonts w:ascii="Times New Roman" w:hAnsi="Times New Roman"/>
          <w:b w:val="0"/>
          <w:sz w:val="26"/>
        </w:rPr>
        <w:t>13. DCMvn CO., Ltd (2026). Trang chủ. https://dcmvn.com/</w:t>
      </w:r>
    </w:p>
    <w:p>
      <w:pPr>
        <w:spacing w:after="80" w:line="360" w:lineRule="auto"/>
        <w:jc w:val="both"/>
      </w:pPr>
      <w:r>
        <w:rPr>
          <w:rFonts w:ascii="Times New Roman" w:hAnsi="Times New Roman"/>
          <w:b w:val="0"/>
          <w:sz w:val="26"/>
        </w:rPr>
        <w:t>14. DCMvn CO., Ltd (2026). About Us. https://dcmvn.com/about-us/</w:t>
      </w:r>
    </w:p>
    <w:p>
      <w:pPr>
        <w:spacing w:after="80" w:line="360" w:lineRule="auto"/>
        <w:jc w:val="both"/>
      </w:pPr>
      <w:r>
        <w:rPr>
          <w:rFonts w:ascii="Times New Roman" w:hAnsi="Times New Roman"/>
          <w:b w:val="0"/>
          <w:sz w:val="26"/>
        </w:rPr>
        <w:t>15. DCMvn CO., Ltd (2026). Services. https://dcmvn.com/services/</w:t>
      </w:r>
    </w:p>
    <w:p>
      <w:pPr>
        <w:spacing w:after="80" w:line="360" w:lineRule="auto"/>
        <w:jc w:val="both"/>
      </w:pPr>
      <w:r>
        <w:rPr>
          <w:rFonts w:ascii="Times New Roman" w:hAnsi="Times New Roman"/>
          <w:b w:val="0"/>
          <w:sz w:val="26"/>
        </w:rPr>
        <w:t>16. DCMvn CO., Ltd (2026). Projects. https://dcmvn.com/projects/</w:t>
      </w:r>
    </w:p>
    <w:p>
      <w:pPr>
        <w:spacing w:after="80" w:line="360" w:lineRule="auto"/>
        <w:jc w:val="both"/>
      </w:pPr>
      <w:r>
        <w:rPr>
          <w:rFonts w:ascii="Times New Roman" w:hAnsi="Times New Roman"/>
          <w:b w:val="0"/>
          <w:sz w:val="26"/>
        </w:rPr>
        <w:t>17. DCMvn CO., Ltd (2026). Team. https://dcmvn.com/team/</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