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77C">
      <w:pPr>
        <w:pStyle w:val="2"/>
        <w:spacing w:before="240" w:after="240"/>
        <w:jc w:val="left"/>
        <w:rPr>
          <w:rFonts w:hint="default" w:ascii="Times New Roman" w:hAnsi="Times New Roman" w:cs="Times New Roman"/>
        </w:rPr>
      </w:pPr>
      <w:r>
        <w:rPr>
          <w:rFonts w:hint="default" w:ascii="Times New Roman" w:hAnsi="Times New Roman" w:cs="Times New Roman"/>
          <w:rtl w:val="0"/>
        </w:rPr>
        <w:t>CHƯƠNG 5. KẾT LUẬN VÀ ĐỀ XUẤT CẢI TIẾN</w:t>
      </w:r>
    </w:p>
    <w:p w14:paraId="0000077D">
      <w:pPr>
        <w:pStyle w:val="3"/>
        <w:spacing w:before="240" w:after="240"/>
        <w:jc w:val="left"/>
        <w:rPr>
          <w:rFonts w:hint="default" w:ascii="Times New Roman" w:hAnsi="Times New Roman" w:cs="Times New Roman"/>
          <w:b/>
          <w:bCs/>
        </w:rPr>
      </w:pPr>
      <w:bookmarkStart w:id="0" w:name="_hqmqgjuzjroi" w:colFirst="0" w:colLast="0"/>
      <w:bookmarkEnd w:id="0"/>
      <w:r>
        <w:rPr>
          <w:rFonts w:hint="default" w:ascii="Times New Roman" w:hAnsi="Times New Roman" w:cs="Times New Roman"/>
          <w:b/>
          <w:bCs/>
          <w:rtl w:val="0"/>
        </w:rPr>
        <w:t>5.1. Kết quả đạt được của đề tài</w:t>
      </w:r>
    </w:p>
    <w:p w14:paraId="0000077E">
      <w:pPr>
        <w:pStyle w:val="4"/>
        <w:jc w:val="left"/>
        <w:rPr>
          <w:rFonts w:hint="default" w:ascii="Times New Roman" w:hAnsi="Times New Roman" w:cs="Times New Roman"/>
        </w:rPr>
      </w:pPr>
      <w:bookmarkStart w:id="1" w:name="_gvoszdealjfa" w:colFirst="0" w:colLast="0"/>
      <w:bookmarkEnd w:id="1"/>
      <w:r>
        <w:rPr>
          <w:rFonts w:hint="default" w:ascii="Times New Roman" w:hAnsi="Times New Roman" w:cs="Times New Roman"/>
          <w:rtl w:val="0"/>
        </w:rPr>
        <w:t>5.1.1. Nền tảng và phương pháp</w:t>
      </w:r>
    </w:p>
    <w:p w14:paraId="0000077F">
      <w:pPr>
        <w:spacing w:before="240" w:after="240"/>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Hệ thống hóa vững chắc cơ sở lý thuyết về Quản trị quy trình nghiệp vụ (Business Process Management - BPM), kết hợp tiếp cận đa chiều từ phương pháp thu thập chứng cứ (Evidence-based) đến phương pháp phỏ</w:t>
      </w:r>
      <w:bookmarkStart w:id="11" w:name="_GoBack"/>
      <w:bookmarkEnd w:id="11"/>
      <w:r>
        <w:rPr>
          <w:rFonts w:hint="default" w:ascii="Times New Roman" w:hAnsi="Times New Roman" w:cs="Times New Roman"/>
          <w:sz w:val="26"/>
          <w:szCs w:val="26"/>
          <w:rtl w:val="0"/>
        </w:rPr>
        <w:t xml:space="preserve">ng vấn chuyên gia với cấu trúc chặt chẽ (kết hợp câu hỏi định tính và định lượng). </w:t>
      </w:r>
    </w:p>
    <w:p w14:paraId="00000780">
      <w:pPr>
        <w:spacing w:before="240" w:after="240"/>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Ứng dụng bài bản các công cụ phân tích hiện đại của kỹ thuật quản trị vận hành: </w:t>
      </w:r>
    </w:p>
    <w:p w14:paraId="00000781">
      <w:pPr>
        <w:numPr>
          <w:ilvl w:val="0"/>
          <w:numId w:val="1"/>
        </w:numPr>
        <w:spacing w:before="240" w:after="0" w:afterAutospacing="0"/>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Phân tích định tính: Phân loại giá trị gia tăng (VA, BVA, NVA) và nhận diện các nhóm lãng phí cốt lõi trong mô hình Lean (Move, Hold, Overdo). </w:t>
      </w:r>
    </w:p>
    <w:p w14:paraId="00000782">
      <w:pPr>
        <w:numPr>
          <w:ilvl w:val="0"/>
          <w:numId w:val="1"/>
        </w:numPr>
        <w:spacing w:before="0" w:beforeAutospacing="0" w:after="240"/>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Phân tích định lượng: Lượng hóa dòng chảy thông qua chu kỳ thời gian trung bình (Average Cycle Time - ACT), chi phí vận hành trung bình (Average Cost - AC) và phân tích năng suất/chất lượng chuỗi (Quality/Yield Analysis) trên từng kịch bản nhánh rẽ nghiệp vụ.</w:t>
      </w:r>
    </w:p>
    <w:p w14:paraId="00000783">
      <w:pPr>
        <w:pStyle w:val="4"/>
        <w:keepNext w:val="0"/>
        <w:keepLines w:val="0"/>
        <w:spacing w:before="0" w:after="80" w:line="276" w:lineRule="auto"/>
        <w:ind w:left="0" w:firstLine="0"/>
        <w:jc w:val="left"/>
        <w:rPr>
          <w:rFonts w:hint="default" w:ascii="Times New Roman" w:hAnsi="Times New Roman" w:cs="Times New Roman"/>
          <w:sz w:val="26"/>
          <w:szCs w:val="26"/>
        </w:rPr>
      </w:pPr>
      <w:bookmarkStart w:id="2" w:name="_1cxi2hfl2gjr" w:colFirst="0" w:colLast="0"/>
      <w:bookmarkEnd w:id="2"/>
      <w:r>
        <w:rPr>
          <w:rFonts w:hint="default" w:ascii="Times New Roman" w:hAnsi="Times New Roman" w:cs="Times New Roman"/>
          <w:sz w:val="26"/>
          <w:szCs w:val="26"/>
          <w:rtl w:val="0"/>
        </w:rPr>
        <w:t>5.1.</w:t>
      </w:r>
      <w:r>
        <w:rPr>
          <w:rFonts w:hint="default" w:ascii="Times New Roman" w:hAnsi="Times New Roman" w:cs="Times New Roman"/>
          <w:rtl w:val="0"/>
        </w:rPr>
        <w:t>2</w:t>
      </w:r>
      <w:r>
        <w:rPr>
          <w:rFonts w:hint="default" w:ascii="Times New Roman" w:hAnsi="Times New Roman" w:cs="Times New Roman"/>
          <w:sz w:val="26"/>
          <w:szCs w:val="26"/>
          <w:rtl w:val="0"/>
        </w:rPr>
        <w:t>. Lập bản đồ và kiến trúc quy trình (Process Architecture)</w:t>
      </w:r>
    </w:p>
    <w:p w14:paraId="00000784">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Xây dựng thành công mô hình "Ngôi nhà kiến trúc quy trình" của Vinamilk gồm 3 tầng vững chắc với 10 quy trình nghiệp vụ tiêu biểu:</w:t>
      </w:r>
    </w:p>
    <w:p w14:paraId="00000785">
      <w:pPr>
        <w:numPr>
          <w:ilvl w:val="0"/>
          <w:numId w:val="2"/>
        </w:numPr>
        <w:spacing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Tầng Quản lý (Management Processes): Giám sát an toàn lao động, Phê duyệt kế hoạch tuyển dụng nhân sự hằng năm, Đánh giá hiệu suất nhà phân phối định kỳ.</w:t>
      </w:r>
    </w:p>
    <w:p w14:paraId="00000786">
      <w:pPr>
        <w:numPr>
          <w:ilvl w:val="0"/>
          <w:numId w:val="2"/>
        </w:numPr>
        <w:spacing w:before="0" w:beforeAutospacing="0" w:after="0" w:afterAutospacing="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Tầng Cốt lõi (Core Processes): Thu mua sữa tươi từ hộ nông dân liên kết, Xử lý đơn hàng B2B, Xử lý đơn hàng e-Commerce, Tài trợ và cấp phát sữa Sữa Học Đường.</w:t>
      </w:r>
    </w:p>
    <w:p w14:paraId="00000787">
      <w:pPr>
        <w:numPr>
          <w:ilvl w:val="0"/>
          <w:numId w:val="2"/>
        </w:numPr>
        <w:spacing w:before="0" w:beforeAutospacing="0" w:after="240" w:line="276"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Tầng Hỗ trợ (Support Processes): Thu hồi tài sản khi nhân viên nghỉ việc, Xử lý và thanh toán chi phí vé máy bay/khách sạn, Khám sức khỏe định kỳ hằng năm.</w:t>
      </w:r>
    </w:p>
    <w:p w14:paraId="00000788">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Mô hình hóa trực quan và chuẩn hóa theo chuẩn quốc tế BPMN 2.0 cho 6 quy trình trọng yếu (phân bổ cân đối: 2 Quản lý, 2 Cốt lõi, 2 Hỗ trợ). Sơ đồ phân định rõ ràng các làn trách nhiệm (Swimlanes), cổng điều kiện rẽ nhánh (XOR, AND), luồng thông điệp và cơ chế quản lý ngoại lệ phát sinh.</w:t>
      </w:r>
    </w:p>
    <w:p w14:paraId="00000789">
      <w:pPr>
        <w:pStyle w:val="4"/>
        <w:keepNext w:val="0"/>
        <w:keepLines w:val="0"/>
        <w:spacing w:before="0" w:after="80" w:line="276" w:lineRule="auto"/>
        <w:jc w:val="left"/>
        <w:rPr>
          <w:rFonts w:hint="default" w:ascii="Times New Roman" w:hAnsi="Times New Roman" w:cs="Times New Roman"/>
          <w:sz w:val="26"/>
          <w:szCs w:val="26"/>
        </w:rPr>
      </w:pPr>
      <w:bookmarkStart w:id="3" w:name="_w22s9rvt978t" w:colFirst="0" w:colLast="0"/>
      <w:bookmarkEnd w:id="3"/>
      <w:r>
        <w:rPr>
          <w:rFonts w:hint="default" w:ascii="Times New Roman" w:hAnsi="Times New Roman" w:cs="Times New Roman"/>
          <w:sz w:val="26"/>
          <w:szCs w:val="26"/>
          <w:rtl w:val="0"/>
        </w:rPr>
        <w:t>5.1.</w:t>
      </w:r>
      <w:r>
        <w:rPr>
          <w:rFonts w:hint="default" w:ascii="Times New Roman" w:hAnsi="Times New Roman" w:cs="Times New Roman"/>
          <w:rtl w:val="0"/>
        </w:rPr>
        <w:t>3</w:t>
      </w:r>
      <w:r>
        <w:rPr>
          <w:rFonts w:hint="default" w:ascii="Times New Roman" w:hAnsi="Times New Roman" w:cs="Times New Roman"/>
          <w:sz w:val="26"/>
          <w:szCs w:val="26"/>
          <w:rtl w:val="0"/>
        </w:rPr>
        <w:t>. Phân tích chuyên sâu và bóc tách dữ liệu</w:t>
      </w:r>
    </w:p>
    <w:p w14:paraId="0000078A">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Quản lý và Giám sát An toàn Lao động: Nhận diện điểm nghẽn nghiêm trọng khi sự cố cấp độ Nặng phải chờ Ban Điều hành phê duyệt khiến chu kỳ xử lý kéo dài lên 10 ngày (chiếm 20% thời gian nhánh Nặng), đẩy ACT lên 4,9 ngày và chi phí trung bình 2.750.000 VNĐ/vụ việc. Tỷ lệ xử lý đạt yêu cầu ở lần kiểm tra đầu tiên chỉ đạt 82%.</w:t>
      </w:r>
    </w:p>
    <w:p w14:paraId="0000078B">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Phê duyệt Kế hoạch Tuyển dụng Nhân sự: Khai thác tổn thất chu kỳ từ việc luân chuyển hồ sơ thủ công (Move) và vòng lặp điều chỉnh ngân sách (Rework) khi có đến 20% khả năng bị trả về do vượt trần quỹ lương, đẩy thời gian xử lý lên 15 ngày đối với kịch bản thiếu ngân sách (so với 10 ngày ở kịch bản chuẩn), bình quân ACT đạt 11 ngày/đợt.</w:t>
      </w:r>
    </w:p>
    <w:p w14:paraId="0000078C">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Thu mua Sữa tươi từ Hộ Nông Dân Liên kết: Bóc tách bước kiểm tra song song lý - hóa/vi sinh và nhận diện nút thắt 10% tỷ lệ không khớp khối lượng dẫn đến hoạt động đối chiếu tranh chấp kéo dài chu kỳ lên 3,25 ngày (tăng 44% so với kịch bản chuẩn 2,25 ngày), chi phí tăng từ 900.000 VNĐ lên 1.300.000 VNĐ/lô.</w:t>
      </w:r>
    </w:p>
    <w:p w14:paraId="0000078D">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Tài trợ và Cấp phát Sữa Học Đường: Định lượng rõ nét độ lệch logistics giữa tuyến gần (ACT 183 phút, chi phí 800.000 VNĐ) và tuyến vùng sâu, vùng xa (ACT 516 phút, chi phí 2.500.000 VNĐ với 20% nguy cơ chậm trễ do hạ tầng/thời tiết), kéo thời gian bình quân toàn trình lên 282,9 phút/chuyến.</w:t>
      </w:r>
    </w:p>
    <w:p w14:paraId="0000078E">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Thu hồi Tài sản khi Nhân viên Nghỉ việc: Phân tích điểm nghẽn chốt sổ khi có 12% hồ sơ phát sinh sai lệch công nợ tài sản/tài chính, kéo dài thời gian xử lý từ 6,5 ngày lên 9,5 ngày, chi phí xử lý hành chính tăng từ 2.275.000 VNĐ lên 4.325.000 VNĐ/hồ sơ.</w:t>
      </w:r>
    </w:p>
    <w:p w14:paraId="0000078F">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Quy trình Khám sức khỏe định kỳ hằng năm: Đo lường tác động của nhánh khám chuyên sâu bổ sung (15% trường hợp nghi vấn) làm tăng thời gian từ 50 phút lên 80 phút và chi phí tăng từ 350.000 VNĐ lên 550.000 VNĐ/người; đồng thời chỉ rõ sự lãng phí từ hoạt động rà soát, đôn đốc nhân viên đi khám muộn (NVA).</w:t>
      </w:r>
    </w:p>
    <w:p w14:paraId="00000790">
      <w:pPr>
        <w:pStyle w:val="3"/>
        <w:spacing w:before="240" w:after="240"/>
        <w:jc w:val="left"/>
        <w:rPr>
          <w:rFonts w:hint="default" w:ascii="Times New Roman" w:hAnsi="Times New Roman" w:cs="Times New Roman"/>
          <w:b/>
          <w:bCs/>
        </w:rPr>
      </w:pPr>
      <w:bookmarkStart w:id="4" w:name="_q443v7vp2xwm" w:colFirst="0" w:colLast="0"/>
      <w:bookmarkEnd w:id="4"/>
      <w:r>
        <w:rPr>
          <w:rFonts w:hint="default" w:ascii="Times New Roman" w:hAnsi="Times New Roman" w:cs="Times New Roman"/>
          <w:b/>
          <w:bCs/>
          <w:rtl w:val="0"/>
        </w:rPr>
        <w:t>5.2. Hạn chế của đề tài</w:t>
      </w:r>
    </w:p>
    <w:p w14:paraId="00000791">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Tính giả định của dữ liệu định lượng: Do chính sách bảo mật thông tin nội bộ của Vinamilk, các định mức tài chính chi tiết, chi phí nhân sự chính xác và số liệu thời gian vận hành thực tế không được công bố toàn phần. Do đó, các thông số về thời gian (CT), chi phí (Cost) và xác suất rẽ nhánh (Yield) phải dựa trên số liệu chuẩn hóa ước tính, tham chiếu từ báo cáo thường niên, báo cáo phát triển bền vững và suy luận kỹ thuật. Các kết quả định lượng mang ý nghĩa luận giải phương pháp và định hướng cải tiến hơn là phản ánh nguyên vẹn thực tế kế toán của tập đoàn.</w:t>
      </w:r>
    </w:p>
    <w:p w14:paraId="00000792">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Giới hạn về phỏng vấn thực tế: Dù bộ công cụ phỏng vấn được thiết kế rất hoàn chỉnh (đáp ứng tiêu chuẩn 20 câu định tính và 20 câu định lượng với cả hai dạng thức cấu trúc/không cấu trúc), việc thu thập câu trả lời chủ yếu dựa trên vai trò danh định và tình huống giả định có căn cứ từ tài liệu công khai, chưa thực hiện tiếp xúc trực tiếp trực diện với đầy đủ cán bộ quản lý đang đương nhiệm tại từng khâu của Vinamilk.</w:t>
      </w:r>
    </w:p>
    <w:p w14:paraId="00000793">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Chưa kiểm chứng giải pháp bằng môi trường mô phỏng nâng cao (Sandbox/ Simulation): Các phương án tối ưu hóa (mô hình To-Be) mới dừng lại ở mức độ lập luận logic, đối sánh giải pháp và tính toán kỳ vọng toán học. Nhóm chưa có điều kiện cài đặt kịch bản trên các công cụ mô phỏng động chuyên sâu (như Bizagi Simulation, Arena hay ARIS) để kiểm tra xung đột tài nguyên khi lưu lượng tải tăng đột biến trong giờ cao điểm.</w:t>
      </w:r>
    </w:p>
    <w:p w14:paraId="00000794">
      <w:pPr>
        <w:spacing w:after="2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Độ bao phủ phân tích chuyên sâu: Do dung lượng đồ án, nhóm tập trung phân tích định tính và định lượng chuyên sâu cho 6 quy trình cốt lõi đại diện. Bốn quy trình còn lại thuộc ngôi nhà kiến trúc (gồm: Đánh giá hiệu suất Nhà phân phối, Xử lý đơn hàng B2B, Xử lý đơn hàng e-Commerce, Xử lý và thanh toán công tác phí) mới chỉ được mô tả tổng quan ở Chương 2, chưa thể bóc tách sơ đồ luồng chi tiết và tính toán dòng dữ liệu tương tự.</w:t>
      </w:r>
    </w:p>
    <w:p w14:paraId="00000795">
      <w:pPr>
        <w:pStyle w:val="3"/>
        <w:jc w:val="left"/>
        <w:rPr>
          <w:rFonts w:hint="default" w:ascii="Times New Roman" w:hAnsi="Times New Roman" w:cs="Times New Roman"/>
          <w:b/>
          <w:bCs/>
        </w:rPr>
      </w:pPr>
      <w:bookmarkStart w:id="5" w:name="_55x357thksxo" w:colFirst="0" w:colLast="0"/>
      <w:bookmarkEnd w:id="5"/>
      <w:r>
        <w:rPr>
          <w:rFonts w:hint="default" w:ascii="Times New Roman" w:hAnsi="Times New Roman" w:cs="Times New Roman"/>
          <w:b/>
          <w:bCs/>
          <w:rtl w:val="0"/>
        </w:rPr>
        <w:t>5.3. Đề xuất cải tiến tổng thể &amp; Hướng phát triển</w:t>
      </w:r>
    </w:p>
    <w:p w14:paraId="00000796">
      <w:pPr>
        <w:pStyle w:val="4"/>
        <w:keepNext w:val="0"/>
        <w:keepLines w:val="0"/>
        <w:spacing w:before="0" w:after="80" w:line="276" w:lineRule="auto"/>
        <w:jc w:val="left"/>
        <w:rPr>
          <w:rFonts w:hint="default" w:ascii="Times New Roman" w:hAnsi="Times New Roman" w:cs="Times New Roman"/>
          <w:sz w:val="26"/>
          <w:szCs w:val="26"/>
        </w:rPr>
      </w:pPr>
      <w:bookmarkStart w:id="6" w:name="_itsebxd4r6kz" w:colFirst="0" w:colLast="0"/>
      <w:bookmarkEnd w:id="6"/>
      <w:r>
        <w:rPr>
          <w:rFonts w:hint="default" w:ascii="Times New Roman" w:hAnsi="Times New Roman" w:cs="Times New Roman"/>
          <w:sz w:val="26"/>
          <w:szCs w:val="26"/>
          <w:rtl w:val="0"/>
        </w:rPr>
        <w:t>5.3.1. Đề xuất cải tiến tổng thể hệ thống quy trình (To-Be Roadmap)</w:t>
      </w:r>
    </w:p>
    <w:p w14:paraId="00000797">
      <w:pPr>
        <w:pStyle w:val="5"/>
        <w:jc w:val="left"/>
        <w:rPr>
          <w:rFonts w:hint="default" w:ascii="Times New Roman" w:hAnsi="Times New Roman" w:cs="Times New Roman"/>
        </w:rPr>
      </w:pPr>
      <w:bookmarkStart w:id="7" w:name="_kcgkf3fo3s39" w:colFirst="0" w:colLast="0"/>
      <w:bookmarkEnd w:id="7"/>
      <w:r>
        <w:rPr>
          <w:rFonts w:hint="default" w:ascii="Times New Roman" w:hAnsi="Times New Roman" w:cs="Times New Roman"/>
          <w:rtl w:val="0"/>
        </w:rPr>
        <w:t>5.3.1.1. Số hóa, tự động hóa và tích hợp dữ liệu liền mạch (Loại trừ lãng phí Move &amp; Overdo)</w:t>
      </w:r>
    </w:p>
    <w:p w14:paraId="00000798">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Tích hợp cân điện tử trạm thu mua với SAP S/4HANA: Kết nối tự động dữ liệu khối lượng sữa từ cân điện tử tại các trạm về thẳng hệ thống ERP, loại bỏ hoàn toàn biên bản ghi chép tay và chứng từ đối chiếu thủ công; mục tiêu giảm tỷ lệ sai lệch khối lượng từ 10% xuống dưới 3%, đưa ACT chu trình thu mua từ 2,35 ngày xuống tiệm cận 2 ngày.</w:t>
      </w:r>
    </w:p>
    <w:p w14:paraId="00000799">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Số hóa luồng phê duyệt (Electronic Workflow) và chữ ký số: Chuyển đổi 100% biểu mẫu lập kế hoạch tuyển dụng và bàn giao tài sản sang hình thức luân chuyển điện tử. Áp dụng cơ chế kiểm soát ngân sách tự động (Budget threshold validation) trên phần mềm kế toán để cảnh báo vượt hạn mức quỹ lương ngay khi đơn vị tạo đề xuất, loại bỏ vòng lặp trả hồ sơ làm lại kéo dài 5 ngày.</w:t>
      </w:r>
    </w:p>
    <w:p w14:paraId="0000079A">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Xây dựng cơ chế "Bàn giao một cửa" (One-Stop Offboarding): Tạo checklist tài sản và phân quyền tài khoản số hóa đồng bộ ngay khi nhân viên gửi thông báo nghỉ việc, đồng thời cho phép kế toán và hành chính đối soát song song tự động trên HRM, rút ngắn ACT thu hồi tài sản từ 6,86 ngày xuống dưới 5,5 ngày.</w:t>
      </w:r>
    </w:p>
    <w:p w14:paraId="0000079B">
      <w:pPr>
        <w:pStyle w:val="5"/>
        <w:spacing w:after="240" w:line="276" w:lineRule="auto"/>
        <w:jc w:val="left"/>
        <w:rPr>
          <w:rFonts w:hint="default" w:ascii="Times New Roman" w:hAnsi="Times New Roman" w:cs="Times New Roman"/>
        </w:rPr>
      </w:pPr>
      <w:bookmarkStart w:id="8" w:name="_jnbh0v3w7e55" w:colFirst="0" w:colLast="0"/>
      <w:bookmarkEnd w:id="8"/>
      <w:r>
        <w:rPr>
          <w:rFonts w:hint="default" w:ascii="Times New Roman" w:hAnsi="Times New Roman" w:cs="Times New Roman"/>
          <w:rtl w:val="0"/>
        </w:rPr>
        <w:t>5.3.1.2. Tái cấu trúc ma trận thẩm quyền (Loại trừ lãng phí Hold)</w:t>
      </w:r>
    </w:p>
    <w:p w14:paraId="0000079C">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Phân cấp phê duyệt xử lý an toàn lao động (DOA): Ủy quyền cho Trưởng Ban HSE toàn quyền ra quyết định đối với các sự cố an toàn mức độ trung bình, chỉ chuyển Ban Điều hành phê duyệt đối với các rủi ro đặc biệt nghiêm trọng. Giải pháp này loại bỏ 2 ngày chờ đợi phê duyệt, giảm ACT xử lý sự cố từ 4,9 ngày xuống dưới 3,5 ngày.</w:t>
      </w:r>
    </w:p>
    <w:p w14:paraId="0000079D">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Thiết lập lịch duyệt định kỳ và hạn chế tắc nghẽn: Cố định lịch họp thẩm định biên chế nhân sự theo tháng/quý để triệt tiêu thời gian "chờ lịch rảnh của lãnh đạo", ổn định tiến độ triển khai tuyển dụng.</w:t>
      </w:r>
    </w:p>
    <w:p w14:paraId="0000079E">
      <w:pPr>
        <w:pStyle w:val="5"/>
        <w:spacing w:after="240" w:line="276" w:lineRule="auto"/>
        <w:jc w:val="left"/>
        <w:rPr>
          <w:rFonts w:hint="default" w:ascii="Times New Roman" w:hAnsi="Times New Roman" w:cs="Times New Roman"/>
        </w:rPr>
      </w:pPr>
      <w:bookmarkStart w:id="9" w:name="_r375f6911gkf" w:colFirst="0" w:colLast="0"/>
      <w:bookmarkEnd w:id="9"/>
      <w:r>
        <w:rPr>
          <w:rFonts w:hint="default" w:ascii="Times New Roman" w:hAnsi="Times New Roman" w:cs="Times New Roman"/>
          <w:rtl w:val="0"/>
        </w:rPr>
        <w:t>5.3.1.3. Tối ưu hóa điều phối chuỗi cung ứng và hiện trường (Loại trừ lãng phí Move &amp; Yield)</w:t>
      </w:r>
    </w:p>
    <w:p w14:paraId="0000079F">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Ứng dụng thuật toán tối ưu lộ trình (Route Optimization): Ứng dụng giải pháp TMS phân tuyến thông minh cho chương trình Sữa Học Đường tại các địa bàn đồi núi, hiểm trở; thành lập trạm lưu kho vệ tinh vùng sâu, vùng xa nhằm kiểm soát rủi ro thời tiết, giảm tỷ lệ trễ hạn từ 20% xuống dưới 10% và hạ thời gian giao vận bình quân từ 282,9 phút xuống dưới 250 phút.</w:t>
      </w:r>
    </w:p>
    <w:p w14:paraId="000007A0">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Đầu tư công nghệ kiểm thử nhanh (Rapid Testing) &amp; IoT: Trang bị máy phân tích chỉ tiêu cơ bản siêu tốc tại trạm thu gom và cảm biến nhiệt độ liên tục trên xe bồn trung chuyển, hạn chế việc trạm thu mua và nhà máy phải kiểm định trùng lặp 100% các chỉ tiêu cơ bản.</w:t>
      </w:r>
    </w:p>
    <w:p w14:paraId="000007A1">
      <w:pPr>
        <w:pStyle w:val="4"/>
        <w:keepNext w:val="0"/>
        <w:keepLines w:val="0"/>
        <w:spacing w:before="0" w:after="80" w:line="276" w:lineRule="auto"/>
        <w:jc w:val="left"/>
        <w:rPr>
          <w:rFonts w:hint="default" w:ascii="Times New Roman" w:hAnsi="Times New Roman" w:cs="Times New Roman"/>
          <w:sz w:val="26"/>
          <w:szCs w:val="26"/>
        </w:rPr>
      </w:pPr>
      <w:bookmarkStart w:id="10" w:name="_m3n6hi813rwb" w:colFirst="0" w:colLast="0"/>
      <w:bookmarkEnd w:id="10"/>
      <w:r>
        <w:rPr>
          <w:rFonts w:hint="default" w:ascii="Times New Roman" w:hAnsi="Times New Roman" w:cs="Times New Roman"/>
          <w:sz w:val="26"/>
          <w:szCs w:val="26"/>
          <w:rtl w:val="0"/>
        </w:rPr>
        <w:t>5.3.2. Hướng phát triển tiếp theo của đề tài</w:t>
      </w:r>
    </w:p>
    <w:p w14:paraId="000007A2">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Ứng dụng mô phỏng quy trình nâng cao (Simulation Modeling): Sử dụng các công cụ chuyên dụng (Bizagi Modeler, Signavio, Camunda hoặc ARIS) để nạp các tham số xác suất phân phối ngẫu nhiên (Poisson, Normal Distribution) và chạy mô phỏng các kịch bản cải tiến (To-Be). Việc kiểm chứng trực quan chênh lệch thông lượng (Throughput) và hiệu suất sử dụng tài nguyên giữa As-Is và To-Be sẽ cung cấp cơ sở chắc chắn trước khi phê duyệt triển khai thực tế.</w:t>
      </w:r>
    </w:p>
    <w:p w14:paraId="000007A3">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Tích hợp công nghệ Khai phá quy trình (Process Mining): Khai thác trực tiếp nhật ký sự kiện (Event Logs) ghi nhận từ hệ thống SAP S/4HANA và DMS của Vinamilk. Process Mining sẽ tự động tái tạo bản đồ vận hành thực tế (As-Is Discovery), đối soát mức độ tuân thủ (Conformance Checking) và chỉ điểm chính xác các điểm nghẽn ẩn, các lối tắt quy trình phi chính thức mà mắt thường hay phân tích tĩnh không thể thấy được.</w:t>
      </w:r>
    </w:p>
    <w:p w14:paraId="000007A4">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Mở rộng phạm vi phân tích sang các quy trình thương mại then chốt: Hoàn thiện mô hình hóa và phân tích định tính - định lượng cho 4 quy trình còn lại trong hệ thống: Xử lý đơn hàng B2B, Xử lý đơn hàng e-Commerce, Đánh giá hiệu suất nhà phân phối và Xử lý thanh toán công tác phí. Đây là những mắ</w:t>
      </w:r>
      <w:r>
        <w:rPr>
          <w:rFonts w:hint="default" w:ascii="Times New Roman" w:hAnsi="Times New Roman" w:cs="Times New Roman"/>
          <w:rtl w:val="0"/>
        </w:rPr>
        <w:t>t</w:t>
      </w:r>
      <w:r>
        <w:rPr>
          <w:rFonts w:hint="default" w:ascii="Times New Roman" w:hAnsi="Times New Roman" w:cs="Times New Roman"/>
          <w:sz w:val="26"/>
          <w:szCs w:val="26"/>
          <w:rtl w:val="0"/>
        </w:rPr>
        <w:t xml:space="preserve"> xích chi phối trực tiếp đến dòng tiền, doanh số bán buôn, thương mại bán lẻ D2C và trải nghiệm khách hàng của Vinamilk.</w:t>
      </w:r>
    </w:p>
    <w:p w14:paraId="000007A5">
      <w:pPr>
        <w:spacing w:after="240" w:line="276" w:lineRule="auto"/>
        <w:ind w:lef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Nâng cao độ tin cậy bằng dữ liệu sơ cấp thực địa: Thiết lập kênh kết nối thực tế với đội ngũ chuyên trách của Vinamilk thông qua các buổi phỏng vấn sâu trực diện, lấy mẫu đo lường thời gian bấm giờ thực tế trên chuyền và tại văn phòng. Nguồn dữ liệu sơ cấp chuẩn xác sẽ chuẩn hóa lại các hệ số trong bộ câu hỏi Chương 3 và hoàn thiện các mô hình định lượng ở Chương 4 với độ tin cậy tuyệt đối.</w:t>
      </w:r>
    </w:p>
    <w:p w14:paraId="3358B61C">
      <w:pPr>
        <w:jc w:val="left"/>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EE6A2"/>
    <w:multiLevelType w:val="multilevel"/>
    <w:tmpl w:val="A8FEE6A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5AA3256C"/>
    <w:multiLevelType w:val="multilevel"/>
    <w:tmpl w:val="5AA325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2D5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76" w:lineRule="auto"/>
      <w:jc w:val="both"/>
    </w:pPr>
    <w:rPr>
      <w:rFonts w:asciiTheme="minorHAnsi" w:hAnsiTheme="minorHAnsi" w:eastAsiaTheme="minorEastAsia" w:cstheme="minorBidi"/>
      <w:sz w:val="26"/>
      <w:szCs w:val="26"/>
      <w:lang w:val="vi"/>
    </w:rPr>
  </w:style>
  <w:style w:type="paragraph" w:styleId="2">
    <w:name w:val="heading 1"/>
    <w:basedOn w:val="1"/>
    <w:next w:val="1"/>
    <w:qFormat/>
    <w:uiPriority w:val="0"/>
    <w:pPr>
      <w:keepNext/>
      <w:keepLines/>
      <w:spacing w:before="240" w:after="240"/>
      <w:jc w:val="both"/>
    </w:pPr>
    <w:rPr>
      <w:b/>
      <w:bCs/>
      <w:sz w:val="26"/>
      <w:szCs w:val="26"/>
    </w:rPr>
  </w:style>
  <w:style w:type="paragraph" w:styleId="3">
    <w:name w:val="heading 2"/>
    <w:basedOn w:val="1"/>
    <w:next w:val="1"/>
    <w:qFormat/>
    <w:uiPriority w:val="0"/>
    <w:pPr>
      <w:keepNext/>
      <w:keepLines/>
      <w:jc w:val="both"/>
    </w:pPr>
    <w:rPr>
      <w:sz w:val="26"/>
      <w:szCs w:val="26"/>
    </w:rPr>
  </w:style>
  <w:style w:type="paragraph" w:styleId="4">
    <w:name w:val="heading 3"/>
    <w:basedOn w:val="1"/>
    <w:next w:val="1"/>
    <w:qFormat/>
    <w:uiPriority w:val="0"/>
    <w:pPr>
      <w:keepNext/>
      <w:keepLines/>
      <w:spacing w:before="240" w:after="40"/>
    </w:pPr>
    <w:rPr>
      <w:b/>
      <w:bCs/>
      <w:sz w:val="26"/>
      <w:szCs w:val="26"/>
    </w:rPr>
  </w:style>
  <w:style w:type="paragraph" w:styleId="5">
    <w:name w:val="heading 4"/>
    <w:basedOn w:val="1"/>
    <w:next w:val="1"/>
    <w:qFormat/>
    <w:uiPriority w:val="0"/>
    <w:pPr>
      <w:keepNext/>
      <w:keepLines/>
      <w:spacing w:after="240" w:line="276" w:lineRule="auto"/>
      <w:jc w:val="both"/>
    </w:pPr>
    <w:rPr>
      <w:b/>
      <w:bCs/>
      <w:sz w:val="26"/>
      <w:szCs w:val="26"/>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2026-09-09T14:56:33Z</dcterms:created>
  <dc:creator>nhann</dc:creator>
  <cp:lastModifiedBy>Nam N</cp:lastModifiedBy>
  <dcterms:modified xsi:type="dcterms:W3CDTF">2026-09-09T14:56:51Z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eyJoZGlkIjoiNjIwN2JhZjdlZTNiOGRiYzI2Y2EwNDdkYmU5ZTRhYTEiLCJ1c2VySWQiOiIxMzkyMTkwMTE1OTcyIn0=</vt:lpwstr>
  </property>
  <property fmtid="{D5CDD505-2E9C-101B-9397-08002B2CF9AE}" pid="4" name="ICV">
    <vt:lpwstr>743401B593474329A89AEAD3375EE2B2_12</vt:lpwstr>
  </property>
</Properties>
</file>