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24" w:rsidRDefault="00C24B24" w:rsidP="00836D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DCD" w:rsidRDefault="001E5DCD" w:rsidP="00836D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DCD" w:rsidRDefault="001E5DCD" w:rsidP="00836D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DCD" w:rsidRDefault="001E5DCD" w:rsidP="00836D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943918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4B24" w:rsidRPr="00366AB1" w:rsidRDefault="00C24B24" w:rsidP="00366AB1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66AB1">
            <w:rPr>
              <w:rFonts w:ascii="Times New Roman" w:hAnsi="Times New Roman" w:cs="Times New Roman"/>
              <w:b/>
              <w:color w:val="000000" w:themeColor="text1"/>
            </w:rPr>
            <w:t>Table of content</w:t>
          </w:r>
        </w:p>
        <w:p w:rsidR="00C22CEE" w:rsidRDefault="00C24B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74446" w:history="1"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22CEE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Equity valuation</w:t>
            </w:r>
            <w:r w:rsidR="00C22CEE">
              <w:rPr>
                <w:noProof/>
                <w:webHidden/>
              </w:rPr>
              <w:tab/>
            </w:r>
            <w:r w:rsidR="00C22CEE">
              <w:rPr>
                <w:noProof/>
                <w:webHidden/>
              </w:rPr>
              <w:fldChar w:fldCharType="begin"/>
            </w:r>
            <w:r w:rsidR="00C22CEE">
              <w:rPr>
                <w:noProof/>
                <w:webHidden/>
              </w:rPr>
              <w:instrText xml:space="preserve"> PAGEREF _Toc201174446 \h </w:instrText>
            </w:r>
            <w:r w:rsidR="00C22CEE">
              <w:rPr>
                <w:noProof/>
                <w:webHidden/>
              </w:rPr>
            </w:r>
            <w:r w:rsidR="00C22CEE">
              <w:rPr>
                <w:noProof/>
                <w:webHidden/>
              </w:rPr>
              <w:fldChar w:fldCharType="separate"/>
            </w:r>
            <w:r w:rsidR="00C22CEE">
              <w:rPr>
                <w:noProof/>
                <w:webHidden/>
              </w:rPr>
              <w:t>2</w:t>
            </w:r>
            <w:r w:rsidR="00C22CEE">
              <w:rPr>
                <w:noProof/>
                <w:webHidden/>
              </w:rPr>
              <w:fldChar w:fldCharType="end"/>
            </w:r>
          </w:hyperlink>
        </w:p>
        <w:p w:rsidR="00C22CEE" w:rsidRDefault="00C628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01174447" w:history="1"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C22CEE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International expansion project in Belgium</w:t>
            </w:r>
            <w:r w:rsidR="00C22CEE">
              <w:rPr>
                <w:noProof/>
                <w:webHidden/>
              </w:rPr>
              <w:tab/>
            </w:r>
            <w:r w:rsidR="00C22CEE">
              <w:rPr>
                <w:noProof/>
                <w:webHidden/>
              </w:rPr>
              <w:fldChar w:fldCharType="begin"/>
            </w:r>
            <w:r w:rsidR="00C22CEE">
              <w:rPr>
                <w:noProof/>
                <w:webHidden/>
              </w:rPr>
              <w:instrText xml:space="preserve"> PAGEREF _Toc201174447 \h </w:instrText>
            </w:r>
            <w:r w:rsidR="00C22CEE">
              <w:rPr>
                <w:noProof/>
                <w:webHidden/>
              </w:rPr>
            </w:r>
            <w:r w:rsidR="00C22CEE">
              <w:rPr>
                <w:noProof/>
                <w:webHidden/>
              </w:rPr>
              <w:fldChar w:fldCharType="separate"/>
            </w:r>
            <w:r w:rsidR="00C22CEE">
              <w:rPr>
                <w:noProof/>
                <w:webHidden/>
              </w:rPr>
              <w:t>4</w:t>
            </w:r>
            <w:r w:rsidR="00C22CEE">
              <w:rPr>
                <w:noProof/>
                <w:webHidden/>
              </w:rPr>
              <w:fldChar w:fldCharType="end"/>
            </w:r>
          </w:hyperlink>
        </w:p>
        <w:p w:rsidR="00C22CEE" w:rsidRDefault="00C628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01174448" w:history="1"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C22CEE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Capital structure</w:t>
            </w:r>
            <w:r w:rsidR="00C22CEE">
              <w:rPr>
                <w:noProof/>
                <w:webHidden/>
              </w:rPr>
              <w:tab/>
            </w:r>
            <w:r w:rsidR="00C22CEE">
              <w:rPr>
                <w:noProof/>
                <w:webHidden/>
              </w:rPr>
              <w:fldChar w:fldCharType="begin"/>
            </w:r>
            <w:r w:rsidR="00C22CEE">
              <w:rPr>
                <w:noProof/>
                <w:webHidden/>
              </w:rPr>
              <w:instrText xml:space="preserve"> PAGEREF _Toc201174448 \h </w:instrText>
            </w:r>
            <w:r w:rsidR="00C22CEE">
              <w:rPr>
                <w:noProof/>
                <w:webHidden/>
              </w:rPr>
            </w:r>
            <w:r w:rsidR="00C22CEE">
              <w:rPr>
                <w:noProof/>
                <w:webHidden/>
              </w:rPr>
              <w:fldChar w:fldCharType="separate"/>
            </w:r>
            <w:r w:rsidR="00C22CEE">
              <w:rPr>
                <w:noProof/>
                <w:webHidden/>
              </w:rPr>
              <w:t>9</w:t>
            </w:r>
            <w:r w:rsidR="00C22CEE">
              <w:rPr>
                <w:noProof/>
                <w:webHidden/>
              </w:rPr>
              <w:fldChar w:fldCharType="end"/>
            </w:r>
          </w:hyperlink>
        </w:p>
        <w:p w:rsidR="00C22CEE" w:rsidRDefault="00C628D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201174449" w:history="1"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C22CEE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C22CEE" w:rsidRPr="000809A7">
              <w:rPr>
                <w:rStyle w:val="Hyperlink"/>
                <w:rFonts w:ascii="Times New Roman" w:hAnsi="Times New Roman" w:cs="Times New Roman"/>
                <w:b/>
                <w:noProof/>
              </w:rPr>
              <w:t>Dividend policy</w:t>
            </w:r>
            <w:r w:rsidR="00C22CEE">
              <w:rPr>
                <w:noProof/>
                <w:webHidden/>
              </w:rPr>
              <w:tab/>
            </w:r>
            <w:r w:rsidR="00C22CEE">
              <w:rPr>
                <w:noProof/>
                <w:webHidden/>
              </w:rPr>
              <w:fldChar w:fldCharType="begin"/>
            </w:r>
            <w:r w:rsidR="00C22CEE">
              <w:rPr>
                <w:noProof/>
                <w:webHidden/>
              </w:rPr>
              <w:instrText xml:space="preserve"> PAGEREF _Toc201174449 \h </w:instrText>
            </w:r>
            <w:r w:rsidR="00C22CEE">
              <w:rPr>
                <w:noProof/>
                <w:webHidden/>
              </w:rPr>
            </w:r>
            <w:r w:rsidR="00C22CEE">
              <w:rPr>
                <w:noProof/>
                <w:webHidden/>
              </w:rPr>
              <w:fldChar w:fldCharType="separate"/>
            </w:r>
            <w:r w:rsidR="00C22CEE">
              <w:rPr>
                <w:noProof/>
                <w:webHidden/>
              </w:rPr>
              <w:t>10</w:t>
            </w:r>
            <w:r w:rsidR="00C22CEE">
              <w:rPr>
                <w:noProof/>
                <w:webHidden/>
              </w:rPr>
              <w:fldChar w:fldCharType="end"/>
            </w:r>
          </w:hyperlink>
        </w:p>
        <w:p w:rsidR="00C24B24" w:rsidRDefault="00C24B24" w:rsidP="00836DC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C24B24" w:rsidP="00836DC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0C89" w:rsidRDefault="0088139E" w:rsidP="00836DCC">
      <w:pPr>
        <w:pStyle w:val="Heading1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201174446"/>
      <w:r w:rsidRPr="00C24B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Equity valuation</w:t>
      </w:r>
      <w:bookmarkEnd w:id="0"/>
    </w:p>
    <w:p w:rsidR="00C24B24" w:rsidRDefault="00C24B24" w:rsidP="00836DCC">
      <w:pPr>
        <w:jc w:val="both"/>
      </w:pPr>
    </w:p>
    <w:p w:rsidR="00836DCC" w:rsidRDefault="00836DCC" w:rsidP="00836D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6DCC">
        <w:rPr>
          <w:rFonts w:ascii="Times New Roman" w:hAnsi="Times New Roman" w:cs="Times New Roman"/>
          <w:sz w:val="24"/>
          <w:szCs w:val="24"/>
        </w:rPr>
        <w:t xml:space="preserve">Non-cash flow methodologies are used to evaluate equity value. </w:t>
      </w:r>
    </w:p>
    <w:p w:rsidR="00836DCC" w:rsidRPr="00836DCC" w:rsidRDefault="00836DCC" w:rsidP="00836D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6DCC">
        <w:rPr>
          <w:rFonts w:ascii="Times New Roman" w:hAnsi="Times New Roman" w:cs="Times New Roman"/>
          <w:sz w:val="24"/>
          <w:szCs w:val="24"/>
        </w:rPr>
        <w:t>a/</w:t>
      </w:r>
    </w:p>
    <w:p w:rsidR="00C24B24" w:rsidRDefault="00836DCC" w:rsidP="00836DC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earnings ratio (P/E</w:t>
      </w:r>
      <w:r w:rsidRPr="00836DCC">
        <w:rPr>
          <w:rFonts w:ascii="Times New Roman" w:hAnsi="Times New Roman" w:cs="Times New Roman"/>
          <w:sz w:val="24"/>
          <w:szCs w:val="24"/>
        </w:rPr>
        <w:t>) displays how much a shareholder is prepared to pay for a share, assumed its current earnings per share (EPS). Therefore, P</w:t>
      </w:r>
      <w:r>
        <w:rPr>
          <w:rFonts w:ascii="Times New Roman" w:hAnsi="Times New Roman" w:cs="Times New Roman"/>
          <w:sz w:val="24"/>
          <w:szCs w:val="24"/>
        </w:rPr>
        <w:t>/E</w:t>
      </w:r>
      <w:r w:rsidRPr="00836DCC">
        <w:rPr>
          <w:rFonts w:ascii="Times New Roman" w:hAnsi="Times New Roman" w:cs="Times New Roman"/>
          <w:sz w:val="24"/>
          <w:szCs w:val="24"/>
        </w:rPr>
        <w:t xml:space="preserve"> can show the investors’ confidence in the expected future performance of a firm</w:t>
      </w:r>
      <w:r w:rsidR="00313893">
        <w:rPr>
          <w:rFonts w:ascii="Times New Roman" w:hAnsi="Times New Roman" w:cs="Times New Roman"/>
          <w:sz w:val="24"/>
          <w:szCs w:val="24"/>
        </w:rPr>
        <w:t>.</w:t>
      </w:r>
    </w:p>
    <w:p w:rsidR="00313893" w:rsidRDefault="00313893" w:rsidP="00836DC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3893">
        <w:rPr>
          <w:noProof/>
          <w:lang w:val="en-US"/>
        </w:rPr>
        <w:drawing>
          <wp:inline distT="0" distB="0" distL="0" distR="0" wp14:anchorId="789AA5FC" wp14:editId="5FDEBFFD">
            <wp:extent cx="5943600" cy="30462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93" w:rsidRDefault="00313893" w:rsidP="00313893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893">
        <w:rPr>
          <w:rFonts w:ascii="Times New Roman" w:hAnsi="Times New Roman" w:cs="Times New Roman"/>
          <w:b/>
          <w:sz w:val="24"/>
          <w:szCs w:val="24"/>
        </w:rPr>
        <w:t>Figure 1: Price earnings ratio (P/E) of Edinburgh Plc</w:t>
      </w:r>
    </w:p>
    <w:p w:rsidR="00313893" w:rsidRDefault="00313893" w:rsidP="0031389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3893">
        <w:rPr>
          <w:rFonts w:ascii="Times New Roman" w:hAnsi="Times New Roman" w:cs="Times New Roman"/>
          <w:sz w:val="24"/>
          <w:szCs w:val="24"/>
        </w:rPr>
        <w:t>The figure 1 shows the P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13893">
        <w:rPr>
          <w:rFonts w:ascii="Times New Roman" w:hAnsi="Times New Roman" w:cs="Times New Roman"/>
          <w:sz w:val="24"/>
          <w:szCs w:val="24"/>
        </w:rPr>
        <w:t xml:space="preserve">E is 20.8 is above </w:t>
      </w:r>
      <w:r w:rsidR="002250C4">
        <w:rPr>
          <w:rFonts w:ascii="Times New Roman" w:hAnsi="Times New Roman" w:cs="Times New Roman"/>
          <w:sz w:val="24"/>
          <w:szCs w:val="24"/>
        </w:rPr>
        <w:t xml:space="preserve">P/E of </w:t>
      </w:r>
      <w:r>
        <w:rPr>
          <w:rFonts w:ascii="Times New Roman" w:hAnsi="Times New Roman" w:cs="Times New Roman"/>
          <w:sz w:val="24"/>
          <w:szCs w:val="24"/>
        </w:rPr>
        <w:t>FTSE All-share i</w:t>
      </w:r>
      <w:r w:rsidR="002250C4">
        <w:rPr>
          <w:rFonts w:ascii="Times New Roman" w:hAnsi="Times New Roman" w:cs="Times New Roman"/>
          <w:sz w:val="24"/>
          <w:szCs w:val="24"/>
        </w:rPr>
        <w:t xml:space="preserve">ndex </w:t>
      </w:r>
      <w:r w:rsidRPr="00313893">
        <w:rPr>
          <w:rFonts w:ascii="Times New Roman" w:hAnsi="Times New Roman" w:cs="Times New Roman"/>
          <w:sz w:val="24"/>
          <w:szCs w:val="24"/>
        </w:rPr>
        <w:t>+10% (1</w:t>
      </w:r>
      <w:r>
        <w:rPr>
          <w:rFonts w:ascii="Times New Roman" w:hAnsi="Times New Roman" w:cs="Times New Roman"/>
          <w:sz w:val="24"/>
          <w:szCs w:val="24"/>
        </w:rPr>
        <w:t>7</w:t>
      </w:r>
      <w:r w:rsidR="0061011C">
        <w:rPr>
          <w:rFonts w:ascii="Times New Roman" w:hAnsi="Times New Roman" w:cs="Times New Roman"/>
          <w:sz w:val="24"/>
          <w:szCs w:val="24"/>
        </w:rPr>
        <w:t>.2), shares appear overvalued.</w:t>
      </w:r>
    </w:p>
    <w:p w:rsidR="00C4235E" w:rsidRPr="00C4235E" w:rsidRDefault="00C4235E" w:rsidP="00C423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235E">
        <w:rPr>
          <w:rFonts w:ascii="Times New Roman" w:hAnsi="Times New Roman" w:cs="Times New Roman"/>
          <w:sz w:val="24"/>
          <w:szCs w:val="24"/>
        </w:rPr>
        <w:t xml:space="preserve">b/ </w:t>
      </w:r>
    </w:p>
    <w:p w:rsidR="00313893" w:rsidRDefault="00C4235E" w:rsidP="00C423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235E">
        <w:rPr>
          <w:rFonts w:ascii="Times New Roman" w:hAnsi="Times New Roman" w:cs="Times New Roman"/>
          <w:sz w:val="24"/>
          <w:szCs w:val="24"/>
        </w:rPr>
        <w:t>Dividend yield (DY) provides a measure of potential return investors expect to receive in exchange for acquiring a specified share.</w:t>
      </w:r>
    </w:p>
    <w:p w:rsidR="00313893" w:rsidRDefault="00C4235E" w:rsidP="00C4235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235E">
        <w:rPr>
          <w:noProof/>
          <w:lang w:val="en-US"/>
        </w:rPr>
        <w:lastRenderedPageBreak/>
        <w:drawing>
          <wp:inline distT="0" distB="0" distL="0" distR="0" wp14:anchorId="7F782818" wp14:editId="3FA72318">
            <wp:extent cx="5943600" cy="3019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93" w:rsidRDefault="002B5A5C" w:rsidP="002B5A5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5A5C">
        <w:rPr>
          <w:rFonts w:ascii="Times New Roman" w:hAnsi="Times New Roman" w:cs="Times New Roman"/>
          <w:b/>
          <w:sz w:val="24"/>
          <w:szCs w:val="24"/>
        </w:rPr>
        <w:t>Picture 2: Dividend yield of Edinburgh Plc</w:t>
      </w:r>
    </w:p>
    <w:p w:rsidR="00BE650D" w:rsidRPr="00BE650D" w:rsidRDefault="00BE650D" w:rsidP="00BE65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2 indicates dividend yield</w:t>
      </w:r>
      <w:r w:rsidRPr="00BE650D">
        <w:rPr>
          <w:rFonts w:ascii="Times New Roman" w:hAnsi="Times New Roman" w:cs="Times New Roman"/>
          <w:sz w:val="24"/>
          <w:szCs w:val="24"/>
        </w:rPr>
        <w:t xml:space="preserve"> is 3.8% is below </w:t>
      </w:r>
      <w:r w:rsidR="00BE2B7F">
        <w:rPr>
          <w:rFonts w:ascii="Times New Roman" w:hAnsi="Times New Roman" w:cs="Times New Roman"/>
          <w:sz w:val="24"/>
          <w:szCs w:val="24"/>
        </w:rPr>
        <w:t>DY of FTSE All-share i</w:t>
      </w:r>
      <w:r w:rsidRPr="00BE650D">
        <w:rPr>
          <w:rFonts w:ascii="Times New Roman" w:hAnsi="Times New Roman" w:cs="Times New Roman"/>
          <w:sz w:val="24"/>
          <w:szCs w:val="24"/>
        </w:rPr>
        <w:t xml:space="preserve">ndex </w:t>
      </w:r>
      <w:r w:rsidR="00BE2B7F">
        <w:rPr>
          <w:rFonts w:ascii="Times New Roman" w:hAnsi="Times New Roman" w:cs="Times New Roman"/>
          <w:sz w:val="24"/>
          <w:szCs w:val="24"/>
        </w:rPr>
        <w:t>-10% (4.7</w:t>
      </w:r>
      <w:r w:rsidRPr="00BE650D">
        <w:rPr>
          <w:rFonts w:ascii="Times New Roman" w:hAnsi="Times New Roman" w:cs="Times New Roman"/>
          <w:sz w:val="24"/>
          <w:szCs w:val="24"/>
        </w:rPr>
        <w:t>%), shar</w:t>
      </w:r>
      <w:r w:rsidR="0061011C">
        <w:rPr>
          <w:rFonts w:ascii="Times New Roman" w:hAnsi="Times New Roman" w:cs="Times New Roman"/>
          <w:sz w:val="24"/>
          <w:szCs w:val="24"/>
        </w:rPr>
        <w:t xml:space="preserve">es appear overvalued. </w:t>
      </w:r>
    </w:p>
    <w:p w:rsidR="00BE650D" w:rsidRPr="00BE650D" w:rsidRDefault="00BE650D" w:rsidP="00BE65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E650D" w:rsidRPr="00BE650D" w:rsidRDefault="00BE650D" w:rsidP="00BE65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7256">
        <w:rPr>
          <w:rFonts w:ascii="Times New Roman" w:hAnsi="Times New Roman" w:cs="Times New Roman"/>
          <w:b/>
          <w:sz w:val="24"/>
          <w:szCs w:val="24"/>
          <w:u w:val="single"/>
        </w:rPr>
        <w:t xml:space="preserve">Conclusion </w:t>
      </w:r>
    </w:p>
    <w:p w:rsidR="00BE650D" w:rsidRPr="00BE650D" w:rsidRDefault="00BE650D" w:rsidP="00BE65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650D">
        <w:rPr>
          <w:rFonts w:ascii="Times New Roman" w:hAnsi="Times New Roman" w:cs="Times New Roman"/>
          <w:sz w:val="24"/>
          <w:szCs w:val="24"/>
        </w:rPr>
        <w:t>•</w:t>
      </w:r>
      <w:r w:rsidRPr="00BE650D">
        <w:rPr>
          <w:rFonts w:ascii="Times New Roman" w:hAnsi="Times New Roman" w:cs="Times New Roman"/>
          <w:sz w:val="24"/>
          <w:szCs w:val="24"/>
        </w:rPr>
        <w:tab/>
        <w:t>When prospective P</w:t>
      </w:r>
      <w:r w:rsidR="00AE7256">
        <w:rPr>
          <w:rFonts w:ascii="Times New Roman" w:hAnsi="Times New Roman" w:cs="Times New Roman"/>
          <w:sz w:val="24"/>
          <w:szCs w:val="24"/>
        </w:rPr>
        <w:t xml:space="preserve">/E </w:t>
      </w:r>
      <w:r w:rsidRPr="00BE650D">
        <w:rPr>
          <w:rFonts w:ascii="Times New Roman" w:hAnsi="Times New Roman" w:cs="Times New Roman"/>
          <w:sz w:val="24"/>
          <w:szCs w:val="24"/>
        </w:rPr>
        <w:t xml:space="preserve">of FTSE All‐Share index </w:t>
      </w:r>
      <w:r w:rsidR="00AE7256">
        <w:rPr>
          <w:rFonts w:ascii="Times New Roman" w:hAnsi="Times New Roman" w:cs="Times New Roman"/>
          <w:sz w:val="24"/>
          <w:szCs w:val="24"/>
        </w:rPr>
        <w:t>is 15.6</w:t>
      </w:r>
      <w:r w:rsidRPr="00BE650D">
        <w:rPr>
          <w:rFonts w:ascii="Times New Roman" w:hAnsi="Times New Roman" w:cs="Times New Roman"/>
          <w:sz w:val="24"/>
          <w:szCs w:val="24"/>
        </w:rPr>
        <w:t>, the company P</w:t>
      </w:r>
      <w:r w:rsidR="00AE7256">
        <w:rPr>
          <w:rFonts w:ascii="Times New Roman" w:hAnsi="Times New Roman" w:cs="Times New Roman"/>
          <w:sz w:val="24"/>
          <w:szCs w:val="24"/>
        </w:rPr>
        <w:t>/</w:t>
      </w:r>
      <w:r w:rsidRPr="00BE650D">
        <w:rPr>
          <w:rFonts w:ascii="Times New Roman" w:hAnsi="Times New Roman" w:cs="Times New Roman"/>
          <w:sz w:val="24"/>
          <w:szCs w:val="24"/>
        </w:rPr>
        <w:t>E (2</w:t>
      </w:r>
      <w:r w:rsidR="00AE7256">
        <w:rPr>
          <w:rFonts w:ascii="Times New Roman" w:hAnsi="Times New Roman" w:cs="Times New Roman"/>
          <w:sz w:val="24"/>
          <w:szCs w:val="24"/>
        </w:rPr>
        <w:t>0.8) is above Index PER +10% (17</w:t>
      </w:r>
      <w:r w:rsidRPr="00BE650D">
        <w:rPr>
          <w:rFonts w:ascii="Times New Roman" w:hAnsi="Times New Roman" w:cs="Times New Roman"/>
          <w:sz w:val="24"/>
          <w:szCs w:val="24"/>
        </w:rPr>
        <w:t xml:space="preserve">.2), then shares appear overvalued. However, future earnings per share </w:t>
      </w:r>
      <w:r w:rsidR="007E7536">
        <w:rPr>
          <w:rFonts w:ascii="Times New Roman" w:hAnsi="Times New Roman" w:cs="Times New Roman"/>
          <w:sz w:val="24"/>
          <w:szCs w:val="24"/>
        </w:rPr>
        <w:t xml:space="preserve">(EPS) </w:t>
      </w:r>
      <w:r w:rsidRPr="00BE650D">
        <w:rPr>
          <w:rFonts w:ascii="Times New Roman" w:hAnsi="Times New Roman" w:cs="Times New Roman"/>
          <w:sz w:val="24"/>
          <w:szCs w:val="24"/>
        </w:rPr>
        <w:t>growth expectat</w:t>
      </w:r>
      <w:r w:rsidR="00063BB1">
        <w:rPr>
          <w:rFonts w:ascii="Times New Roman" w:hAnsi="Times New Roman" w:cs="Times New Roman"/>
          <w:sz w:val="24"/>
          <w:szCs w:val="24"/>
        </w:rPr>
        <w:t>ions are n</w:t>
      </w:r>
      <w:r w:rsidR="0061011C">
        <w:rPr>
          <w:rFonts w:ascii="Times New Roman" w:hAnsi="Times New Roman" w:cs="Times New Roman"/>
          <w:sz w:val="24"/>
          <w:szCs w:val="24"/>
        </w:rPr>
        <w:t>early 2% for both 2025 and 2026</w:t>
      </w:r>
      <w:r w:rsidRPr="00BE650D">
        <w:rPr>
          <w:rFonts w:ascii="Times New Roman" w:hAnsi="Times New Roman" w:cs="Times New Roman"/>
          <w:sz w:val="24"/>
          <w:szCs w:val="24"/>
        </w:rPr>
        <w:t>. Therefore, shares are not justified by weak future profit growth expectations.</w:t>
      </w:r>
    </w:p>
    <w:p w:rsidR="00BE650D" w:rsidRPr="00BE650D" w:rsidRDefault="00063BB1" w:rsidP="00BE65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When prospective dividend yield</w:t>
      </w:r>
      <w:r w:rsidR="00F65E42">
        <w:rPr>
          <w:rFonts w:ascii="Times New Roman" w:hAnsi="Times New Roman" w:cs="Times New Roman"/>
          <w:sz w:val="24"/>
          <w:szCs w:val="24"/>
        </w:rPr>
        <w:t xml:space="preserve"> of FTSE All‐Share index is 4.3%, the company dividend yield </w:t>
      </w:r>
      <w:r w:rsidR="00BE650D" w:rsidRPr="00BE650D">
        <w:rPr>
          <w:rFonts w:ascii="Times New Roman" w:hAnsi="Times New Roman" w:cs="Times New Roman"/>
          <w:sz w:val="24"/>
          <w:szCs w:val="24"/>
        </w:rPr>
        <w:t>(</w:t>
      </w:r>
      <w:r w:rsidR="00F65E42">
        <w:rPr>
          <w:rFonts w:ascii="Times New Roman" w:hAnsi="Times New Roman" w:cs="Times New Roman"/>
          <w:sz w:val="24"/>
          <w:szCs w:val="24"/>
        </w:rPr>
        <w:t>3.8%) is below Index DY -10% (3.9</w:t>
      </w:r>
      <w:r w:rsidR="00BE650D" w:rsidRPr="00BE650D">
        <w:rPr>
          <w:rFonts w:ascii="Times New Roman" w:hAnsi="Times New Roman" w:cs="Times New Roman"/>
          <w:sz w:val="24"/>
          <w:szCs w:val="24"/>
        </w:rPr>
        <w:t>%), then shares appear overvalued. However, future dividend growth exp</w:t>
      </w:r>
      <w:r w:rsidR="00747C50">
        <w:rPr>
          <w:rFonts w:ascii="Times New Roman" w:hAnsi="Times New Roman" w:cs="Times New Roman"/>
          <w:sz w:val="24"/>
          <w:szCs w:val="24"/>
        </w:rPr>
        <w:t>ectations are 4% and 3% for 2025 and 2026</w:t>
      </w:r>
      <w:r w:rsidR="0061011C">
        <w:rPr>
          <w:rFonts w:ascii="Times New Roman" w:hAnsi="Times New Roman" w:cs="Times New Roman"/>
          <w:sz w:val="24"/>
          <w:szCs w:val="24"/>
        </w:rPr>
        <w:t>, respectively</w:t>
      </w:r>
      <w:r w:rsidR="00BE650D" w:rsidRPr="00BE650D">
        <w:rPr>
          <w:rFonts w:ascii="Times New Roman" w:hAnsi="Times New Roman" w:cs="Times New Roman"/>
          <w:sz w:val="24"/>
          <w:szCs w:val="24"/>
        </w:rPr>
        <w:t>. Therefore, shares are not justified by slow future dividend growth expectations.</w:t>
      </w:r>
    </w:p>
    <w:p w:rsidR="00313893" w:rsidRPr="00313893" w:rsidRDefault="00BE650D" w:rsidP="00BE650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650D">
        <w:rPr>
          <w:rFonts w:ascii="Times New Roman" w:hAnsi="Times New Roman" w:cs="Times New Roman"/>
          <w:sz w:val="24"/>
          <w:szCs w:val="24"/>
        </w:rPr>
        <w:t>•</w:t>
      </w:r>
      <w:r w:rsidRPr="00BE650D">
        <w:rPr>
          <w:rFonts w:ascii="Times New Roman" w:hAnsi="Times New Roman" w:cs="Times New Roman"/>
          <w:sz w:val="24"/>
          <w:szCs w:val="24"/>
        </w:rPr>
        <w:tab/>
        <w:t>Overall, the company’s shares are not fairly valued by the equity market. They are overvalued.</w:t>
      </w:r>
    </w:p>
    <w:p w:rsidR="0088139E" w:rsidRDefault="0088139E" w:rsidP="00836DCC">
      <w:pPr>
        <w:pStyle w:val="Heading1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01174447"/>
      <w:r w:rsidRPr="00C24B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International expansion project in Belgium</w:t>
      </w:r>
      <w:bookmarkEnd w:id="1"/>
    </w:p>
    <w:p w:rsidR="00C24B24" w:rsidRDefault="00C24B24" w:rsidP="00836DCC">
      <w:pPr>
        <w:jc w:val="both"/>
      </w:pPr>
    </w:p>
    <w:p w:rsidR="007767E8" w:rsidRDefault="007767E8" w:rsidP="007767E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51B">
        <w:rPr>
          <w:rFonts w:ascii="Times New Roman" w:hAnsi="Times New Roman" w:cs="Times New Roman"/>
          <w:b/>
          <w:sz w:val="24"/>
          <w:szCs w:val="24"/>
        </w:rPr>
        <w:t>a/ Cost of Equity (</w:t>
      </w:r>
      <w:proofErr w:type="spellStart"/>
      <w:r w:rsidRPr="0011551B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11551B">
        <w:rPr>
          <w:rFonts w:ascii="Times New Roman" w:hAnsi="Times New Roman" w:cs="Times New Roman"/>
          <w:b/>
          <w:sz w:val="24"/>
          <w:szCs w:val="24"/>
        </w:rPr>
        <w:t>)</w:t>
      </w:r>
    </w:p>
    <w:p w:rsidR="00FE53DB" w:rsidRPr="0011551B" w:rsidRDefault="00FE53DB" w:rsidP="007767E8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4B24" w:rsidRDefault="0011551B" w:rsidP="0011551B">
      <w:pPr>
        <w:ind w:left="360"/>
        <w:jc w:val="both"/>
      </w:pPr>
      <w:r w:rsidRPr="0011551B">
        <w:rPr>
          <w:noProof/>
          <w:lang w:val="en-US"/>
        </w:rPr>
        <w:drawing>
          <wp:inline distT="0" distB="0" distL="0" distR="0" wp14:anchorId="09FA2BA9" wp14:editId="5D69A100">
            <wp:extent cx="5943600" cy="275558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DF" w:rsidRDefault="00DC06DF" w:rsidP="00DC06D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6DF">
        <w:rPr>
          <w:rFonts w:ascii="Times New Roman" w:hAnsi="Times New Roman" w:cs="Times New Roman"/>
          <w:b/>
          <w:sz w:val="24"/>
          <w:szCs w:val="24"/>
        </w:rPr>
        <w:t>Figure 3: Cost of equity (</w:t>
      </w:r>
      <w:proofErr w:type="spellStart"/>
      <w:r w:rsidRPr="00DC06DF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DC06DF">
        <w:rPr>
          <w:rFonts w:ascii="Times New Roman" w:hAnsi="Times New Roman" w:cs="Times New Roman"/>
          <w:b/>
          <w:sz w:val="24"/>
          <w:szCs w:val="24"/>
        </w:rPr>
        <w:t>) of Edinburgh Plc</w:t>
      </w: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06DF" w:rsidRDefault="00DC06DF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indicates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1011C">
        <w:rPr>
          <w:rFonts w:ascii="Times New Roman" w:hAnsi="Times New Roman" w:cs="Times New Roman"/>
          <w:sz w:val="24"/>
          <w:szCs w:val="24"/>
        </w:rPr>
        <w:t xml:space="preserve"> is 7.31%.</w:t>
      </w: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3DB" w:rsidRDefault="00FE53DB" w:rsidP="00DC06D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53DB">
        <w:rPr>
          <w:rFonts w:ascii="Times New Roman" w:hAnsi="Times New Roman" w:cs="Times New Roman"/>
          <w:b/>
          <w:sz w:val="24"/>
          <w:szCs w:val="24"/>
        </w:rPr>
        <w:lastRenderedPageBreak/>
        <w:t>b/ Cost of debt (</w:t>
      </w:r>
      <w:proofErr w:type="spellStart"/>
      <w:r w:rsidRPr="00FE53DB">
        <w:rPr>
          <w:rFonts w:ascii="Times New Roman" w:hAnsi="Times New Roman" w:cs="Times New Roman"/>
          <w:b/>
          <w:sz w:val="24"/>
          <w:szCs w:val="24"/>
        </w:rPr>
        <w:t>Kd</w:t>
      </w:r>
      <w:proofErr w:type="spellEnd"/>
      <w:r w:rsidRPr="00FE53DB">
        <w:rPr>
          <w:rFonts w:ascii="Times New Roman" w:hAnsi="Times New Roman" w:cs="Times New Roman"/>
          <w:b/>
          <w:sz w:val="24"/>
          <w:szCs w:val="24"/>
        </w:rPr>
        <w:t>)</w:t>
      </w:r>
    </w:p>
    <w:p w:rsidR="00FE53DB" w:rsidRDefault="00247090" w:rsidP="00DC06D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090">
        <w:rPr>
          <w:noProof/>
          <w:lang w:val="en-US"/>
        </w:rPr>
        <w:drawing>
          <wp:inline distT="0" distB="0" distL="0" distR="0" wp14:anchorId="38525617" wp14:editId="49BD8912">
            <wp:extent cx="5943600" cy="46254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4A" w:rsidRDefault="0099174A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4: Cost of debt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of Edinburgh Plc</w:t>
      </w:r>
    </w:p>
    <w:p w:rsidR="00366AB1" w:rsidRPr="00366AB1" w:rsidRDefault="00366AB1" w:rsidP="00366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AB1">
        <w:rPr>
          <w:rFonts w:ascii="Times New Roman" w:hAnsi="Times New Roman" w:cs="Times New Roman"/>
          <w:sz w:val="24"/>
          <w:szCs w:val="24"/>
        </w:rPr>
        <w:t>Figure 4 below shows KD is 3.</w:t>
      </w:r>
      <w:r w:rsidR="00247090">
        <w:rPr>
          <w:rFonts w:ascii="Times New Roman" w:hAnsi="Times New Roman" w:cs="Times New Roman"/>
          <w:sz w:val="24"/>
          <w:szCs w:val="24"/>
        </w:rPr>
        <w:t>5</w:t>
      </w:r>
      <w:r w:rsidR="00573D97">
        <w:rPr>
          <w:rFonts w:ascii="Times New Roman" w:hAnsi="Times New Roman" w:cs="Times New Roman"/>
          <w:sz w:val="24"/>
          <w:szCs w:val="24"/>
        </w:rPr>
        <w:t>1</w:t>
      </w:r>
      <w:r w:rsidR="0061011C">
        <w:rPr>
          <w:rFonts w:ascii="Times New Roman" w:hAnsi="Times New Roman" w:cs="Times New Roman"/>
          <w:sz w:val="24"/>
          <w:szCs w:val="24"/>
        </w:rPr>
        <w:t xml:space="preserve">%. </w:t>
      </w:r>
      <w:bookmarkStart w:id="2" w:name="_GoBack"/>
      <w:bookmarkEnd w:id="2"/>
    </w:p>
    <w:p w:rsidR="00366AB1" w:rsidRDefault="00366AB1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6AB1" w:rsidRDefault="00366AB1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6AB1" w:rsidRDefault="00366AB1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6AB1" w:rsidRDefault="00366AB1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6AB1" w:rsidRDefault="00366AB1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88C" w:rsidRDefault="00C6788C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B4D" w:rsidRDefault="007B5B4D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5B4D" w:rsidRDefault="007B5B4D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6AB1" w:rsidRDefault="00366AB1" w:rsidP="0099174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209E" w:rsidRDefault="000D209E" w:rsidP="000D209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09E">
        <w:rPr>
          <w:rFonts w:ascii="Times New Roman" w:hAnsi="Times New Roman" w:cs="Times New Roman"/>
          <w:b/>
          <w:sz w:val="24"/>
          <w:szCs w:val="24"/>
        </w:rPr>
        <w:lastRenderedPageBreak/>
        <w:t>c/ The weighted average cost of capital (WACC)</w:t>
      </w:r>
    </w:p>
    <w:p w:rsidR="000D209E" w:rsidRDefault="00C6788C" w:rsidP="000D209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88C">
        <w:rPr>
          <w:noProof/>
          <w:lang w:val="en-US"/>
        </w:rPr>
        <w:drawing>
          <wp:inline distT="0" distB="0" distL="0" distR="0" wp14:anchorId="074053C8" wp14:editId="49DAC3C5">
            <wp:extent cx="5943600" cy="3034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AB1" w:rsidRDefault="00366AB1" w:rsidP="00366AB1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5: The WACC of Edinburgh Plc</w:t>
      </w:r>
    </w:p>
    <w:p w:rsidR="00366AB1" w:rsidRDefault="00366AB1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66AB1">
        <w:rPr>
          <w:rFonts w:ascii="Times New Roman" w:hAnsi="Times New Roman" w:cs="Times New Roman"/>
          <w:sz w:val="24"/>
          <w:szCs w:val="24"/>
        </w:rPr>
        <w:t xml:space="preserve">The WACC renovates market prices of a business’ securities to a money discount rate for investment appraisal purposes. Figure 5 indicates WACC is </w:t>
      </w:r>
      <w:r w:rsidR="007B5B4D">
        <w:rPr>
          <w:rFonts w:ascii="Times New Roman" w:hAnsi="Times New Roman" w:cs="Times New Roman"/>
          <w:sz w:val="24"/>
          <w:szCs w:val="24"/>
        </w:rPr>
        <w:t>6.</w:t>
      </w:r>
      <w:r w:rsidR="00C6788C">
        <w:rPr>
          <w:rFonts w:ascii="Times New Roman" w:hAnsi="Times New Roman" w:cs="Times New Roman"/>
          <w:sz w:val="24"/>
          <w:szCs w:val="24"/>
        </w:rPr>
        <w:t>9</w:t>
      </w:r>
      <w:r w:rsidRPr="00366AB1">
        <w:rPr>
          <w:rFonts w:ascii="Times New Roman" w:hAnsi="Times New Roman" w:cs="Times New Roman"/>
          <w:sz w:val="24"/>
          <w:szCs w:val="24"/>
        </w:rPr>
        <w:t>%.</w:t>
      </w:r>
    </w:p>
    <w:p w:rsidR="00366AB1" w:rsidRPr="00366AB1" w:rsidRDefault="00366AB1" w:rsidP="00366AB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AB1">
        <w:rPr>
          <w:rFonts w:ascii="Times New Roman" w:hAnsi="Times New Roman" w:cs="Times New Roman"/>
          <w:b/>
          <w:sz w:val="24"/>
          <w:szCs w:val="24"/>
        </w:rPr>
        <w:t>d/ Investment appraisal methodologies:</w:t>
      </w:r>
    </w:p>
    <w:p w:rsidR="00CC2A84" w:rsidRDefault="00CC2A84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WACC is</w:t>
      </w:r>
      <w:r w:rsidRPr="00CC2A84">
        <w:rPr>
          <w:rFonts w:ascii="Times New Roman" w:hAnsi="Times New Roman" w:cs="Times New Roman"/>
          <w:sz w:val="24"/>
          <w:szCs w:val="24"/>
        </w:rPr>
        <w:t xml:space="preserve"> used as the discount rate to determine whether the international facility should be expanded</w:t>
      </w:r>
      <w:r>
        <w:rPr>
          <w:rFonts w:ascii="Times New Roman" w:hAnsi="Times New Roman" w:cs="Times New Roman"/>
          <w:sz w:val="24"/>
          <w:szCs w:val="24"/>
        </w:rPr>
        <w:t xml:space="preserve"> because:</w:t>
      </w:r>
    </w:p>
    <w:p w:rsidR="00CC2A84" w:rsidRDefault="00CC2A84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</w:t>
      </w:r>
      <w:r w:rsidRPr="00CC2A84">
        <w:rPr>
          <w:rFonts w:ascii="Times New Roman" w:hAnsi="Times New Roman" w:cs="Times New Roman"/>
          <w:sz w:val="24"/>
          <w:szCs w:val="24"/>
        </w:rPr>
        <w:t xml:space="preserve">nvestment amount £3.5m </w:t>
      </w:r>
      <w:r>
        <w:rPr>
          <w:rFonts w:ascii="Times New Roman" w:hAnsi="Times New Roman" w:cs="Times New Roman"/>
          <w:sz w:val="24"/>
          <w:szCs w:val="24"/>
        </w:rPr>
        <w:t>(EUR 3m/0.8530) is 0.6% of MV of (£616</w:t>
      </w:r>
      <w:r w:rsidRPr="00CC2A84">
        <w:rPr>
          <w:rFonts w:ascii="Times New Roman" w:hAnsi="Times New Roman" w:cs="Times New Roman"/>
          <w:sz w:val="24"/>
          <w:szCs w:val="24"/>
        </w:rPr>
        <w:t>m) (less than 10%)</w:t>
      </w:r>
      <w:r>
        <w:rPr>
          <w:rFonts w:ascii="Times New Roman" w:hAnsi="Times New Roman" w:cs="Times New Roman"/>
          <w:sz w:val="24"/>
          <w:szCs w:val="24"/>
        </w:rPr>
        <w:t>, therefore the project size is marginal.</w:t>
      </w:r>
    </w:p>
    <w:p w:rsidR="00CC2A84" w:rsidRDefault="00CC2A84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C2A84">
        <w:rPr>
          <w:rFonts w:ascii="Times New Roman" w:hAnsi="Times New Roman" w:cs="Times New Roman"/>
          <w:sz w:val="24"/>
          <w:szCs w:val="24"/>
        </w:rPr>
        <w:t>There is no business risk because it is only expansion of one of the company's existing facilities in Belgium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2A84" w:rsidRDefault="00CC2A84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C2A84">
        <w:rPr>
          <w:rFonts w:ascii="Times New Roman" w:hAnsi="Times New Roman" w:cs="Times New Roman"/>
          <w:sz w:val="24"/>
          <w:szCs w:val="24"/>
        </w:rPr>
        <w:t>There is no financial risk because the project can be funded from the company’s existing resources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3394" w:rsidRDefault="00BF3394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1134" w:rsidRDefault="0045589D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D6277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971134">
        <w:rPr>
          <w:rFonts w:ascii="Times New Roman" w:hAnsi="Times New Roman" w:cs="Times New Roman"/>
          <w:sz w:val="24"/>
          <w:szCs w:val="24"/>
        </w:rPr>
        <w:t xml:space="preserve"> </w:t>
      </w:r>
      <w:r w:rsidR="00971134" w:rsidRPr="00971134">
        <w:rPr>
          <w:rFonts w:ascii="Times New Roman" w:hAnsi="Times New Roman" w:cs="Times New Roman"/>
          <w:sz w:val="24"/>
          <w:szCs w:val="24"/>
        </w:rPr>
        <w:t xml:space="preserve">Net Present Value (NPV) method uses discounted cash flows </w:t>
      </w:r>
      <w:r w:rsidR="000A4D81">
        <w:rPr>
          <w:rFonts w:ascii="Times New Roman" w:hAnsi="Times New Roman" w:cs="Times New Roman"/>
          <w:sz w:val="24"/>
          <w:szCs w:val="24"/>
        </w:rPr>
        <w:t xml:space="preserve">(DCF) </w:t>
      </w:r>
      <w:r w:rsidR="00971134" w:rsidRPr="00971134">
        <w:rPr>
          <w:rFonts w:ascii="Times New Roman" w:hAnsi="Times New Roman" w:cs="Times New Roman"/>
          <w:sz w:val="24"/>
          <w:szCs w:val="24"/>
        </w:rPr>
        <w:t>to evaluate capital investment projects</w:t>
      </w:r>
      <w:r w:rsidR="000E393A">
        <w:rPr>
          <w:rFonts w:ascii="Times New Roman" w:hAnsi="Times New Roman" w:cs="Times New Roman"/>
          <w:sz w:val="24"/>
          <w:szCs w:val="24"/>
        </w:rPr>
        <w:t xml:space="preserve">. </w:t>
      </w:r>
      <w:r w:rsidR="000E393A" w:rsidRPr="000E393A">
        <w:rPr>
          <w:rFonts w:ascii="Times New Roman" w:hAnsi="Times New Roman" w:cs="Times New Roman"/>
          <w:sz w:val="24"/>
          <w:szCs w:val="24"/>
        </w:rPr>
        <w:t xml:space="preserve">Figure 6 shows that NPV of expansion project in Belgium is </w:t>
      </w:r>
      <w:r w:rsidR="001B0426">
        <w:rPr>
          <w:rFonts w:ascii="Times New Roman" w:hAnsi="Times New Roman" w:cs="Times New Roman"/>
          <w:sz w:val="24"/>
          <w:szCs w:val="24"/>
        </w:rPr>
        <w:t>+</w:t>
      </w:r>
      <w:r w:rsidR="000E393A">
        <w:rPr>
          <w:rFonts w:ascii="Times New Roman" w:hAnsi="Times New Roman" w:cs="Times New Roman"/>
          <w:sz w:val="24"/>
          <w:szCs w:val="24"/>
        </w:rPr>
        <w:t>£</w:t>
      </w:r>
      <w:r w:rsidR="000E393A" w:rsidRPr="000E393A">
        <w:rPr>
          <w:rFonts w:ascii="Times New Roman" w:hAnsi="Times New Roman" w:cs="Times New Roman"/>
          <w:sz w:val="24"/>
          <w:szCs w:val="24"/>
        </w:rPr>
        <w:t>1,4</w:t>
      </w:r>
      <w:r w:rsidR="008244BA">
        <w:rPr>
          <w:rFonts w:ascii="Times New Roman" w:hAnsi="Times New Roman" w:cs="Times New Roman"/>
          <w:sz w:val="24"/>
          <w:szCs w:val="24"/>
        </w:rPr>
        <w:t>60</w:t>
      </w:r>
      <w:r w:rsidR="000E393A" w:rsidRPr="000E393A">
        <w:rPr>
          <w:rFonts w:ascii="Times New Roman" w:hAnsi="Times New Roman" w:cs="Times New Roman"/>
          <w:sz w:val="24"/>
          <w:szCs w:val="24"/>
        </w:rPr>
        <w:t>,</w:t>
      </w:r>
      <w:r w:rsidR="008244BA">
        <w:rPr>
          <w:rFonts w:ascii="Times New Roman" w:hAnsi="Times New Roman" w:cs="Times New Roman"/>
          <w:sz w:val="24"/>
          <w:szCs w:val="24"/>
        </w:rPr>
        <w:t>406</w:t>
      </w:r>
      <w:r w:rsidR="000E393A">
        <w:rPr>
          <w:rFonts w:ascii="Times New Roman" w:hAnsi="Times New Roman" w:cs="Times New Roman"/>
          <w:sz w:val="24"/>
          <w:szCs w:val="24"/>
        </w:rPr>
        <w:t xml:space="preserve"> </w:t>
      </w:r>
      <w:r w:rsidR="000E393A" w:rsidRPr="000E393A">
        <w:rPr>
          <w:rFonts w:ascii="Times New Roman" w:hAnsi="Times New Roman" w:cs="Times New Roman"/>
          <w:sz w:val="24"/>
          <w:szCs w:val="24"/>
        </w:rPr>
        <w:t>which is positive, company should set up the facility.</w:t>
      </w:r>
    </w:p>
    <w:p w:rsidR="001B0426" w:rsidRDefault="00BF3394" w:rsidP="00366AB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3394">
        <w:drawing>
          <wp:inline distT="0" distB="0" distL="0" distR="0">
            <wp:extent cx="5943600" cy="24356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26" w:rsidRDefault="001B0426" w:rsidP="0045589D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426">
        <w:rPr>
          <w:rFonts w:ascii="Times New Roman" w:hAnsi="Times New Roman" w:cs="Times New Roman"/>
          <w:b/>
          <w:sz w:val="24"/>
          <w:szCs w:val="24"/>
        </w:rPr>
        <w:t xml:space="preserve">Figure 6: Net </w:t>
      </w:r>
      <w:r w:rsidR="00462C54">
        <w:rPr>
          <w:rFonts w:ascii="Times New Roman" w:hAnsi="Times New Roman" w:cs="Times New Roman"/>
          <w:b/>
          <w:sz w:val="24"/>
          <w:szCs w:val="24"/>
        </w:rPr>
        <w:t>P</w:t>
      </w:r>
      <w:r w:rsidRPr="001B0426">
        <w:rPr>
          <w:rFonts w:ascii="Times New Roman" w:hAnsi="Times New Roman" w:cs="Times New Roman"/>
          <w:b/>
          <w:sz w:val="24"/>
          <w:szCs w:val="24"/>
        </w:rPr>
        <w:t xml:space="preserve">resent </w:t>
      </w:r>
      <w:r w:rsidR="00462C54">
        <w:rPr>
          <w:rFonts w:ascii="Times New Roman" w:hAnsi="Times New Roman" w:cs="Times New Roman"/>
          <w:b/>
          <w:sz w:val="24"/>
          <w:szCs w:val="24"/>
        </w:rPr>
        <w:t>V</w:t>
      </w:r>
      <w:r w:rsidRPr="001B0426">
        <w:rPr>
          <w:rFonts w:ascii="Times New Roman" w:hAnsi="Times New Roman" w:cs="Times New Roman"/>
          <w:b/>
          <w:sz w:val="24"/>
          <w:szCs w:val="24"/>
        </w:rPr>
        <w:t>alue (NPV) of expansion project in Belgium</w:t>
      </w:r>
    </w:p>
    <w:p w:rsidR="00201AC4" w:rsidRDefault="00201AC4" w:rsidP="005D40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D209E" w:rsidRDefault="0045589D" w:rsidP="005D40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6277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Internal </w:t>
      </w:r>
      <w:r w:rsidR="00462C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ate of </w:t>
      </w:r>
      <w:r w:rsidR="00462C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eturn (IRR) </w:t>
      </w:r>
      <w:r w:rsidRPr="0045589D">
        <w:rPr>
          <w:rFonts w:ascii="Times New Roman" w:hAnsi="Times New Roman" w:cs="Times New Roman"/>
          <w:sz w:val="24"/>
          <w:szCs w:val="24"/>
        </w:rPr>
        <w:t>method is the cost of capital</w:t>
      </w:r>
      <w:r w:rsidR="005D4056">
        <w:rPr>
          <w:rFonts w:ascii="Times New Roman" w:hAnsi="Times New Roman" w:cs="Times New Roman"/>
          <w:sz w:val="24"/>
          <w:szCs w:val="24"/>
        </w:rPr>
        <w:t xml:space="preserve">. </w:t>
      </w:r>
      <w:r w:rsidR="005D4056" w:rsidRPr="005D4056">
        <w:rPr>
          <w:rFonts w:ascii="Times New Roman" w:hAnsi="Times New Roman" w:cs="Times New Roman"/>
          <w:sz w:val="24"/>
          <w:szCs w:val="24"/>
        </w:rPr>
        <w:t>Figure 7 indicates that IRR of expa</w:t>
      </w:r>
      <w:r w:rsidR="005D4056">
        <w:rPr>
          <w:rFonts w:ascii="Times New Roman" w:hAnsi="Times New Roman" w:cs="Times New Roman"/>
          <w:sz w:val="24"/>
          <w:szCs w:val="24"/>
        </w:rPr>
        <w:t>nsion project in Belgium is 14.5</w:t>
      </w:r>
      <w:r w:rsidR="005D4056" w:rsidRPr="005D4056">
        <w:rPr>
          <w:rFonts w:ascii="Times New Roman" w:hAnsi="Times New Roman" w:cs="Times New Roman"/>
          <w:sz w:val="24"/>
          <w:szCs w:val="24"/>
        </w:rPr>
        <w:t>% is higher than the cost of capital (7.31%), company should set up facility.</w:t>
      </w:r>
    </w:p>
    <w:p w:rsidR="000D209E" w:rsidRDefault="005D4056" w:rsidP="005D40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4056">
        <w:rPr>
          <w:noProof/>
          <w:lang w:val="en-US"/>
        </w:rPr>
        <w:drawing>
          <wp:inline distT="0" distB="0" distL="0" distR="0" wp14:anchorId="354FB1B3" wp14:editId="4D60E4D0">
            <wp:extent cx="5943600" cy="12245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9E" w:rsidRDefault="00D62777" w:rsidP="00D6277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777">
        <w:rPr>
          <w:rFonts w:ascii="Times New Roman" w:hAnsi="Times New Roman" w:cs="Times New Roman"/>
          <w:b/>
          <w:sz w:val="24"/>
          <w:szCs w:val="24"/>
        </w:rPr>
        <w:t xml:space="preserve">Figure 7: </w:t>
      </w:r>
      <w:r w:rsidR="003E73CC">
        <w:rPr>
          <w:rFonts w:ascii="Times New Roman" w:hAnsi="Times New Roman" w:cs="Times New Roman"/>
          <w:b/>
          <w:sz w:val="24"/>
          <w:szCs w:val="24"/>
        </w:rPr>
        <w:t>Internal Rate of Return (</w:t>
      </w:r>
      <w:r w:rsidRPr="00D62777">
        <w:rPr>
          <w:rFonts w:ascii="Times New Roman" w:hAnsi="Times New Roman" w:cs="Times New Roman"/>
          <w:b/>
          <w:sz w:val="24"/>
          <w:szCs w:val="24"/>
        </w:rPr>
        <w:t>IRR</w:t>
      </w:r>
      <w:r w:rsidR="003E73CC">
        <w:rPr>
          <w:rFonts w:ascii="Times New Roman" w:hAnsi="Times New Roman" w:cs="Times New Roman"/>
          <w:b/>
          <w:sz w:val="24"/>
          <w:szCs w:val="24"/>
        </w:rPr>
        <w:t>)</w:t>
      </w:r>
      <w:r w:rsidRPr="00D62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C54" w:rsidRPr="00D62777">
        <w:rPr>
          <w:rFonts w:ascii="Times New Roman" w:hAnsi="Times New Roman" w:cs="Times New Roman"/>
          <w:b/>
          <w:sz w:val="24"/>
          <w:szCs w:val="24"/>
        </w:rPr>
        <w:t>of expansion project in Belgium</w:t>
      </w:r>
    </w:p>
    <w:p w:rsidR="00201AC4" w:rsidRDefault="00201AC4" w:rsidP="00D62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1AC4" w:rsidRDefault="00201AC4" w:rsidP="00D62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1AC4" w:rsidRDefault="00201AC4" w:rsidP="00D62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D209E" w:rsidRDefault="00D62777" w:rsidP="00D62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(3) </w:t>
      </w:r>
      <w:r w:rsidRPr="00D62777">
        <w:rPr>
          <w:rFonts w:ascii="Times New Roman" w:hAnsi="Times New Roman" w:cs="Times New Roman"/>
          <w:sz w:val="24"/>
          <w:szCs w:val="24"/>
        </w:rPr>
        <w:t xml:space="preserve">Discounted </w:t>
      </w:r>
      <w:r w:rsidR="00462C54" w:rsidRPr="00D62777">
        <w:rPr>
          <w:rFonts w:ascii="Times New Roman" w:hAnsi="Times New Roman" w:cs="Times New Roman"/>
          <w:sz w:val="24"/>
          <w:szCs w:val="24"/>
        </w:rPr>
        <w:t xml:space="preserve">Payback Period (DPP) </w:t>
      </w:r>
      <w:r w:rsidRPr="00D62777">
        <w:rPr>
          <w:rFonts w:ascii="Times New Roman" w:hAnsi="Times New Roman" w:cs="Times New Roman"/>
          <w:sz w:val="24"/>
          <w:szCs w:val="24"/>
        </w:rPr>
        <w:t>is the period for a project’s initial cash outflows to be recovered. Figure 8 shows that DPP of exp</w:t>
      </w:r>
      <w:r w:rsidR="005F5EBB">
        <w:rPr>
          <w:rFonts w:ascii="Times New Roman" w:hAnsi="Times New Roman" w:cs="Times New Roman"/>
          <w:sz w:val="24"/>
          <w:szCs w:val="24"/>
        </w:rPr>
        <w:t>ansion project in Belgium is 6.7</w:t>
      </w:r>
      <w:r w:rsidR="007E20A7">
        <w:rPr>
          <w:rFonts w:ascii="Times New Roman" w:hAnsi="Times New Roman" w:cs="Times New Roman"/>
          <w:sz w:val="24"/>
          <w:szCs w:val="24"/>
        </w:rPr>
        <w:t>5</w:t>
      </w:r>
      <w:r w:rsidRPr="00D62777">
        <w:rPr>
          <w:rFonts w:ascii="Times New Roman" w:hAnsi="Times New Roman" w:cs="Times New Roman"/>
          <w:sz w:val="24"/>
          <w:szCs w:val="24"/>
        </w:rPr>
        <w:t xml:space="preserve"> years</w:t>
      </w:r>
      <w:r w:rsidR="005F5EBB">
        <w:rPr>
          <w:rFonts w:ascii="Times New Roman" w:hAnsi="Times New Roman" w:cs="Times New Roman"/>
          <w:sz w:val="24"/>
          <w:szCs w:val="24"/>
        </w:rPr>
        <w:t>.</w:t>
      </w:r>
    </w:p>
    <w:p w:rsidR="000D209E" w:rsidRDefault="007E20A7" w:rsidP="00D627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20A7">
        <w:rPr>
          <w:noProof/>
          <w:lang w:val="en-US"/>
        </w:rPr>
        <w:drawing>
          <wp:inline distT="0" distB="0" distL="0" distR="0" wp14:anchorId="1936CFAA" wp14:editId="66C966E6">
            <wp:extent cx="5943600" cy="977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9E" w:rsidRDefault="00462C54" w:rsidP="00462C54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C54">
        <w:rPr>
          <w:rFonts w:ascii="Times New Roman" w:hAnsi="Times New Roman" w:cs="Times New Roman"/>
          <w:b/>
          <w:sz w:val="24"/>
          <w:szCs w:val="24"/>
        </w:rPr>
        <w:t>Figure 8: Discounted Payback Period (DPP)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777">
        <w:rPr>
          <w:rFonts w:ascii="Times New Roman" w:hAnsi="Times New Roman" w:cs="Times New Roman"/>
          <w:b/>
          <w:sz w:val="24"/>
          <w:szCs w:val="24"/>
        </w:rPr>
        <w:t>of expansion project in Belgium</w:t>
      </w:r>
    </w:p>
    <w:p w:rsidR="000D209E" w:rsidRDefault="00BA5A06" w:rsidP="00BA5A0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A06">
        <w:rPr>
          <w:rFonts w:ascii="Times New Roman" w:hAnsi="Times New Roman" w:cs="Times New Roman"/>
          <w:b/>
          <w:sz w:val="24"/>
          <w:szCs w:val="24"/>
        </w:rPr>
        <w:t>e/ Advice:</w:t>
      </w:r>
    </w:p>
    <w:p w:rsidR="000D209E" w:rsidRDefault="00227CA8" w:rsidP="00BA5A0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A5A06">
        <w:rPr>
          <w:rFonts w:ascii="Times New Roman" w:hAnsi="Times New Roman" w:cs="Times New Roman"/>
          <w:sz w:val="24"/>
          <w:szCs w:val="24"/>
        </w:rPr>
        <w:t xml:space="preserve">he project's </w:t>
      </w:r>
      <w:r w:rsidR="002E73FF">
        <w:rPr>
          <w:rFonts w:ascii="Times New Roman" w:hAnsi="Times New Roman" w:cs="Times New Roman"/>
          <w:sz w:val="24"/>
          <w:szCs w:val="24"/>
        </w:rPr>
        <w:t>IRR (14.5</w:t>
      </w:r>
      <w:r w:rsidR="00BA5A06" w:rsidRPr="00BA5A06">
        <w:rPr>
          <w:rFonts w:ascii="Times New Roman" w:hAnsi="Times New Roman" w:cs="Times New Roman"/>
          <w:sz w:val="24"/>
          <w:szCs w:val="24"/>
        </w:rPr>
        <w:t xml:space="preserve">%) is higher than the cost of capital (7.31%) and it has a positive NPV </w:t>
      </w:r>
      <w:r w:rsidR="002E73FF">
        <w:rPr>
          <w:rFonts w:ascii="Times New Roman" w:hAnsi="Times New Roman" w:cs="Times New Roman"/>
          <w:sz w:val="24"/>
          <w:szCs w:val="24"/>
        </w:rPr>
        <w:t>(</w:t>
      </w:r>
      <w:r w:rsidR="002E73FF" w:rsidRPr="002E73FF">
        <w:rPr>
          <w:rFonts w:ascii="Times New Roman" w:hAnsi="Times New Roman" w:cs="Times New Roman"/>
          <w:sz w:val="24"/>
          <w:szCs w:val="24"/>
        </w:rPr>
        <w:t>+£1,4</w:t>
      </w:r>
      <w:r w:rsidR="007E20A7">
        <w:rPr>
          <w:rFonts w:ascii="Times New Roman" w:hAnsi="Times New Roman" w:cs="Times New Roman"/>
          <w:sz w:val="24"/>
          <w:szCs w:val="24"/>
        </w:rPr>
        <w:t>60</w:t>
      </w:r>
      <w:r w:rsidR="002E73FF" w:rsidRPr="002E73FF">
        <w:rPr>
          <w:rFonts w:ascii="Times New Roman" w:hAnsi="Times New Roman" w:cs="Times New Roman"/>
          <w:sz w:val="24"/>
          <w:szCs w:val="24"/>
        </w:rPr>
        <w:t>,</w:t>
      </w:r>
      <w:r w:rsidR="007E20A7">
        <w:rPr>
          <w:rFonts w:ascii="Times New Roman" w:hAnsi="Times New Roman" w:cs="Times New Roman"/>
          <w:sz w:val="24"/>
          <w:szCs w:val="24"/>
        </w:rPr>
        <w:t>406</w:t>
      </w:r>
      <w:r w:rsidR="00BA5A06" w:rsidRPr="002E73FF">
        <w:rPr>
          <w:rFonts w:ascii="Times New Roman" w:hAnsi="Times New Roman" w:cs="Times New Roman"/>
          <w:sz w:val="24"/>
          <w:szCs w:val="24"/>
        </w:rPr>
        <w:t>)</w:t>
      </w:r>
      <w:r w:rsidR="00BA5A06" w:rsidRPr="00BA5A06">
        <w:rPr>
          <w:rFonts w:ascii="Times New Roman" w:hAnsi="Times New Roman" w:cs="Times New Roman"/>
          <w:sz w:val="24"/>
          <w:szCs w:val="24"/>
        </w:rPr>
        <w:t>, therefore the company should accept the expansion project in Belgium and it is forecast to increase shareholder wealth.</w:t>
      </w:r>
    </w:p>
    <w:p w:rsidR="0088139E" w:rsidRDefault="0088139E" w:rsidP="00836DCC">
      <w:pPr>
        <w:pStyle w:val="Heading1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01174448"/>
      <w:r w:rsidRPr="00C24B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Capital structure</w:t>
      </w:r>
      <w:bookmarkEnd w:id="3"/>
    </w:p>
    <w:p w:rsidR="00C24B24" w:rsidRDefault="001B3604" w:rsidP="00DC7D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gearing calculation:</w:t>
      </w:r>
    </w:p>
    <w:p w:rsidR="001B3604" w:rsidRDefault="000A2CD9" w:rsidP="00DC7D9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2CD9">
        <w:rPr>
          <w:noProof/>
          <w:lang w:val="en-US"/>
        </w:rPr>
        <w:drawing>
          <wp:inline distT="0" distB="0" distL="0" distR="0" wp14:anchorId="577D83F5" wp14:editId="053C3842">
            <wp:extent cx="5943600" cy="27853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04" w:rsidRDefault="001B3604" w:rsidP="001B360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3604">
        <w:rPr>
          <w:rFonts w:ascii="Times New Roman" w:hAnsi="Times New Roman" w:cs="Times New Roman"/>
          <w:b/>
          <w:sz w:val="24"/>
          <w:szCs w:val="24"/>
        </w:rPr>
        <w:t>Figure 9: Capital structure of Edinburgh Plc</w:t>
      </w:r>
    </w:p>
    <w:p w:rsidR="00686DDF" w:rsidRPr="00686DDF" w:rsidRDefault="00686DDF" w:rsidP="00686DD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DDF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84292C" w:rsidRDefault="00686DDF" w:rsidP="00686D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6DDF">
        <w:rPr>
          <w:rFonts w:ascii="Times New Roman" w:hAnsi="Times New Roman" w:cs="Times New Roman"/>
          <w:sz w:val="24"/>
          <w:szCs w:val="24"/>
        </w:rPr>
        <w:t>- Figure 9 indicates that c</w:t>
      </w:r>
      <w:r w:rsidR="00440C74">
        <w:rPr>
          <w:rFonts w:ascii="Times New Roman" w:hAnsi="Times New Roman" w:cs="Times New Roman"/>
          <w:sz w:val="24"/>
          <w:szCs w:val="24"/>
        </w:rPr>
        <w:t>urrent financial gearing is 10.7</w:t>
      </w:r>
      <w:r w:rsidR="0061011C">
        <w:rPr>
          <w:rFonts w:ascii="Times New Roman" w:hAnsi="Times New Roman" w:cs="Times New Roman"/>
          <w:sz w:val="24"/>
          <w:szCs w:val="24"/>
        </w:rPr>
        <w:t>%,</w:t>
      </w:r>
      <w:r w:rsidRPr="00686DDF">
        <w:rPr>
          <w:rFonts w:ascii="Times New Roman" w:hAnsi="Times New Roman" w:cs="Times New Roman"/>
          <w:sz w:val="24"/>
          <w:szCs w:val="24"/>
        </w:rPr>
        <w:t xml:space="preserve"> </w:t>
      </w:r>
      <w:r w:rsidR="00393A08">
        <w:rPr>
          <w:rFonts w:ascii="Times New Roman" w:hAnsi="Times New Roman" w:cs="Times New Roman"/>
          <w:sz w:val="24"/>
          <w:szCs w:val="24"/>
        </w:rPr>
        <w:t xml:space="preserve">well </w:t>
      </w:r>
      <w:r w:rsidRPr="00686DDF">
        <w:rPr>
          <w:rFonts w:ascii="Times New Roman" w:hAnsi="Times New Roman" w:cs="Times New Roman"/>
          <w:sz w:val="24"/>
          <w:szCs w:val="24"/>
        </w:rPr>
        <w:t>below the optima</w:t>
      </w:r>
      <w:r w:rsidR="00991277">
        <w:rPr>
          <w:rFonts w:ascii="Times New Roman" w:hAnsi="Times New Roman" w:cs="Times New Roman"/>
          <w:sz w:val="24"/>
          <w:szCs w:val="24"/>
        </w:rPr>
        <w:t>l level of financial gearing (</w:t>
      </w:r>
      <w:r w:rsidR="00CA0D60">
        <w:rPr>
          <w:rFonts w:ascii="Times New Roman" w:hAnsi="Times New Roman" w:cs="Times New Roman"/>
          <w:sz w:val="24"/>
          <w:szCs w:val="24"/>
        </w:rPr>
        <w:t>30</w:t>
      </w:r>
      <w:r w:rsidRPr="00686DDF">
        <w:rPr>
          <w:rFonts w:ascii="Times New Roman" w:hAnsi="Times New Roman" w:cs="Times New Roman"/>
          <w:sz w:val="24"/>
          <w:szCs w:val="24"/>
        </w:rPr>
        <w:t xml:space="preserve">%). </w:t>
      </w:r>
      <w:r w:rsidR="00393A08">
        <w:rPr>
          <w:rFonts w:ascii="Times New Roman" w:hAnsi="Times New Roman" w:cs="Times New Roman"/>
          <w:sz w:val="24"/>
          <w:szCs w:val="24"/>
        </w:rPr>
        <w:t xml:space="preserve">According to </w:t>
      </w:r>
      <w:r w:rsidRPr="00686DDF">
        <w:rPr>
          <w:rFonts w:ascii="Times New Roman" w:hAnsi="Times New Roman" w:cs="Times New Roman"/>
          <w:sz w:val="24"/>
          <w:szCs w:val="24"/>
        </w:rPr>
        <w:t>M&amp;M's with-tax theory</w:t>
      </w:r>
      <w:r w:rsidR="00393A08">
        <w:rPr>
          <w:rFonts w:ascii="Times New Roman" w:hAnsi="Times New Roman" w:cs="Times New Roman"/>
          <w:sz w:val="24"/>
          <w:szCs w:val="24"/>
        </w:rPr>
        <w:t>, the firm is giving</w:t>
      </w:r>
      <w:r w:rsidR="00393A08" w:rsidRPr="00393A08">
        <w:rPr>
          <w:rFonts w:ascii="Times New Roman" w:hAnsi="Times New Roman" w:cs="Times New Roman"/>
          <w:sz w:val="24"/>
          <w:szCs w:val="24"/>
        </w:rPr>
        <w:t xml:space="preserve"> up potential tax shields by using insufficient debt</w:t>
      </w:r>
      <w:r w:rsidR="00EB7B96">
        <w:rPr>
          <w:rFonts w:ascii="Times New Roman" w:hAnsi="Times New Roman" w:cs="Times New Roman"/>
          <w:sz w:val="24"/>
          <w:szCs w:val="24"/>
        </w:rPr>
        <w:t xml:space="preserve">. Using M&amp;M theory, we can estimate that </w:t>
      </w:r>
      <w:r w:rsidR="00EB7B96" w:rsidRPr="00EB7B96">
        <w:rPr>
          <w:rFonts w:ascii="Times New Roman" w:hAnsi="Times New Roman" w:cs="Times New Roman"/>
          <w:sz w:val="24"/>
          <w:szCs w:val="24"/>
        </w:rPr>
        <w:t xml:space="preserve">increasing debt </w:t>
      </w:r>
      <w:r w:rsidR="00EB7B96" w:rsidRPr="00EB7B96">
        <w:rPr>
          <w:rFonts w:ascii="Times New Roman" w:hAnsi="Times New Roman" w:cs="Times New Roman"/>
          <w:sz w:val="24"/>
          <w:szCs w:val="24"/>
        </w:rPr>
        <w:lastRenderedPageBreak/>
        <w:t xml:space="preserve">to align with industry averages </w:t>
      </w:r>
      <w:r w:rsidR="00EB7B96">
        <w:rPr>
          <w:rFonts w:ascii="Times New Roman" w:hAnsi="Times New Roman" w:cs="Times New Roman"/>
          <w:sz w:val="24"/>
          <w:szCs w:val="24"/>
        </w:rPr>
        <w:t xml:space="preserve">(25%-50%) </w:t>
      </w:r>
      <w:r w:rsidR="00EB7B96" w:rsidRPr="00EB7B96">
        <w:rPr>
          <w:rFonts w:ascii="Times New Roman" w:hAnsi="Times New Roman" w:cs="Times New Roman"/>
          <w:sz w:val="24"/>
          <w:szCs w:val="24"/>
        </w:rPr>
        <w:t>would raise the firm’s market value by</w:t>
      </w:r>
      <w:r w:rsidR="0084292C">
        <w:rPr>
          <w:rFonts w:ascii="Times New Roman" w:hAnsi="Times New Roman" w:cs="Times New Roman"/>
          <w:sz w:val="24"/>
          <w:szCs w:val="24"/>
        </w:rPr>
        <w:t xml:space="preserve"> (Corporate Tax * Additional debt needed to reach target gearing).</w:t>
      </w:r>
    </w:p>
    <w:p w:rsidR="00686DDF" w:rsidRPr="00686DDF" w:rsidRDefault="0084292C" w:rsidP="00686D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4292C">
        <w:rPr>
          <w:rFonts w:ascii="Times New Roman" w:hAnsi="Times New Roman" w:cs="Times New Roman"/>
          <w:sz w:val="24"/>
          <w:szCs w:val="24"/>
        </w:rPr>
        <w:t>Furthermore, the trade-off theory supports this strategy at current levels, as the risk of financial distress is likely minimal at 10.7% gearing. Hence, we conclude the firm’s capital structure is sub-optimal, and a gradual increase in debt toward 30% gearing is recommended to reduce the WACC and enhance shareholder value.</w:t>
      </w:r>
    </w:p>
    <w:p w:rsidR="00440C74" w:rsidRDefault="00686DDF" w:rsidP="00686D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0C74">
        <w:rPr>
          <w:rFonts w:ascii="Times New Roman" w:hAnsi="Times New Roman" w:cs="Times New Roman"/>
          <w:sz w:val="24"/>
          <w:szCs w:val="24"/>
        </w:rPr>
        <w:t xml:space="preserve">- There are some methods to raise gearing, including </w:t>
      </w:r>
    </w:p>
    <w:p w:rsidR="00440C74" w:rsidRDefault="00440C74" w:rsidP="00686D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Issue more debts by taking out bank loans, issuing bonds that directly increases debts (liabilities) and raise gearing.</w:t>
      </w:r>
    </w:p>
    <w:p w:rsidR="00440C74" w:rsidRDefault="00440C74" w:rsidP="00686D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Repurchase shares (Buybacks) that reduces equity, thus increase gearing.</w:t>
      </w:r>
    </w:p>
    <w:p w:rsidR="00440C74" w:rsidRDefault="00440C74" w:rsidP="00686DD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Pay dividends that reduces retained earnings (equity), thus increase gearing</w:t>
      </w:r>
    </w:p>
    <w:p w:rsidR="0088139E" w:rsidRDefault="0088139E" w:rsidP="00836DCC">
      <w:pPr>
        <w:pStyle w:val="Heading1"/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01174449"/>
      <w:r w:rsidRPr="00C24B2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Dividend policy</w:t>
      </w:r>
      <w:bookmarkEnd w:id="4"/>
    </w:p>
    <w:p w:rsidR="006224A4" w:rsidRDefault="006224A4" w:rsidP="006224A4">
      <w:pPr>
        <w:ind w:left="360"/>
      </w:pPr>
    </w:p>
    <w:p w:rsidR="006224A4" w:rsidRPr="006224A4" w:rsidRDefault="006224A4" w:rsidP="006224A4">
      <w:pPr>
        <w:ind w:left="360"/>
      </w:pPr>
      <w:r w:rsidRPr="006224A4">
        <w:rPr>
          <w:noProof/>
          <w:lang w:val="en-US"/>
        </w:rPr>
        <w:drawing>
          <wp:inline distT="0" distB="0" distL="0" distR="0">
            <wp:extent cx="5943600" cy="197257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24" w:rsidRDefault="00EC6988" w:rsidP="00EC6988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988">
        <w:rPr>
          <w:rFonts w:ascii="Times New Roman" w:hAnsi="Times New Roman" w:cs="Times New Roman"/>
          <w:b/>
          <w:sz w:val="24"/>
          <w:szCs w:val="24"/>
        </w:rPr>
        <w:t>Figure 10: Dividend ratio of Edinburgh Plc</w:t>
      </w:r>
    </w:p>
    <w:p w:rsidR="002D0270" w:rsidRDefault="002D0270" w:rsidP="002D02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0270">
        <w:rPr>
          <w:rFonts w:ascii="Times New Roman" w:hAnsi="Times New Roman" w:cs="Times New Roman"/>
          <w:sz w:val="24"/>
          <w:szCs w:val="24"/>
        </w:rPr>
        <w:t>The company’s regular dividend policy can be best described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270">
        <w:rPr>
          <w:rFonts w:ascii="Times New Roman" w:hAnsi="Times New Roman" w:cs="Times New Roman"/>
          <w:sz w:val="24"/>
          <w:szCs w:val="24"/>
        </w:rPr>
        <w:t>progressive dividend policy</w:t>
      </w:r>
      <w:r w:rsidR="0085477F">
        <w:rPr>
          <w:rFonts w:ascii="Times New Roman" w:hAnsi="Times New Roman" w:cs="Times New Roman"/>
          <w:sz w:val="24"/>
          <w:szCs w:val="24"/>
        </w:rPr>
        <w:t xml:space="preserve"> as there was </w:t>
      </w:r>
      <w:r w:rsidR="0085477F" w:rsidRPr="0085477F">
        <w:rPr>
          <w:rFonts w:ascii="Times New Roman" w:hAnsi="Times New Roman" w:cs="Times New Roman"/>
          <w:sz w:val="24"/>
          <w:szCs w:val="24"/>
        </w:rPr>
        <w:t>steady dividend growth (around 3.5% per year), even while earnings per share (EPS) growth has remained modest (1.4%–1.6%)</w:t>
      </w:r>
      <w:r w:rsidR="007B17B1">
        <w:rPr>
          <w:rFonts w:ascii="Times New Roman" w:hAnsi="Times New Roman" w:cs="Times New Roman"/>
          <w:sz w:val="24"/>
          <w:szCs w:val="24"/>
        </w:rPr>
        <w:t xml:space="preserve"> and t</w:t>
      </w:r>
      <w:r w:rsidR="007B17B1" w:rsidRPr="007B17B1">
        <w:rPr>
          <w:rFonts w:ascii="Times New Roman" w:hAnsi="Times New Roman" w:cs="Times New Roman"/>
          <w:sz w:val="24"/>
          <w:szCs w:val="24"/>
        </w:rPr>
        <w:t>he gradual decline in dividend cover from 1.4 to 1.3</w:t>
      </w:r>
      <w:r w:rsidR="007B17B1">
        <w:rPr>
          <w:rFonts w:ascii="Times New Roman" w:hAnsi="Times New Roman" w:cs="Times New Roman"/>
          <w:sz w:val="24"/>
          <w:szCs w:val="24"/>
        </w:rPr>
        <w:t>.</w:t>
      </w:r>
    </w:p>
    <w:p w:rsidR="00490CB0" w:rsidRDefault="00490CB0" w:rsidP="002D02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0CB0">
        <w:rPr>
          <w:rFonts w:ascii="Times New Roman" w:hAnsi="Times New Roman" w:cs="Times New Roman"/>
          <w:sz w:val="24"/>
          <w:szCs w:val="24"/>
        </w:rPr>
        <w:lastRenderedPageBreak/>
        <w:t>While M&amp; irrelevance theory suggests that dividend policy does not impact shareholder wealth in a perfect capital market, real-world conditions (e.g., taxes, investor preferences, signalling) mean dividend policy does matter.</w:t>
      </w:r>
    </w:p>
    <w:p w:rsidR="00B97D7D" w:rsidRPr="00B97D7D" w:rsidRDefault="00B97D7D" w:rsidP="00B97D7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7D7D">
        <w:rPr>
          <w:rFonts w:ascii="Times New Roman" w:hAnsi="Times New Roman" w:cs="Times New Roman"/>
          <w:sz w:val="24"/>
          <w:szCs w:val="24"/>
        </w:rPr>
        <w:t>Applying dividend relevance theories:</w:t>
      </w:r>
    </w:p>
    <w:p w:rsidR="00B97D7D" w:rsidRDefault="00B97D7D" w:rsidP="00B97D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D7D">
        <w:rPr>
          <w:rFonts w:ascii="Times New Roman" w:hAnsi="Times New Roman" w:cs="Times New Roman"/>
          <w:sz w:val="24"/>
          <w:szCs w:val="24"/>
        </w:rPr>
        <w:t>The bird-in-the-hand theory implies investors may prefer Edinburgh’s steady dividend increases over</w:t>
      </w:r>
      <w:r w:rsidR="007C353A">
        <w:rPr>
          <w:rFonts w:ascii="Times New Roman" w:hAnsi="Times New Roman" w:cs="Times New Roman"/>
          <w:sz w:val="24"/>
          <w:szCs w:val="24"/>
        </w:rPr>
        <w:t xml:space="preserve"> uncertain future capital gains.</w:t>
      </w:r>
    </w:p>
    <w:p w:rsidR="00B97D7D" w:rsidRPr="007C353A" w:rsidRDefault="00B97D7D" w:rsidP="007C35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53A">
        <w:rPr>
          <w:rFonts w:ascii="Times New Roman" w:hAnsi="Times New Roman" w:cs="Times New Roman"/>
          <w:sz w:val="24"/>
          <w:szCs w:val="24"/>
        </w:rPr>
        <w:t>Signalling theory supports that the progressive increases signal financial health and management confidence.</w:t>
      </w:r>
    </w:p>
    <w:p w:rsidR="00B97D7D" w:rsidRPr="00B97D7D" w:rsidRDefault="00B97D7D" w:rsidP="00B97D7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7D7D">
        <w:rPr>
          <w:rFonts w:ascii="Times New Roman" w:hAnsi="Times New Roman" w:cs="Times New Roman"/>
          <w:sz w:val="24"/>
          <w:szCs w:val="24"/>
        </w:rPr>
        <w:t>Thus, while there is no single “optimal” policy, the current approach appears appropriate and sustainable, especially if it aligns with shareholder expectations and market norms.</w:t>
      </w:r>
    </w:p>
    <w:p w:rsidR="006A5B18" w:rsidRPr="006A5B18" w:rsidRDefault="00B97D7D" w:rsidP="002C3DC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6EBF">
        <w:rPr>
          <w:rFonts w:ascii="Times New Roman" w:hAnsi="Times New Roman" w:cs="Times New Roman"/>
          <w:b/>
          <w:sz w:val="24"/>
          <w:szCs w:val="24"/>
        </w:rPr>
        <w:t>Recommendation</w:t>
      </w:r>
      <w:r w:rsidRPr="00B97D7D">
        <w:rPr>
          <w:rFonts w:ascii="Times New Roman" w:hAnsi="Times New Roman" w:cs="Times New Roman"/>
          <w:sz w:val="24"/>
          <w:szCs w:val="24"/>
        </w:rPr>
        <w:t>: Continue the progressive dividend policy to maintain investor confidence, and clearly communicate any deviations (e.g., special dividends in strong years or temporary reductions in poor years) to avoid adve</w:t>
      </w:r>
      <w:r w:rsidR="002C3DC4">
        <w:rPr>
          <w:rFonts w:ascii="Times New Roman" w:hAnsi="Times New Roman" w:cs="Times New Roman"/>
          <w:sz w:val="24"/>
          <w:szCs w:val="24"/>
        </w:rPr>
        <w:t xml:space="preserve">rse market reaction </w:t>
      </w:r>
      <w:r w:rsidR="006A5B18" w:rsidRPr="006A5B18">
        <w:rPr>
          <w:rFonts w:ascii="Times New Roman" w:hAnsi="Times New Roman" w:cs="Times New Roman"/>
          <w:sz w:val="24"/>
          <w:szCs w:val="24"/>
        </w:rPr>
        <w:t>by:</w:t>
      </w:r>
    </w:p>
    <w:p w:rsidR="006A5B18" w:rsidRPr="006A5B18" w:rsidRDefault="006A5B18" w:rsidP="00C7593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18">
        <w:rPr>
          <w:rFonts w:ascii="Times New Roman" w:hAnsi="Times New Roman" w:cs="Times New Roman"/>
          <w:sz w:val="24"/>
          <w:szCs w:val="24"/>
        </w:rPr>
        <w:t>•</w:t>
      </w:r>
      <w:r w:rsidRPr="006A5B18">
        <w:rPr>
          <w:rFonts w:ascii="Times New Roman" w:hAnsi="Times New Roman" w:cs="Times New Roman"/>
          <w:sz w:val="24"/>
          <w:szCs w:val="24"/>
        </w:rPr>
        <w:tab/>
        <w:t>In “standard” years, remaining unchanging this policy and when dividend increases, paying special dividends;</w:t>
      </w:r>
    </w:p>
    <w:p w:rsidR="006A5B18" w:rsidRPr="006A5B18" w:rsidRDefault="006A5B18" w:rsidP="00C7593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18">
        <w:rPr>
          <w:rFonts w:ascii="Times New Roman" w:hAnsi="Times New Roman" w:cs="Times New Roman"/>
          <w:sz w:val="24"/>
          <w:szCs w:val="24"/>
        </w:rPr>
        <w:t>•</w:t>
      </w:r>
      <w:r w:rsidRPr="006A5B18">
        <w:rPr>
          <w:rFonts w:ascii="Times New Roman" w:hAnsi="Times New Roman" w:cs="Times New Roman"/>
          <w:sz w:val="24"/>
          <w:szCs w:val="24"/>
        </w:rPr>
        <w:tab/>
        <w:t>Rising growth buy-back and/or rate shares in “good” years;</w:t>
      </w:r>
    </w:p>
    <w:p w:rsidR="006A5B18" w:rsidRPr="006A5B18" w:rsidRDefault="006A5B18" w:rsidP="00C7593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18">
        <w:rPr>
          <w:rFonts w:ascii="Times New Roman" w:hAnsi="Times New Roman" w:cs="Times New Roman"/>
          <w:sz w:val="24"/>
          <w:szCs w:val="24"/>
        </w:rPr>
        <w:t>•</w:t>
      </w:r>
      <w:r w:rsidRPr="006A5B18">
        <w:rPr>
          <w:rFonts w:ascii="Times New Roman" w:hAnsi="Times New Roman" w:cs="Times New Roman"/>
          <w:sz w:val="24"/>
          <w:szCs w:val="24"/>
        </w:rPr>
        <w:tab/>
        <w:t>Risk the dividend shelter to weaken the growth rate in “bad” years;</w:t>
      </w:r>
    </w:p>
    <w:p w:rsidR="006A5B18" w:rsidRPr="006A5B18" w:rsidRDefault="006A5B18" w:rsidP="00C7593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A5B18">
        <w:rPr>
          <w:rFonts w:ascii="Times New Roman" w:hAnsi="Times New Roman" w:cs="Times New Roman"/>
          <w:sz w:val="24"/>
          <w:szCs w:val="24"/>
        </w:rPr>
        <w:t>•</w:t>
      </w:r>
      <w:r w:rsidRPr="006A5B18">
        <w:rPr>
          <w:rFonts w:ascii="Times New Roman" w:hAnsi="Times New Roman" w:cs="Times New Roman"/>
          <w:sz w:val="24"/>
          <w:szCs w:val="24"/>
        </w:rPr>
        <w:tab/>
        <w:t>In “bad” years, cutting the dividend.</w:t>
      </w:r>
    </w:p>
    <w:p w:rsidR="00C24B24" w:rsidRPr="00C24B24" w:rsidRDefault="00C24B24" w:rsidP="00C75933">
      <w:pPr>
        <w:spacing w:line="360" w:lineRule="auto"/>
        <w:jc w:val="both"/>
      </w:pPr>
    </w:p>
    <w:sectPr w:rsidR="00C24B24" w:rsidRPr="00C24B2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8D3" w:rsidRDefault="00C628D3" w:rsidP="00C24B24">
      <w:pPr>
        <w:spacing w:after="0" w:line="240" w:lineRule="auto"/>
      </w:pPr>
      <w:r>
        <w:separator/>
      </w:r>
    </w:p>
  </w:endnote>
  <w:endnote w:type="continuationSeparator" w:id="0">
    <w:p w:rsidR="00C628D3" w:rsidRDefault="00C628D3" w:rsidP="00C2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453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B24" w:rsidRDefault="00C24B24">
        <w:pPr>
          <w:pStyle w:val="Footer"/>
          <w:jc w:val="center"/>
        </w:pPr>
        <w:r w:rsidRPr="00C24B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4B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24B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011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C24B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24B24" w:rsidRDefault="00C24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8D3" w:rsidRDefault="00C628D3" w:rsidP="00C24B24">
      <w:pPr>
        <w:spacing w:after="0" w:line="240" w:lineRule="auto"/>
      </w:pPr>
      <w:r>
        <w:separator/>
      </w:r>
    </w:p>
  </w:footnote>
  <w:footnote w:type="continuationSeparator" w:id="0">
    <w:p w:rsidR="00C628D3" w:rsidRDefault="00C628D3" w:rsidP="00C24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B4B06"/>
    <w:multiLevelType w:val="hybridMultilevel"/>
    <w:tmpl w:val="CCD6B45A"/>
    <w:lvl w:ilvl="0" w:tplc="9A4E25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2550"/>
    <w:multiLevelType w:val="hybridMultilevel"/>
    <w:tmpl w:val="F370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26E48"/>
    <w:multiLevelType w:val="hybridMultilevel"/>
    <w:tmpl w:val="89C6E4D0"/>
    <w:lvl w:ilvl="0" w:tplc="AEA8ED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B1"/>
    <w:rsid w:val="00063BB1"/>
    <w:rsid w:val="00081A1D"/>
    <w:rsid w:val="000A2CD9"/>
    <w:rsid w:val="000A4D81"/>
    <w:rsid w:val="000D209E"/>
    <w:rsid w:val="000E393A"/>
    <w:rsid w:val="0011551B"/>
    <w:rsid w:val="001B0426"/>
    <w:rsid w:val="001B3604"/>
    <w:rsid w:val="001E5DCD"/>
    <w:rsid w:val="00201AC4"/>
    <w:rsid w:val="002250C4"/>
    <w:rsid w:val="00227CA8"/>
    <w:rsid w:val="00247090"/>
    <w:rsid w:val="002B5A5C"/>
    <w:rsid w:val="002C3DC4"/>
    <w:rsid w:val="002D0270"/>
    <w:rsid w:val="002E73FF"/>
    <w:rsid w:val="00313893"/>
    <w:rsid w:val="00366AB1"/>
    <w:rsid w:val="00393A08"/>
    <w:rsid w:val="003E73CC"/>
    <w:rsid w:val="004253D8"/>
    <w:rsid w:val="00440C74"/>
    <w:rsid w:val="0045589D"/>
    <w:rsid w:val="00462C54"/>
    <w:rsid w:val="00490CB0"/>
    <w:rsid w:val="004B60F7"/>
    <w:rsid w:val="00573D97"/>
    <w:rsid w:val="005D4056"/>
    <w:rsid w:val="005F5EBB"/>
    <w:rsid w:val="0061011C"/>
    <w:rsid w:val="006224A4"/>
    <w:rsid w:val="00686DDF"/>
    <w:rsid w:val="006A5B18"/>
    <w:rsid w:val="00747C50"/>
    <w:rsid w:val="007767E8"/>
    <w:rsid w:val="007B17B1"/>
    <w:rsid w:val="007B5B4D"/>
    <w:rsid w:val="007C353A"/>
    <w:rsid w:val="007E20A7"/>
    <w:rsid w:val="007E7536"/>
    <w:rsid w:val="008244BA"/>
    <w:rsid w:val="00836DCC"/>
    <w:rsid w:val="0084292C"/>
    <w:rsid w:val="0085477F"/>
    <w:rsid w:val="0088139E"/>
    <w:rsid w:val="00910C89"/>
    <w:rsid w:val="00971134"/>
    <w:rsid w:val="00991277"/>
    <w:rsid w:val="0099174A"/>
    <w:rsid w:val="009E0392"/>
    <w:rsid w:val="00A26753"/>
    <w:rsid w:val="00A766B1"/>
    <w:rsid w:val="00AE7256"/>
    <w:rsid w:val="00B97D7D"/>
    <w:rsid w:val="00BA5A06"/>
    <w:rsid w:val="00BE2B7F"/>
    <w:rsid w:val="00BE650D"/>
    <w:rsid w:val="00BF3394"/>
    <w:rsid w:val="00C22CEE"/>
    <w:rsid w:val="00C24B24"/>
    <w:rsid w:val="00C4235E"/>
    <w:rsid w:val="00C628D3"/>
    <w:rsid w:val="00C6788C"/>
    <w:rsid w:val="00C75933"/>
    <w:rsid w:val="00CA0D60"/>
    <w:rsid w:val="00CB3ED3"/>
    <w:rsid w:val="00CC2A84"/>
    <w:rsid w:val="00D27F4E"/>
    <w:rsid w:val="00D62777"/>
    <w:rsid w:val="00DC06DF"/>
    <w:rsid w:val="00DC7D9A"/>
    <w:rsid w:val="00EB7B96"/>
    <w:rsid w:val="00EC6988"/>
    <w:rsid w:val="00F65E42"/>
    <w:rsid w:val="00FB6EBF"/>
    <w:rsid w:val="00FC3C1B"/>
    <w:rsid w:val="00FE23BA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0F30"/>
  <w15:chartTrackingRefBased/>
  <w15:docId w15:val="{4C647999-4D75-4427-88D8-45D9235B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4B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24B2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4B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4B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B2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B2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42AE-9428-46B2-9D0E-0E48FDB5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Duong</dc:creator>
  <cp:keywords/>
  <dc:description/>
  <cp:lastModifiedBy>Nhan Duong</cp:lastModifiedBy>
  <cp:revision>75</cp:revision>
  <dcterms:created xsi:type="dcterms:W3CDTF">2025-06-18T15:51:00Z</dcterms:created>
  <dcterms:modified xsi:type="dcterms:W3CDTF">2025-06-19T11:58:00Z</dcterms:modified>
</cp:coreProperties>
</file>