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B6FA" w14:textId="0E442B65" w:rsidR="00C236FF" w:rsidRDefault="00C236FF" w:rsidP="00C236FF">
      <w:pPr>
        <w:spacing w:line="360" w:lineRule="auto"/>
        <w:outlineLvl w:val="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0" w:name="_Toc61320257"/>
      <w:bookmarkStart w:id="1" w:name="_Hlk40306143"/>
    </w:p>
    <w:p w14:paraId="7F4C6F8E" w14:textId="77777777" w:rsidR="00C236FF" w:rsidRPr="005D6B08" w:rsidRDefault="00C236FF" w:rsidP="00C236FF">
      <w:pPr>
        <w:spacing w:line="360" w:lineRule="auto"/>
        <w:outlineLvl w:val="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3EEE2B67" w14:textId="42B76043" w:rsidR="00C236FF" w:rsidRPr="0040005C" w:rsidRDefault="008444EE" w:rsidP="00C236FF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report, some financial aspects of </w:t>
      </w:r>
      <w:r w:rsidR="00C236FF" w:rsidRPr="0040005C">
        <w:rPr>
          <w:rFonts w:ascii="Times New Roman" w:hAnsi="Times New Roman" w:cs="Times New Roman"/>
        </w:rPr>
        <w:t xml:space="preserve">Edinburgh </w:t>
      </w:r>
      <w:r>
        <w:rPr>
          <w:rFonts w:ascii="Times New Roman" w:hAnsi="Times New Roman" w:cs="Times New Roman"/>
        </w:rPr>
        <w:t xml:space="preserve">pls are presented to </w:t>
      </w:r>
      <w:r w:rsidR="00C236FF" w:rsidRPr="0040005C">
        <w:rPr>
          <w:rFonts w:ascii="Times New Roman" w:hAnsi="Times New Roman" w:cs="Times New Roman"/>
        </w:rPr>
        <w:t xml:space="preserve">make the right decision. </w:t>
      </w:r>
      <w:r>
        <w:rPr>
          <w:rFonts w:ascii="Times New Roman" w:hAnsi="Times New Roman" w:cs="Times New Roman"/>
        </w:rPr>
        <w:t>They are</w:t>
      </w:r>
      <w:r w:rsidR="00C236FF" w:rsidRPr="0040005C">
        <w:rPr>
          <w:rFonts w:ascii="Times New Roman" w:hAnsi="Times New Roman" w:cs="Times New Roman"/>
        </w:rPr>
        <w:t xml:space="preserve">: </w:t>
      </w:r>
    </w:p>
    <w:p w14:paraId="5203EF13" w14:textId="77777777" w:rsidR="00C236FF" w:rsidRPr="0040005C" w:rsidRDefault="00C236FF" w:rsidP="00C236FF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40005C">
        <w:rPr>
          <w:rFonts w:ascii="Times New Roman" w:hAnsi="Times New Roman" w:cs="Times New Roman"/>
        </w:rPr>
        <w:t>-</w:t>
      </w:r>
      <w:r w:rsidRPr="0040005C">
        <w:rPr>
          <w:rFonts w:ascii="Times New Roman" w:hAnsi="Times New Roman" w:cs="Times New Roman"/>
        </w:rPr>
        <w:tab/>
        <w:t>The company’s equity valuation</w:t>
      </w:r>
      <w:r>
        <w:rPr>
          <w:rFonts w:ascii="Times New Roman" w:hAnsi="Times New Roman" w:cs="Times New Roman"/>
        </w:rPr>
        <w:t>;</w:t>
      </w:r>
    </w:p>
    <w:p w14:paraId="7BF791E0" w14:textId="77777777" w:rsidR="00C236FF" w:rsidRPr="0040005C" w:rsidRDefault="00C236FF" w:rsidP="00C236FF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40005C">
        <w:rPr>
          <w:rFonts w:ascii="Times New Roman" w:hAnsi="Times New Roman" w:cs="Times New Roman"/>
        </w:rPr>
        <w:t>-</w:t>
      </w:r>
      <w:r w:rsidRPr="0040005C">
        <w:rPr>
          <w:rFonts w:ascii="Times New Roman" w:hAnsi="Times New Roman" w:cs="Times New Roman"/>
        </w:rPr>
        <w:tab/>
        <w:t>The international expansion project in Belgium</w:t>
      </w:r>
      <w:r>
        <w:rPr>
          <w:rFonts w:ascii="Times New Roman" w:hAnsi="Times New Roman" w:cs="Times New Roman"/>
        </w:rPr>
        <w:t>;</w:t>
      </w:r>
    </w:p>
    <w:p w14:paraId="63A446BE" w14:textId="77777777" w:rsidR="00C236FF" w:rsidRPr="0040005C" w:rsidRDefault="00C236FF" w:rsidP="00C236FF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40005C">
        <w:rPr>
          <w:rFonts w:ascii="Times New Roman" w:hAnsi="Times New Roman" w:cs="Times New Roman"/>
        </w:rPr>
        <w:t>-</w:t>
      </w:r>
      <w:r w:rsidRPr="0040005C">
        <w:rPr>
          <w:rFonts w:ascii="Times New Roman" w:hAnsi="Times New Roman" w:cs="Times New Roman"/>
        </w:rPr>
        <w:tab/>
        <w:t>The company’s current capital structure and the recommendation</w:t>
      </w:r>
      <w:r>
        <w:rPr>
          <w:rFonts w:ascii="Times New Roman" w:hAnsi="Times New Roman" w:cs="Times New Roman"/>
        </w:rPr>
        <w:t>;</w:t>
      </w:r>
    </w:p>
    <w:p w14:paraId="303AD758" w14:textId="49AF36D7" w:rsidR="00C236FF" w:rsidRDefault="00C236FF" w:rsidP="00C236FF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40005C">
        <w:rPr>
          <w:rFonts w:ascii="Times New Roman" w:hAnsi="Times New Roman" w:cs="Times New Roman"/>
        </w:rPr>
        <w:t>-</w:t>
      </w:r>
      <w:r w:rsidRPr="0040005C">
        <w:rPr>
          <w:rFonts w:ascii="Times New Roman" w:hAnsi="Times New Roman" w:cs="Times New Roman"/>
        </w:rPr>
        <w:tab/>
        <w:t>The company’s dividend policy and the recommendation.</w:t>
      </w:r>
    </w:p>
    <w:p w14:paraId="61D7AE25" w14:textId="2A40ABB1" w:rsidR="00C236FF" w:rsidRDefault="00C236FF" w:rsidP="00C236FF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</w:p>
    <w:p w14:paraId="0E076E82" w14:textId="4E273676" w:rsidR="00C236FF" w:rsidRDefault="00C236FF" w:rsidP="00C236FF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</w:p>
    <w:p w14:paraId="51612069" w14:textId="16254A4B" w:rsidR="00C236FF" w:rsidRDefault="00C236FF" w:rsidP="00C236FF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</w:p>
    <w:p w14:paraId="2F9FD32C" w14:textId="2175141B" w:rsidR="00C236FF" w:rsidRDefault="00C236FF" w:rsidP="00C236FF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</w:p>
    <w:p w14:paraId="23911079" w14:textId="0F31C26F" w:rsidR="00C236FF" w:rsidRDefault="00C236FF" w:rsidP="00C236FF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</w:p>
    <w:p w14:paraId="02FCD2F3" w14:textId="383577B7" w:rsidR="00C236FF" w:rsidRDefault="00C236FF" w:rsidP="00C236FF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</w:p>
    <w:p w14:paraId="763E6D3D" w14:textId="53F1B21F" w:rsidR="00C236FF" w:rsidRDefault="00C236FF" w:rsidP="00C236FF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</w:p>
    <w:p w14:paraId="7A4B3DED" w14:textId="3393B82A" w:rsidR="00C236FF" w:rsidRDefault="00C236FF" w:rsidP="00C236FF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</w:p>
    <w:p w14:paraId="450D01E4" w14:textId="1F0E717B" w:rsidR="00C236FF" w:rsidRDefault="00C236FF" w:rsidP="00C236FF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</w:p>
    <w:p w14:paraId="08243382" w14:textId="6FD8C210" w:rsidR="00C236FF" w:rsidRDefault="00C236FF" w:rsidP="00C236FF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</w:p>
    <w:p w14:paraId="6999D6B9" w14:textId="4DCF5B3C" w:rsidR="00C236FF" w:rsidRDefault="00C236FF" w:rsidP="00C236FF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</w:p>
    <w:p w14:paraId="26EBF972" w14:textId="45CD4C6D" w:rsidR="00C236FF" w:rsidRDefault="00C236FF" w:rsidP="00C236FF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</w:p>
    <w:p w14:paraId="6FF9CC68" w14:textId="5D23B7AD" w:rsidR="00C236FF" w:rsidRDefault="00C236FF" w:rsidP="00C236FF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</w:p>
    <w:p w14:paraId="3E4A5877" w14:textId="4530A74B" w:rsidR="00C236FF" w:rsidRDefault="00C236FF" w:rsidP="00C236FF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</w:p>
    <w:p w14:paraId="768ECED2" w14:textId="5FA141AD" w:rsidR="00C236FF" w:rsidRDefault="00C236FF" w:rsidP="00C236FF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</w:p>
    <w:p w14:paraId="48617F8F" w14:textId="5F677880" w:rsidR="00C236FF" w:rsidRDefault="00C236FF" w:rsidP="00C236FF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</w:p>
    <w:p w14:paraId="1F86A164" w14:textId="0AEA3978" w:rsidR="00C236FF" w:rsidRDefault="00C236FF" w:rsidP="00C236FF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</w:p>
    <w:p w14:paraId="56AB76A7" w14:textId="0AF3B824" w:rsidR="00C236FF" w:rsidRDefault="00C236FF" w:rsidP="00C236FF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</w:p>
    <w:p w14:paraId="42EBFDE4" w14:textId="7277F23C" w:rsidR="00C236FF" w:rsidRDefault="00C236FF" w:rsidP="00C236FF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</w:p>
    <w:p w14:paraId="7E94E2E7" w14:textId="30D1A28B" w:rsidR="00C236FF" w:rsidRDefault="00C236FF" w:rsidP="00C236FF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</w:p>
    <w:p w14:paraId="75557440" w14:textId="40AF07B2" w:rsidR="00C236FF" w:rsidRDefault="00C236FF" w:rsidP="00C236FF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</w:p>
    <w:p w14:paraId="15C70837" w14:textId="0F92E393" w:rsidR="00177E7C" w:rsidRDefault="00177E7C" w:rsidP="00C236FF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</w:p>
    <w:p w14:paraId="11313DB8" w14:textId="291981FA" w:rsidR="00177E7C" w:rsidRDefault="00177E7C" w:rsidP="00C236FF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</w:p>
    <w:p w14:paraId="529C2E42" w14:textId="77777777" w:rsidR="00177E7C" w:rsidRDefault="00177E7C" w:rsidP="00C236FF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</w:p>
    <w:p w14:paraId="10173BDA" w14:textId="77777777" w:rsidR="00C236FF" w:rsidRDefault="00C236FF" w:rsidP="00C236FF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</w:p>
    <w:p w14:paraId="16F5CCFB" w14:textId="77777777" w:rsidR="00C236FF" w:rsidRPr="00C236FF" w:rsidRDefault="00C236FF" w:rsidP="00C236FF">
      <w:pPr>
        <w:spacing w:line="360" w:lineRule="auto"/>
        <w:outlineLvl w:val="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6748E8E8" w14:textId="618DC61A" w:rsidR="005E4489" w:rsidRPr="00114298" w:rsidRDefault="005D6B08" w:rsidP="0003066B">
      <w:pPr>
        <w:pStyle w:val="ListParagraph"/>
        <w:numPr>
          <w:ilvl w:val="0"/>
          <w:numId w:val="2"/>
        </w:numPr>
        <w:spacing w:line="360" w:lineRule="auto"/>
        <w:ind w:left="567" w:hanging="567"/>
        <w:outlineLvl w:val="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Equity valuation</w:t>
      </w:r>
      <w:bookmarkEnd w:id="0"/>
      <w:r w:rsidR="00B47001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</w:p>
    <w:p w14:paraId="3FFF787B" w14:textId="05136381" w:rsidR="003B549D" w:rsidRDefault="006749B1" w:rsidP="0003066B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>N</w:t>
      </w:r>
      <w:r w:rsidR="00A32AC1" w:rsidRPr="00A32AC1">
        <w:rPr>
          <w:rFonts w:ascii="Times New Roman" w:eastAsiaTheme="minorEastAsia" w:hAnsi="Times New Roman" w:cs="Times New Roman"/>
          <w:color w:val="000000" w:themeColor="text1"/>
        </w:rPr>
        <w:t>on</w:t>
      </w:r>
      <w:r w:rsidR="00A32AC1">
        <w:rPr>
          <w:rFonts w:ascii="Times New Roman" w:eastAsiaTheme="minorEastAsia" w:hAnsi="Times New Roman" w:cs="Times New Roman"/>
          <w:color w:val="000000" w:themeColor="text1"/>
        </w:rPr>
        <w:t>-</w:t>
      </w:r>
      <w:r w:rsidR="00A32AC1" w:rsidRPr="00A32AC1">
        <w:rPr>
          <w:rFonts w:ascii="Times New Roman" w:eastAsiaTheme="minorEastAsia" w:hAnsi="Times New Roman" w:cs="Times New Roman"/>
          <w:color w:val="000000" w:themeColor="text1"/>
        </w:rPr>
        <w:t xml:space="preserve">cash flow methodologies 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are used </w:t>
      </w:r>
      <w:r w:rsidR="00A32AC1" w:rsidRPr="00A32AC1">
        <w:rPr>
          <w:rFonts w:ascii="Times New Roman" w:eastAsiaTheme="minorEastAsia" w:hAnsi="Times New Roman" w:cs="Times New Roman"/>
          <w:color w:val="000000" w:themeColor="text1"/>
        </w:rPr>
        <w:t xml:space="preserve">to </w:t>
      </w:r>
      <w:r w:rsidR="00C17944">
        <w:rPr>
          <w:rFonts w:ascii="Times New Roman" w:eastAsiaTheme="minorEastAsia" w:hAnsi="Times New Roman" w:cs="Times New Roman"/>
          <w:color w:val="000000" w:themeColor="text1"/>
        </w:rPr>
        <w:t>evaluate</w:t>
      </w:r>
      <w:r w:rsidR="00A32AC1" w:rsidRPr="00A32AC1">
        <w:rPr>
          <w:rFonts w:ascii="Times New Roman" w:eastAsiaTheme="minorEastAsia" w:hAnsi="Times New Roman" w:cs="Times New Roman"/>
          <w:color w:val="000000" w:themeColor="text1"/>
        </w:rPr>
        <w:t xml:space="preserve"> equity value</w:t>
      </w:r>
      <w:r w:rsidR="00A32AC1">
        <w:rPr>
          <w:rFonts w:ascii="Times New Roman" w:eastAsiaTheme="minorEastAsia" w:hAnsi="Times New Roman" w:cs="Times New Roman"/>
          <w:color w:val="000000" w:themeColor="text1"/>
        </w:rPr>
        <w:t xml:space="preserve">. </w:t>
      </w:r>
    </w:p>
    <w:p w14:paraId="524698DA" w14:textId="77777777" w:rsidR="004C713A" w:rsidRDefault="004C713A" w:rsidP="0003066B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color w:val="000000" w:themeColor="text1"/>
        </w:rPr>
      </w:pPr>
    </w:p>
    <w:p w14:paraId="40F88B1B" w14:textId="39EEC556" w:rsidR="00EC7DA6" w:rsidRDefault="00D925B2" w:rsidP="0003066B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>a/</w:t>
      </w:r>
    </w:p>
    <w:p w14:paraId="7B391EEC" w14:textId="450A7BAC" w:rsidR="003B549D" w:rsidRDefault="003B549D" w:rsidP="0003066B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3B549D">
        <w:rPr>
          <w:rFonts w:ascii="Times New Roman" w:eastAsiaTheme="minorEastAsia" w:hAnsi="Times New Roman" w:cs="Times New Roman"/>
          <w:color w:val="000000" w:themeColor="text1"/>
        </w:rPr>
        <w:t xml:space="preserve">Price earnings ratio (PER) </w:t>
      </w:r>
      <w:r w:rsidR="00570227">
        <w:rPr>
          <w:rFonts w:ascii="Times New Roman" w:eastAsiaTheme="minorEastAsia" w:hAnsi="Times New Roman" w:cs="Times New Roman"/>
          <w:color w:val="000000" w:themeColor="text1"/>
        </w:rPr>
        <w:t>displays</w:t>
      </w:r>
      <w:r w:rsidRPr="003B549D">
        <w:rPr>
          <w:rFonts w:ascii="Times New Roman" w:eastAsiaTheme="minorEastAsia" w:hAnsi="Times New Roman" w:cs="Times New Roman"/>
          <w:color w:val="000000" w:themeColor="text1"/>
        </w:rPr>
        <w:t xml:space="preserve"> how much </w:t>
      </w:r>
      <w:r w:rsidR="009316A9">
        <w:rPr>
          <w:rFonts w:ascii="Times New Roman" w:eastAsiaTheme="minorEastAsia" w:hAnsi="Times New Roman" w:cs="Times New Roman"/>
          <w:color w:val="000000" w:themeColor="text1"/>
        </w:rPr>
        <w:t>a shareholder</w:t>
      </w:r>
      <w:r w:rsidRPr="003B549D">
        <w:rPr>
          <w:rFonts w:ascii="Times New Roman" w:eastAsiaTheme="minorEastAsia" w:hAnsi="Times New Roman" w:cs="Times New Roman"/>
          <w:color w:val="000000" w:themeColor="text1"/>
        </w:rPr>
        <w:t xml:space="preserve"> is prepared to pay for </w:t>
      </w:r>
      <w:r w:rsidR="005F606C">
        <w:rPr>
          <w:rFonts w:ascii="Times New Roman" w:eastAsiaTheme="minorEastAsia" w:hAnsi="Times New Roman" w:cs="Times New Roman"/>
          <w:color w:val="000000" w:themeColor="text1"/>
        </w:rPr>
        <w:t xml:space="preserve">a </w:t>
      </w:r>
      <w:r w:rsidRPr="003B549D">
        <w:rPr>
          <w:rFonts w:ascii="Times New Roman" w:eastAsiaTheme="minorEastAsia" w:hAnsi="Times New Roman" w:cs="Times New Roman"/>
          <w:color w:val="000000" w:themeColor="text1"/>
        </w:rPr>
        <w:t xml:space="preserve">share, </w:t>
      </w:r>
      <w:r w:rsidR="00B83DA6">
        <w:rPr>
          <w:rFonts w:ascii="Times New Roman" w:eastAsiaTheme="minorEastAsia" w:hAnsi="Times New Roman" w:cs="Times New Roman"/>
          <w:color w:val="000000" w:themeColor="text1"/>
        </w:rPr>
        <w:t>assumed</w:t>
      </w:r>
      <w:r w:rsidR="002808E0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Pr="003B549D">
        <w:rPr>
          <w:rFonts w:ascii="Times New Roman" w:eastAsiaTheme="minorEastAsia" w:hAnsi="Times New Roman" w:cs="Times New Roman"/>
          <w:color w:val="000000" w:themeColor="text1"/>
        </w:rPr>
        <w:t>its current earnings per share (EPS)</w:t>
      </w:r>
      <w:r w:rsidR="00D974B8">
        <w:rPr>
          <w:rFonts w:ascii="Times New Roman" w:eastAsiaTheme="minorEastAsia" w:hAnsi="Times New Roman" w:cs="Times New Roman"/>
          <w:color w:val="000000" w:themeColor="text1"/>
        </w:rPr>
        <w:t xml:space="preserve">. </w:t>
      </w:r>
      <w:r w:rsidR="00D974B8" w:rsidRPr="00D974B8">
        <w:rPr>
          <w:rFonts w:ascii="Times New Roman" w:eastAsiaTheme="minorEastAsia" w:hAnsi="Times New Roman" w:cs="Times New Roman"/>
          <w:color w:val="000000" w:themeColor="text1"/>
        </w:rPr>
        <w:t>The</w:t>
      </w:r>
      <w:r w:rsidR="008673C7">
        <w:rPr>
          <w:rFonts w:ascii="Times New Roman" w:eastAsiaTheme="minorEastAsia" w:hAnsi="Times New Roman" w:cs="Times New Roman"/>
          <w:color w:val="000000" w:themeColor="text1"/>
        </w:rPr>
        <w:t>refore, PER</w:t>
      </w:r>
      <w:r w:rsidR="00D974B8" w:rsidRPr="00D974B8">
        <w:rPr>
          <w:rFonts w:ascii="Times New Roman" w:eastAsiaTheme="minorEastAsia" w:hAnsi="Times New Roman" w:cs="Times New Roman"/>
          <w:color w:val="000000" w:themeColor="text1"/>
        </w:rPr>
        <w:t xml:space="preserve"> can </w:t>
      </w:r>
      <w:r w:rsidR="003036D3">
        <w:rPr>
          <w:rFonts w:ascii="Times New Roman" w:eastAsiaTheme="minorEastAsia" w:hAnsi="Times New Roman" w:cs="Times New Roman"/>
          <w:color w:val="000000" w:themeColor="text1"/>
        </w:rPr>
        <w:t>show</w:t>
      </w:r>
      <w:r w:rsidR="00D974B8" w:rsidRPr="00D974B8">
        <w:rPr>
          <w:rFonts w:ascii="Times New Roman" w:eastAsiaTheme="minorEastAsia" w:hAnsi="Times New Roman" w:cs="Times New Roman"/>
          <w:color w:val="000000" w:themeColor="text1"/>
        </w:rPr>
        <w:t xml:space="preserve"> the </w:t>
      </w:r>
      <w:r w:rsidR="00004B96">
        <w:rPr>
          <w:rFonts w:ascii="Times New Roman" w:eastAsiaTheme="minorEastAsia" w:hAnsi="Times New Roman" w:cs="Times New Roman"/>
          <w:color w:val="000000" w:themeColor="text1"/>
        </w:rPr>
        <w:t xml:space="preserve">investors’ </w:t>
      </w:r>
      <w:r w:rsidR="00D974B8" w:rsidRPr="00D974B8">
        <w:rPr>
          <w:rFonts w:ascii="Times New Roman" w:eastAsiaTheme="minorEastAsia" w:hAnsi="Times New Roman" w:cs="Times New Roman"/>
          <w:color w:val="000000" w:themeColor="text1"/>
        </w:rPr>
        <w:t xml:space="preserve">confidence in the expected future performance of a </w:t>
      </w:r>
      <w:r w:rsidR="00004B96">
        <w:rPr>
          <w:rFonts w:ascii="Times New Roman" w:eastAsiaTheme="minorEastAsia" w:hAnsi="Times New Roman" w:cs="Times New Roman"/>
          <w:color w:val="000000" w:themeColor="text1"/>
        </w:rPr>
        <w:t>firm</w:t>
      </w:r>
      <w:r w:rsidR="00AD6083">
        <w:rPr>
          <w:rFonts w:ascii="Times New Roman" w:eastAsiaTheme="minorEastAsia" w:hAnsi="Times New Roman" w:cs="Times New Roman"/>
          <w:color w:val="000000" w:themeColor="text1"/>
        </w:rPr>
        <w:t>.</w:t>
      </w:r>
      <w:r w:rsidR="00520F06">
        <w:rPr>
          <w:rFonts w:ascii="Times New Roman" w:eastAsiaTheme="minorEastAsia" w:hAnsi="Times New Roman" w:cs="Times New Roman"/>
          <w:color w:val="000000" w:themeColor="text1"/>
        </w:rPr>
        <w:t xml:space="preserve"> (Watson et al 2019)</w:t>
      </w:r>
    </w:p>
    <w:p w14:paraId="23FDE6F2" w14:textId="31C39A1B" w:rsidR="00752AB1" w:rsidRDefault="00752AB1" w:rsidP="0003066B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color w:val="000000" w:themeColor="text1"/>
        </w:rPr>
      </w:pPr>
    </w:p>
    <w:p w14:paraId="37FBD7A6" w14:textId="069D1125" w:rsidR="00730180" w:rsidRDefault="006E58D4" w:rsidP="0003066B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6E58D4">
        <w:rPr>
          <w:noProof/>
        </w:rPr>
        <w:drawing>
          <wp:inline distT="0" distB="0" distL="0" distR="0" wp14:anchorId="5D82AAF6" wp14:editId="224B6A44">
            <wp:extent cx="5727700" cy="3004185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1E15" w14:textId="1AA38B78" w:rsidR="00555E6E" w:rsidRDefault="00C8343A" w:rsidP="0003066B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C8343A">
        <w:rPr>
          <w:noProof/>
        </w:rPr>
        <w:drawing>
          <wp:inline distT="0" distB="0" distL="0" distR="0" wp14:anchorId="09F5C1AF" wp14:editId="4E5C1EEA">
            <wp:extent cx="5727700" cy="260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059">
        <w:rPr>
          <w:rFonts w:ascii="Times New Roman" w:eastAsiaTheme="minorEastAsia" w:hAnsi="Times New Roman" w:cs="Times New Roman"/>
          <w:color w:val="000000" w:themeColor="text1"/>
        </w:rPr>
        <w:t xml:space="preserve">The figure 1 </w:t>
      </w:r>
      <w:r w:rsidR="00EC7DA6">
        <w:rPr>
          <w:rFonts w:ascii="Times New Roman" w:eastAsiaTheme="minorEastAsia" w:hAnsi="Times New Roman" w:cs="Times New Roman"/>
          <w:color w:val="000000" w:themeColor="text1"/>
        </w:rPr>
        <w:t>shows the PER</w:t>
      </w:r>
      <w:r w:rsidR="00F949F4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EC7DA6">
        <w:rPr>
          <w:rFonts w:ascii="Times New Roman" w:eastAsiaTheme="minorEastAsia" w:hAnsi="Times New Roman" w:cs="Times New Roman"/>
          <w:color w:val="000000" w:themeColor="text1"/>
        </w:rPr>
        <w:t>is 20.8</w:t>
      </w:r>
      <w:r w:rsidR="00C26FF4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C26FF4" w:rsidRPr="0007364A">
        <w:rPr>
          <w:rFonts w:ascii="Times New Roman" w:eastAsiaTheme="minorEastAsia" w:hAnsi="Times New Roman" w:cs="Times New Roman"/>
          <w:color w:val="000000" w:themeColor="text1"/>
        </w:rPr>
        <w:t xml:space="preserve">is </w:t>
      </w:r>
      <w:r w:rsidR="00C26FF4">
        <w:rPr>
          <w:rFonts w:ascii="Times New Roman" w:eastAsiaTheme="minorEastAsia" w:hAnsi="Times New Roman" w:cs="Times New Roman"/>
          <w:color w:val="000000" w:themeColor="text1"/>
        </w:rPr>
        <w:t>above</w:t>
      </w:r>
      <w:r w:rsidR="00C26FF4" w:rsidRPr="0007364A">
        <w:rPr>
          <w:rFonts w:ascii="Times New Roman" w:eastAsiaTheme="minorEastAsia" w:hAnsi="Times New Roman" w:cs="Times New Roman"/>
          <w:color w:val="000000" w:themeColor="text1"/>
        </w:rPr>
        <w:t xml:space="preserve"> Index PER +10% </w:t>
      </w:r>
      <w:r w:rsidR="00C26FF4">
        <w:rPr>
          <w:rFonts w:ascii="Times New Roman" w:eastAsiaTheme="minorEastAsia" w:hAnsi="Times New Roman" w:cs="Times New Roman"/>
          <w:color w:val="000000" w:themeColor="text1"/>
        </w:rPr>
        <w:t>(</w:t>
      </w:r>
      <w:r w:rsidR="00C26FF4" w:rsidRPr="0007364A">
        <w:rPr>
          <w:rFonts w:ascii="Times New Roman" w:eastAsiaTheme="minorEastAsia" w:hAnsi="Times New Roman" w:cs="Times New Roman"/>
          <w:color w:val="000000" w:themeColor="text1"/>
        </w:rPr>
        <w:t>18.2</w:t>
      </w:r>
      <w:r w:rsidR="00C26FF4">
        <w:rPr>
          <w:rFonts w:ascii="Times New Roman" w:eastAsiaTheme="minorEastAsia" w:hAnsi="Times New Roman" w:cs="Times New Roman"/>
          <w:color w:val="000000" w:themeColor="text1"/>
        </w:rPr>
        <w:t xml:space="preserve">), </w:t>
      </w:r>
      <w:r w:rsidR="00C26FF4" w:rsidRPr="0007364A">
        <w:rPr>
          <w:rFonts w:ascii="Times New Roman" w:eastAsiaTheme="minorEastAsia" w:hAnsi="Times New Roman" w:cs="Times New Roman"/>
          <w:color w:val="000000" w:themeColor="text1"/>
        </w:rPr>
        <w:t>shares appear overvalued</w:t>
      </w:r>
      <w:r w:rsidR="00C26FF4">
        <w:rPr>
          <w:rFonts w:ascii="Times New Roman" w:eastAsiaTheme="minorEastAsia" w:hAnsi="Times New Roman" w:cs="Times New Roman"/>
          <w:color w:val="000000" w:themeColor="text1"/>
        </w:rPr>
        <w:t>. (Appendix)</w:t>
      </w:r>
    </w:p>
    <w:p w14:paraId="0CE80CE0" w14:textId="77777777" w:rsidR="0016031C" w:rsidRDefault="0016031C" w:rsidP="0003066B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</w:p>
    <w:p w14:paraId="28AC2A3F" w14:textId="77777777" w:rsidR="00EC7DA6" w:rsidRDefault="00D44BF4" w:rsidP="0003066B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bookmarkStart w:id="2" w:name="_Hlk61139566"/>
      <w:r>
        <w:rPr>
          <w:rFonts w:ascii="Times New Roman" w:eastAsiaTheme="minorEastAsia" w:hAnsi="Times New Roman" w:cs="Times New Roman"/>
          <w:color w:val="000000" w:themeColor="text1"/>
        </w:rPr>
        <w:t xml:space="preserve">b/ </w:t>
      </w:r>
    </w:p>
    <w:p w14:paraId="51916F06" w14:textId="248C321D" w:rsidR="000D6D70" w:rsidRDefault="00752AB1" w:rsidP="0003066B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752AB1">
        <w:rPr>
          <w:rFonts w:ascii="Times New Roman" w:eastAsiaTheme="minorEastAsia" w:hAnsi="Times New Roman" w:cs="Times New Roman"/>
          <w:color w:val="000000" w:themeColor="text1"/>
        </w:rPr>
        <w:t xml:space="preserve">Dividend yield (DY) </w:t>
      </w:r>
      <w:bookmarkEnd w:id="2"/>
      <w:r w:rsidR="00432780">
        <w:rPr>
          <w:rFonts w:ascii="Times New Roman" w:eastAsiaTheme="minorEastAsia" w:hAnsi="Times New Roman" w:cs="Times New Roman"/>
          <w:color w:val="000000" w:themeColor="text1"/>
        </w:rPr>
        <w:t>provides</w:t>
      </w:r>
      <w:r w:rsidRPr="00752AB1">
        <w:rPr>
          <w:rFonts w:ascii="Times New Roman" w:eastAsiaTheme="minorEastAsia" w:hAnsi="Times New Roman" w:cs="Times New Roman"/>
          <w:color w:val="000000" w:themeColor="text1"/>
        </w:rPr>
        <w:t xml:space="preserve"> a measure of potential return </w:t>
      </w:r>
      <w:r w:rsidR="00B102B4">
        <w:rPr>
          <w:rFonts w:ascii="Times New Roman" w:eastAsiaTheme="minorEastAsia" w:hAnsi="Times New Roman" w:cs="Times New Roman"/>
          <w:color w:val="000000" w:themeColor="text1"/>
        </w:rPr>
        <w:t>investors</w:t>
      </w:r>
      <w:r w:rsidRPr="00752AB1">
        <w:rPr>
          <w:rFonts w:ascii="Times New Roman" w:eastAsiaTheme="minorEastAsia" w:hAnsi="Times New Roman" w:cs="Times New Roman"/>
          <w:color w:val="000000" w:themeColor="text1"/>
        </w:rPr>
        <w:t xml:space="preserve"> expect to receive in</w:t>
      </w:r>
      <w:r w:rsidR="00D44BF4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Pr="00D2424D">
        <w:rPr>
          <w:rFonts w:ascii="Times New Roman" w:eastAsiaTheme="minorEastAsia" w:hAnsi="Times New Roman" w:cs="Times New Roman"/>
          <w:color w:val="000000" w:themeColor="text1"/>
        </w:rPr>
        <w:t xml:space="preserve">exchange for </w:t>
      </w:r>
      <w:r w:rsidR="003B74CA">
        <w:rPr>
          <w:rFonts w:ascii="Times New Roman" w:eastAsiaTheme="minorEastAsia" w:hAnsi="Times New Roman" w:cs="Times New Roman"/>
          <w:color w:val="000000" w:themeColor="text1"/>
        </w:rPr>
        <w:t>acquiring</w:t>
      </w:r>
      <w:r w:rsidRPr="00D2424D">
        <w:rPr>
          <w:rFonts w:ascii="Times New Roman" w:eastAsiaTheme="minorEastAsia" w:hAnsi="Times New Roman" w:cs="Times New Roman"/>
          <w:color w:val="000000" w:themeColor="text1"/>
        </w:rPr>
        <w:t xml:space="preserve"> a </w:t>
      </w:r>
      <w:r w:rsidR="0060484C">
        <w:rPr>
          <w:rFonts w:ascii="Times New Roman" w:eastAsiaTheme="minorEastAsia" w:hAnsi="Times New Roman" w:cs="Times New Roman"/>
          <w:color w:val="000000" w:themeColor="text1"/>
        </w:rPr>
        <w:t>specified</w:t>
      </w:r>
      <w:r w:rsidRPr="00D2424D">
        <w:rPr>
          <w:rFonts w:ascii="Times New Roman" w:eastAsiaTheme="minorEastAsia" w:hAnsi="Times New Roman" w:cs="Times New Roman"/>
          <w:color w:val="000000" w:themeColor="text1"/>
        </w:rPr>
        <w:t xml:space="preserve"> share.</w:t>
      </w:r>
      <w:r w:rsidR="00D2424D" w:rsidRPr="00D2424D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0D6D70">
        <w:rPr>
          <w:rFonts w:ascii="Times New Roman" w:eastAsiaTheme="minorEastAsia" w:hAnsi="Times New Roman" w:cs="Times New Roman"/>
          <w:color w:val="000000" w:themeColor="text1"/>
        </w:rPr>
        <w:t>(Watson et al 2019)</w:t>
      </w:r>
    </w:p>
    <w:p w14:paraId="163064BC" w14:textId="3D8665B9" w:rsidR="000D6D70" w:rsidRDefault="000D6D70" w:rsidP="0003066B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</w:p>
    <w:p w14:paraId="72DFC631" w14:textId="431478C3" w:rsidR="00752AB1" w:rsidRDefault="00752AB1" w:rsidP="0003066B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</w:p>
    <w:p w14:paraId="0369B07D" w14:textId="57F6CE6C" w:rsidR="001F6017" w:rsidRDefault="00ED14F9" w:rsidP="0003066B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ED14F9">
        <w:rPr>
          <w:noProof/>
        </w:rPr>
        <w:lastRenderedPageBreak/>
        <w:drawing>
          <wp:inline distT="0" distB="0" distL="0" distR="0" wp14:anchorId="78777F5E" wp14:editId="4E9381DD">
            <wp:extent cx="5727700" cy="3004185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88101" w14:textId="77777777" w:rsidR="004C713A" w:rsidRDefault="00D75ABC" w:rsidP="0003066B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D75ABC">
        <w:rPr>
          <w:noProof/>
        </w:rPr>
        <w:drawing>
          <wp:inline distT="0" distB="0" distL="0" distR="0" wp14:anchorId="1F9D2CD3" wp14:editId="6E5C79E9">
            <wp:extent cx="5727700" cy="26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C302B" w14:textId="77777777" w:rsidR="004C713A" w:rsidRDefault="004C713A" w:rsidP="0003066B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color w:val="000000" w:themeColor="text1"/>
        </w:rPr>
      </w:pPr>
    </w:p>
    <w:p w14:paraId="14AAC5F8" w14:textId="0F3E81C7" w:rsidR="00752AB1" w:rsidRDefault="00380BF1" w:rsidP="0003066B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color w:val="000000" w:themeColor="text1"/>
        </w:rPr>
        <w:t>The figure 2 indicates DY is 3.8%</w:t>
      </w:r>
      <w:r w:rsidR="00183291">
        <w:rPr>
          <w:rFonts w:ascii="Times New Roman" w:eastAsiaTheme="minorEastAsia" w:hAnsi="Times New Roman" w:cs="Times New Roman"/>
          <w:color w:val="000000" w:themeColor="text1"/>
        </w:rPr>
        <w:t xml:space="preserve"> is below </w:t>
      </w:r>
      <w:r w:rsidR="00183291" w:rsidRPr="006D501B">
        <w:rPr>
          <w:rFonts w:ascii="Times New Roman" w:eastAsiaTheme="minorEastAsia" w:hAnsi="Times New Roman" w:cs="Times New Roman"/>
          <w:color w:val="000000" w:themeColor="text1"/>
        </w:rPr>
        <w:t>Index DY -10%</w:t>
      </w:r>
      <w:r w:rsidR="00183291">
        <w:rPr>
          <w:rFonts w:ascii="Times New Roman" w:eastAsiaTheme="minorEastAsia" w:hAnsi="Times New Roman" w:cs="Times New Roman"/>
          <w:color w:val="000000" w:themeColor="text1"/>
        </w:rPr>
        <w:t xml:space="preserve"> (4.1%), </w:t>
      </w:r>
      <w:r w:rsidR="00183291" w:rsidRPr="0007364A">
        <w:rPr>
          <w:rFonts w:ascii="Times New Roman" w:eastAsiaTheme="minorEastAsia" w:hAnsi="Times New Roman" w:cs="Times New Roman"/>
          <w:color w:val="000000" w:themeColor="text1"/>
        </w:rPr>
        <w:t>shares appear overvalued</w:t>
      </w:r>
      <w:r w:rsidR="007B02CE">
        <w:rPr>
          <w:rFonts w:ascii="Times New Roman" w:eastAsiaTheme="minorEastAsia" w:hAnsi="Times New Roman" w:cs="Times New Roman"/>
          <w:color w:val="000000" w:themeColor="text1"/>
        </w:rPr>
        <w:t>.</w:t>
      </w:r>
      <w:r w:rsidR="00741CA7">
        <w:rPr>
          <w:rFonts w:ascii="Times New Roman" w:eastAsiaTheme="minorEastAsia" w:hAnsi="Times New Roman" w:cs="Times New Roman"/>
          <w:color w:val="000000" w:themeColor="text1"/>
        </w:rPr>
        <w:t xml:space="preserve"> (Appendix)</w:t>
      </w:r>
    </w:p>
    <w:p w14:paraId="4B032433" w14:textId="77777777" w:rsidR="00293EC6" w:rsidRDefault="00293EC6" w:rsidP="0003066B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u w:val="single"/>
        </w:rPr>
      </w:pPr>
    </w:p>
    <w:p w14:paraId="49C46AD0" w14:textId="1F2B7510" w:rsidR="00CE68BB" w:rsidRDefault="00CE68BB" w:rsidP="0003066B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u w:val="single"/>
        </w:rPr>
      </w:pPr>
      <w:r w:rsidRPr="00CE68BB">
        <w:rPr>
          <w:rFonts w:ascii="Times New Roman" w:eastAsiaTheme="minorEastAsia" w:hAnsi="Times New Roman" w:cs="Times New Roman"/>
          <w:b/>
          <w:bCs/>
          <w:color w:val="000000" w:themeColor="text1"/>
          <w:u w:val="single"/>
        </w:rPr>
        <w:t>Conclusion</w:t>
      </w:r>
      <w:r w:rsidR="00293EC6">
        <w:rPr>
          <w:rFonts w:ascii="Times New Roman" w:eastAsiaTheme="minorEastAsia" w:hAnsi="Times New Roman" w:cs="Times New Roman"/>
          <w:b/>
          <w:bCs/>
          <w:color w:val="000000" w:themeColor="text1"/>
          <w:u w:val="single"/>
        </w:rPr>
        <w:t xml:space="preserve"> </w:t>
      </w:r>
    </w:p>
    <w:p w14:paraId="6E5C3BDB" w14:textId="77777777" w:rsidR="00732CD5" w:rsidRDefault="00732CD5" w:rsidP="0003066B">
      <w:pPr>
        <w:pStyle w:val="ListParagraph"/>
        <w:spacing w:line="360" w:lineRule="auto"/>
        <w:ind w:left="0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u w:val="single"/>
        </w:rPr>
      </w:pPr>
    </w:p>
    <w:p w14:paraId="45EFFFB1" w14:textId="2262A749" w:rsidR="00635A5F" w:rsidRPr="0007364A" w:rsidRDefault="003A1F51" w:rsidP="0003066B">
      <w:pPr>
        <w:pStyle w:val="ListParagraph"/>
        <w:numPr>
          <w:ilvl w:val="0"/>
          <w:numId w:val="18"/>
        </w:numPr>
        <w:spacing w:line="360" w:lineRule="auto"/>
        <w:ind w:left="630" w:hanging="720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u w:val="single"/>
        </w:rPr>
      </w:pPr>
      <w:r w:rsidRPr="0007364A">
        <w:rPr>
          <w:rFonts w:ascii="Times New Roman" w:eastAsiaTheme="minorEastAsia" w:hAnsi="Times New Roman" w:cs="Times New Roman"/>
          <w:color w:val="000000" w:themeColor="text1"/>
        </w:rPr>
        <w:t xml:space="preserve">When prospective </w:t>
      </w:r>
      <w:r w:rsidR="00B74183" w:rsidRPr="0007364A">
        <w:rPr>
          <w:rFonts w:ascii="Times New Roman" w:eastAsiaTheme="minorEastAsia" w:hAnsi="Times New Roman" w:cs="Times New Roman"/>
          <w:color w:val="000000" w:themeColor="text1"/>
        </w:rPr>
        <w:t xml:space="preserve">PER </w:t>
      </w:r>
      <w:r w:rsidRPr="0007364A">
        <w:rPr>
          <w:rFonts w:ascii="Times New Roman" w:eastAsiaTheme="minorEastAsia" w:hAnsi="Times New Roman" w:cs="Times New Roman"/>
          <w:color w:val="000000" w:themeColor="text1"/>
        </w:rPr>
        <w:t>of FTSE All‐Share index</w:t>
      </w:r>
      <w:r w:rsidR="00B74183" w:rsidRPr="0007364A">
        <w:rPr>
          <w:rFonts w:ascii="Times New Roman" w:eastAsiaTheme="minorEastAsia" w:hAnsi="Times New Roman" w:cs="Times New Roman"/>
          <w:color w:val="000000" w:themeColor="text1"/>
        </w:rPr>
        <w:t xml:space="preserve"> is 16.5</w:t>
      </w:r>
      <w:r w:rsidR="0007364A" w:rsidRPr="0007364A">
        <w:rPr>
          <w:rFonts w:ascii="Times New Roman" w:eastAsiaTheme="minorEastAsia" w:hAnsi="Times New Roman" w:cs="Times New Roman"/>
          <w:color w:val="000000" w:themeColor="text1"/>
        </w:rPr>
        <w:t xml:space="preserve">, the company PER (20.8) is </w:t>
      </w:r>
      <w:r w:rsidR="00B60235">
        <w:rPr>
          <w:rFonts w:ascii="Times New Roman" w:eastAsiaTheme="minorEastAsia" w:hAnsi="Times New Roman" w:cs="Times New Roman"/>
          <w:color w:val="000000" w:themeColor="text1"/>
        </w:rPr>
        <w:t>above</w:t>
      </w:r>
      <w:r w:rsidR="0007364A" w:rsidRPr="0007364A">
        <w:rPr>
          <w:rFonts w:ascii="Times New Roman" w:eastAsiaTheme="minorEastAsia" w:hAnsi="Times New Roman" w:cs="Times New Roman"/>
          <w:color w:val="000000" w:themeColor="text1"/>
        </w:rPr>
        <w:t xml:space="preserve"> I</w:t>
      </w:r>
      <w:r w:rsidR="0024052C" w:rsidRPr="0007364A">
        <w:rPr>
          <w:rFonts w:ascii="Times New Roman" w:eastAsiaTheme="minorEastAsia" w:hAnsi="Times New Roman" w:cs="Times New Roman"/>
          <w:color w:val="000000" w:themeColor="text1"/>
        </w:rPr>
        <w:t xml:space="preserve">ndex PER +10% </w:t>
      </w:r>
      <w:r w:rsidR="0083515A">
        <w:rPr>
          <w:rFonts w:ascii="Times New Roman" w:eastAsiaTheme="minorEastAsia" w:hAnsi="Times New Roman" w:cs="Times New Roman"/>
          <w:color w:val="000000" w:themeColor="text1"/>
        </w:rPr>
        <w:t>(</w:t>
      </w:r>
      <w:r w:rsidR="0024052C" w:rsidRPr="0007364A">
        <w:rPr>
          <w:rFonts w:ascii="Times New Roman" w:eastAsiaTheme="minorEastAsia" w:hAnsi="Times New Roman" w:cs="Times New Roman"/>
          <w:color w:val="000000" w:themeColor="text1"/>
        </w:rPr>
        <w:t>18.2</w:t>
      </w:r>
      <w:r w:rsidR="0083515A">
        <w:rPr>
          <w:rFonts w:ascii="Times New Roman" w:eastAsiaTheme="minorEastAsia" w:hAnsi="Times New Roman" w:cs="Times New Roman"/>
          <w:color w:val="000000" w:themeColor="text1"/>
        </w:rPr>
        <w:t>)</w:t>
      </w:r>
      <w:r w:rsidR="0007364A">
        <w:rPr>
          <w:rFonts w:ascii="Times New Roman" w:eastAsiaTheme="minorEastAsia" w:hAnsi="Times New Roman" w:cs="Times New Roman"/>
          <w:color w:val="000000" w:themeColor="text1"/>
        </w:rPr>
        <w:t xml:space="preserve">, </w:t>
      </w:r>
      <w:r w:rsidR="00624A56" w:rsidRPr="0007364A">
        <w:rPr>
          <w:rFonts w:ascii="Times New Roman" w:eastAsiaTheme="minorEastAsia" w:hAnsi="Times New Roman" w:cs="Times New Roman"/>
          <w:color w:val="000000" w:themeColor="text1"/>
        </w:rPr>
        <w:t>then shares appear overvalued</w:t>
      </w:r>
      <w:r w:rsidR="00D1009B">
        <w:rPr>
          <w:rFonts w:ascii="Times New Roman" w:eastAsiaTheme="minorEastAsia" w:hAnsi="Times New Roman" w:cs="Times New Roman"/>
          <w:color w:val="000000" w:themeColor="text1"/>
        </w:rPr>
        <w:t>.</w:t>
      </w:r>
      <w:r w:rsidR="00C54792">
        <w:rPr>
          <w:rFonts w:ascii="Times New Roman" w:eastAsiaTheme="minorEastAsia" w:hAnsi="Times New Roman" w:cs="Times New Roman"/>
          <w:color w:val="000000" w:themeColor="text1"/>
        </w:rPr>
        <w:t xml:space="preserve"> However, </w:t>
      </w:r>
      <w:r w:rsidR="00C54792" w:rsidRPr="00C54792">
        <w:rPr>
          <w:rFonts w:ascii="Times New Roman" w:eastAsiaTheme="minorEastAsia" w:hAnsi="Times New Roman" w:cs="Times New Roman"/>
          <w:color w:val="000000" w:themeColor="text1"/>
        </w:rPr>
        <w:t>future earnings per share growth expectations</w:t>
      </w:r>
      <w:r w:rsidR="00C54792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2A4D38">
        <w:rPr>
          <w:rFonts w:ascii="Times New Roman" w:eastAsiaTheme="minorEastAsia" w:hAnsi="Times New Roman" w:cs="Times New Roman"/>
          <w:color w:val="000000" w:themeColor="text1"/>
        </w:rPr>
        <w:t xml:space="preserve">are </w:t>
      </w:r>
      <w:r w:rsidR="006F6D5B">
        <w:rPr>
          <w:rFonts w:ascii="Times New Roman" w:eastAsiaTheme="minorEastAsia" w:hAnsi="Times New Roman" w:cs="Times New Roman"/>
          <w:color w:val="000000" w:themeColor="text1"/>
        </w:rPr>
        <w:t xml:space="preserve">nearly </w:t>
      </w:r>
      <w:r w:rsidR="002A4D38">
        <w:rPr>
          <w:rFonts w:ascii="Times New Roman" w:eastAsiaTheme="minorEastAsia" w:hAnsi="Times New Roman" w:cs="Times New Roman"/>
          <w:color w:val="000000" w:themeColor="text1"/>
        </w:rPr>
        <w:t>2% for both 2021 and 2022</w:t>
      </w:r>
      <w:r w:rsidR="00BC74B2">
        <w:rPr>
          <w:rFonts w:ascii="Times New Roman" w:eastAsiaTheme="minorEastAsia" w:hAnsi="Times New Roman" w:cs="Times New Roman"/>
          <w:color w:val="000000" w:themeColor="text1"/>
        </w:rPr>
        <w:t xml:space="preserve"> (Appendix). Therefore, shares are not justified by weak future </w:t>
      </w:r>
      <w:r w:rsidR="00557CE8">
        <w:rPr>
          <w:rFonts w:ascii="Times New Roman" w:eastAsiaTheme="minorEastAsia" w:hAnsi="Times New Roman" w:cs="Times New Roman"/>
          <w:color w:val="000000" w:themeColor="text1"/>
        </w:rPr>
        <w:t>profit growth</w:t>
      </w:r>
      <w:r w:rsidR="008255A0">
        <w:rPr>
          <w:rFonts w:ascii="Times New Roman" w:eastAsiaTheme="minorEastAsia" w:hAnsi="Times New Roman" w:cs="Times New Roman"/>
          <w:color w:val="000000" w:themeColor="text1"/>
        </w:rPr>
        <w:t xml:space="preserve"> expectations</w:t>
      </w:r>
      <w:r w:rsidR="00BC74B2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1337B2E6" w14:textId="62CFDA50" w:rsidR="002A0795" w:rsidRPr="00E541EF" w:rsidRDefault="00853908" w:rsidP="0003066B">
      <w:pPr>
        <w:pStyle w:val="ListParagraph"/>
        <w:numPr>
          <w:ilvl w:val="0"/>
          <w:numId w:val="18"/>
        </w:numPr>
        <w:spacing w:line="360" w:lineRule="auto"/>
        <w:ind w:left="630" w:hanging="720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eastAsiaTheme="minorEastAsia" w:hAnsi="Times New Roman" w:cs="Times New Roman"/>
          <w:color w:val="000000" w:themeColor="text1"/>
        </w:rPr>
        <w:t xml:space="preserve">When </w:t>
      </w:r>
      <w:r w:rsidR="00A40F8D">
        <w:rPr>
          <w:rFonts w:ascii="Times New Roman" w:eastAsiaTheme="minorEastAsia" w:hAnsi="Times New Roman" w:cs="Times New Roman"/>
          <w:color w:val="000000" w:themeColor="text1"/>
        </w:rPr>
        <w:t>p</w:t>
      </w:r>
      <w:r w:rsidRPr="00853908">
        <w:rPr>
          <w:rFonts w:ascii="Times New Roman" w:eastAsiaTheme="minorEastAsia" w:hAnsi="Times New Roman" w:cs="Times New Roman"/>
          <w:color w:val="000000" w:themeColor="text1"/>
        </w:rPr>
        <w:t xml:space="preserve">rospective 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DY </w:t>
      </w:r>
      <w:r w:rsidRPr="00853908">
        <w:rPr>
          <w:rFonts w:ascii="Times New Roman" w:eastAsiaTheme="minorEastAsia" w:hAnsi="Times New Roman" w:cs="Times New Roman"/>
          <w:color w:val="000000" w:themeColor="text1"/>
        </w:rPr>
        <w:t>of FTSE All‐Share index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 is </w:t>
      </w:r>
      <w:r w:rsidRPr="00853908">
        <w:rPr>
          <w:rFonts w:ascii="Times New Roman" w:eastAsiaTheme="minorEastAsia" w:hAnsi="Times New Roman" w:cs="Times New Roman"/>
          <w:color w:val="000000" w:themeColor="text1"/>
        </w:rPr>
        <w:t>4.5%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, the company DY (3.8%) is </w:t>
      </w:r>
      <w:r w:rsidR="00B60235">
        <w:rPr>
          <w:rFonts w:ascii="Times New Roman" w:eastAsiaTheme="minorEastAsia" w:hAnsi="Times New Roman" w:cs="Times New Roman"/>
          <w:color w:val="000000" w:themeColor="text1"/>
        </w:rPr>
        <w:t>below</w:t>
      </w:r>
      <w:r w:rsidR="006D501B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6D501B" w:rsidRPr="006D501B">
        <w:rPr>
          <w:rFonts w:ascii="Times New Roman" w:eastAsiaTheme="minorEastAsia" w:hAnsi="Times New Roman" w:cs="Times New Roman"/>
          <w:color w:val="000000" w:themeColor="text1"/>
        </w:rPr>
        <w:t>Index DY -10%</w:t>
      </w:r>
      <w:r w:rsidR="00A05F3A">
        <w:rPr>
          <w:rFonts w:ascii="Times New Roman" w:eastAsiaTheme="minorEastAsia" w:hAnsi="Times New Roman" w:cs="Times New Roman"/>
          <w:color w:val="000000" w:themeColor="text1"/>
        </w:rPr>
        <w:t xml:space="preserve"> (4.1%)</w:t>
      </w:r>
      <w:r w:rsidR="00652119">
        <w:rPr>
          <w:rFonts w:ascii="Times New Roman" w:eastAsiaTheme="minorEastAsia" w:hAnsi="Times New Roman" w:cs="Times New Roman"/>
          <w:color w:val="000000" w:themeColor="text1"/>
        </w:rPr>
        <w:t xml:space="preserve">, </w:t>
      </w:r>
      <w:r w:rsidR="00652119" w:rsidRPr="0007364A">
        <w:rPr>
          <w:rFonts w:ascii="Times New Roman" w:eastAsiaTheme="minorEastAsia" w:hAnsi="Times New Roman" w:cs="Times New Roman"/>
          <w:color w:val="000000" w:themeColor="text1"/>
        </w:rPr>
        <w:t>then shares appear overvalued</w:t>
      </w:r>
      <w:r w:rsidR="00652119">
        <w:rPr>
          <w:rFonts w:ascii="Times New Roman" w:eastAsiaTheme="minorEastAsia" w:hAnsi="Times New Roman" w:cs="Times New Roman"/>
          <w:color w:val="000000" w:themeColor="text1"/>
        </w:rPr>
        <w:t>.</w:t>
      </w:r>
      <w:r w:rsidR="00017CDE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970B8B">
        <w:rPr>
          <w:rFonts w:ascii="Times New Roman" w:eastAsiaTheme="minorEastAsia" w:hAnsi="Times New Roman" w:cs="Times New Roman"/>
          <w:color w:val="000000" w:themeColor="text1"/>
        </w:rPr>
        <w:t xml:space="preserve">However, </w:t>
      </w:r>
      <w:r w:rsidR="00970B8B" w:rsidRPr="00970B8B">
        <w:rPr>
          <w:rFonts w:ascii="Times New Roman" w:eastAsiaTheme="minorEastAsia" w:hAnsi="Times New Roman" w:cs="Times New Roman"/>
          <w:color w:val="000000" w:themeColor="text1"/>
        </w:rPr>
        <w:t>future dividend growth expectations</w:t>
      </w:r>
      <w:r w:rsidR="00C3453E">
        <w:rPr>
          <w:rFonts w:ascii="Times New Roman" w:eastAsiaTheme="minorEastAsia" w:hAnsi="Times New Roman" w:cs="Times New Roman"/>
          <w:color w:val="000000" w:themeColor="text1"/>
        </w:rPr>
        <w:t xml:space="preserve"> are 4% and 3% for 2021 and 2022, respectively</w:t>
      </w:r>
      <w:r w:rsidR="001E3231">
        <w:rPr>
          <w:rFonts w:ascii="Times New Roman" w:eastAsiaTheme="minorEastAsia" w:hAnsi="Times New Roman" w:cs="Times New Roman"/>
          <w:color w:val="000000" w:themeColor="text1"/>
        </w:rPr>
        <w:t xml:space="preserve"> (Appendix).</w:t>
      </w:r>
      <w:r w:rsidR="007148DB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161059">
        <w:rPr>
          <w:rFonts w:ascii="Times New Roman" w:eastAsiaTheme="minorEastAsia" w:hAnsi="Times New Roman" w:cs="Times New Roman"/>
          <w:color w:val="000000" w:themeColor="text1"/>
        </w:rPr>
        <w:t xml:space="preserve">Therefore, shares are not justified by slow </w:t>
      </w:r>
      <w:r w:rsidR="00161059" w:rsidRPr="00161059">
        <w:rPr>
          <w:rFonts w:ascii="Times New Roman" w:eastAsiaTheme="minorEastAsia" w:hAnsi="Times New Roman" w:cs="Times New Roman"/>
          <w:color w:val="000000" w:themeColor="text1"/>
        </w:rPr>
        <w:t>future dividend growth expectations</w:t>
      </w:r>
      <w:r w:rsidR="00E541EF">
        <w:rPr>
          <w:rFonts w:ascii="Times New Roman" w:eastAsiaTheme="minorEastAsia" w:hAnsi="Times New Roman" w:cs="Times New Roman"/>
          <w:color w:val="000000" w:themeColor="text1"/>
        </w:rPr>
        <w:t>.</w:t>
      </w:r>
    </w:p>
    <w:p w14:paraId="79CD684A" w14:textId="69F20D05" w:rsidR="00E541EF" w:rsidRPr="00017CDE" w:rsidRDefault="00E541EF" w:rsidP="0003066B">
      <w:pPr>
        <w:pStyle w:val="ListParagraph"/>
        <w:numPr>
          <w:ilvl w:val="0"/>
          <w:numId w:val="18"/>
        </w:numPr>
        <w:spacing w:line="360" w:lineRule="auto"/>
        <w:ind w:left="630" w:hanging="720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eastAsiaTheme="minorEastAsia" w:hAnsi="Times New Roman" w:cs="Times New Roman"/>
          <w:color w:val="000000" w:themeColor="text1"/>
        </w:rPr>
        <w:t xml:space="preserve">Overall, the company’s shares are not fairly valued by the </w:t>
      </w:r>
      <w:r w:rsidRPr="00E541EF">
        <w:rPr>
          <w:rFonts w:ascii="Times New Roman" w:eastAsiaTheme="minorEastAsia" w:hAnsi="Times New Roman" w:cs="Times New Roman"/>
          <w:color w:val="000000" w:themeColor="text1"/>
        </w:rPr>
        <w:t>equity market</w:t>
      </w:r>
      <w:r w:rsidR="00465F8E">
        <w:rPr>
          <w:rFonts w:ascii="Times New Roman" w:eastAsiaTheme="minorEastAsia" w:hAnsi="Times New Roman" w:cs="Times New Roman"/>
          <w:color w:val="000000" w:themeColor="text1"/>
        </w:rPr>
        <w:t xml:space="preserve">. They are overvalued. </w:t>
      </w:r>
    </w:p>
    <w:p w14:paraId="7A8C3766" w14:textId="3C9611B4" w:rsidR="00017CDE" w:rsidRDefault="00017CDE" w:rsidP="0003066B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u w:val="single"/>
        </w:rPr>
      </w:pPr>
    </w:p>
    <w:p w14:paraId="6432028D" w14:textId="16369E38" w:rsidR="00C708B8" w:rsidRDefault="00C708B8" w:rsidP="0003066B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u w:val="single"/>
        </w:rPr>
      </w:pPr>
    </w:p>
    <w:p w14:paraId="48607B1F" w14:textId="3860379E" w:rsidR="00732CD5" w:rsidRDefault="00732CD5" w:rsidP="0003066B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u w:val="single"/>
        </w:rPr>
      </w:pPr>
    </w:p>
    <w:p w14:paraId="5E427CB1" w14:textId="77777777" w:rsidR="00732CD5" w:rsidRDefault="00732CD5" w:rsidP="0003066B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u w:val="single"/>
        </w:rPr>
      </w:pPr>
    </w:p>
    <w:p w14:paraId="193B2CF0" w14:textId="10AF7CF5" w:rsidR="005E4489" w:rsidRDefault="005D6B08" w:rsidP="0003066B">
      <w:pPr>
        <w:pStyle w:val="ListParagraph"/>
        <w:numPr>
          <w:ilvl w:val="0"/>
          <w:numId w:val="2"/>
        </w:numPr>
        <w:spacing w:line="360" w:lineRule="auto"/>
        <w:ind w:left="567" w:hanging="567"/>
        <w:outlineLvl w:val="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3" w:name="_Toc61320258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International expansion project</w:t>
      </w:r>
      <w:r w:rsidR="0080549D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in Belgium</w:t>
      </w:r>
      <w:bookmarkEnd w:id="3"/>
    </w:p>
    <w:p w14:paraId="375976C8" w14:textId="77777777" w:rsidR="00EC09E3" w:rsidRDefault="00EC09E3" w:rsidP="0003066B">
      <w:pPr>
        <w:pStyle w:val="ListParagraph"/>
        <w:spacing w:line="360" w:lineRule="auto"/>
        <w:ind w:left="567"/>
        <w:outlineLvl w:val="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7727D6B4" w14:textId="5AC31AB2" w:rsidR="002257BB" w:rsidRDefault="00C84AB3" w:rsidP="0003066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vertAlign w:val="subscript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a/ </w:t>
      </w:r>
      <w:r w:rsidR="002257BB">
        <w:rPr>
          <w:rFonts w:ascii="Times New Roman" w:hAnsi="Times New Roman" w:cs="Times New Roman"/>
          <w:b/>
          <w:bCs/>
          <w:color w:val="000000" w:themeColor="text1"/>
          <w:lang w:val="en-US"/>
        </w:rPr>
        <w:t>Cost of Equity</w:t>
      </w:r>
      <w:r w:rsidR="009A2BC4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(</w:t>
      </w:r>
      <w:r w:rsidR="009A2BC4" w:rsidRPr="009A2BC4">
        <w:rPr>
          <w:rFonts w:ascii="Times New Roman" w:hAnsi="Times New Roman" w:cs="Times New Roman"/>
          <w:b/>
          <w:bCs/>
          <w:color w:val="000000" w:themeColor="text1"/>
          <w:lang w:val="en-US"/>
        </w:rPr>
        <w:t>K</w:t>
      </w:r>
      <w:r w:rsidR="009A2BC4" w:rsidRPr="009A2BC4">
        <w:rPr>
          <w:rFonts w:ascii="Times New Roman" w:hAnsi="Times New Roman" w:cs="Times New Roman"/>
          <w:b/>
          <w:bCs/>
          <w:color w:val="000000" w:themeColor="text1"/>
          <w:vertAlign w:val="subscript"/>
          <w:lang w:val="en-US"/>
        </w:rPr>
        <w:t>E</w:t>
      </w:r>
      <w:r w:rsidR="009A2BC4">
        <w:rPr>
          <w:rFonts w:ascii="Times New Roman" w:hAnsi="Times New Roman" w:cs="Times New Roman"/>
          <w:b/>
          <w:bCs/>
          <w:color w:val="000000" w:themeColor="text1"/>
          <w:vertAlign w:val="subscript"/>
          <w:lang w:val="en-US"/>
        </w:rPr>
        <w:t>)</w:t>
      </w:r>
    </w:p>
    <w:p w14:paraId="09E405EB" w14:textId="77777777" w:rsidR="00B46012" w:rsidRDefault="00B46012" w:rsidP="0003066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056BDC02" w14:textId="3F62E36D" w:rsidR="002257BB" w:rsidRDefault="00C55341" w:rsidP="0003066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C55341">
        <w:rPr>
          <w:noProof/>
        </w:rPr>
        <w:drawing>
          <wp:inline distT="0" distB="0" distL="0" distR="0" wp14:anchorId="44F0F581" wp14:editId="44198DBF">
            <wp:extent cx="5727700" cy="157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54800" w14:textId="6F3FACED" w:rsidR="00C84AB3" w:rsidRDefault="004F1DF1" w:rsidP="0003066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4F1DF1"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  <w:drawing>
          <wp:inline distT="0" distB="0" distL="0" distR="0" wp14:anchorId="3C25E82F" wp14:editId="0EF197ED">
            <wp:extent cx="5727700" cy="305625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4FC51" w14:textId="01948587" w:rsidR="007155BA" w:rsidRDefault="00FB6D69" w:rsidP="0003066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FB6D69">
        <w:rPr>
          <w:noProof/>
        </w:rPr>
        <w:drawing>
          <wp:inline distT="0" distB="0" distL="0" distR="0" wp14:anchorId="5929C32E" wp14:editId="2CDC6FC7">
            <wp:extent cx="5727700" cy="260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33A46" w14:textId="5B36B55F" w:rsidR="00DF3C3F" w:rsidRDefault="00DF3C3F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F3C3F">
        <w:rPr>
          <w:rFonts w:ascii="Times New Roman" w:hAnsi="Times New Roman" w:cs="Times New Roman"/>
          <w:color w:val="000000" w:themeColor="text1"/>
          <w:lang w:val="en-US"/>
        </w:rPr>
        <w:t xml:space="preserve">Figure 3 indicates </w:t>
      </w:r>
      <w:r w:rsidR="00DD41A5">
        <w:rPr>
          <w:rFonts w:ascii="Times New Roman" w:hAnsi="Times New Roman" w:cs="Times New Roman"/>
          <w:color w:val="000000" w:themeColor="text1"/>
          <w:lang w:val="en-US"/>
        </w:rPr>
        <w:t>K</w:t>
      </w:r>
      <w:r w:rsidR="00DD41A5" w:rsidRPr="00DD41A5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E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is 7.31%.</w:t>
      </w:r>
      <w:r w:rsidR="007670FD">
        <w:rPr>
          <w:rFonts w:ascii="Times New Roman" w:hAnsi="Times New Roman" w:cs="Times New Roman"/>
          <w:color w:val="000000" w:themeColor="text1"/>
          <w:lang w:val="en-US"/>
        </w:rPr>
        <w:t xml:space="preserve"> (Appendix)</w:t>
      </w:r>
    </w:p>
    <w:p w14:paraId="2C62EB85" w14:textId="69F21638" w:rsidR="00B141B6" w:rsidRDefault="00B141B6" w:rsidP="0003066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21AC7C8A" w14:textId="66402594" w:rsidR="00DF3C3F" w:rsidRPr="009A2BC4" w:rsidRDefault="00450421" w:rsidP="0003066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A2BC4">
        <w:rPr>
          <w:rFonts w:ascii="Times New Roman" w:hAnsi="Times New Roman" w:cs="Times New Roman"/>
          <w:b/>
          <w:bCs/>
          <w:color w:val="000000" w:themeColor="text1"/>
          <w:lang w:val="en-US"/>
        </w:rPr>
        <w:t>b/ Cost of debt (</w:t>
      </w:r>
      <w:bookmarkStart w:id="4" w:name="_Hlk61278324"/>
      <w:r w:rsidRPr="009A2BC4">
        <w:rPr>
          <w:rFonts w:ascii="Times New Roman" w:hAnsi="Times New Roman" w:cs="Times New Roman"/>
          <w:b/>
          <w:bCs/>
          <w:color w:val="000000" w:themeColor="text1"/>
          <w:lang w:val="en-US"/>
        </w:rPr>
        <w:t>K</w:t>
      </w:r>
      <w:r w:rsidRPr="009A2BC4">
        <w:rPr>
          <w:rFonts w:ascii="Times New Roman" w:hAnsi="Times New Roman" w:cs="Times New Roman"/>
          <w:b/>
          <w:bCs/>
          <w:color w:val="000000" w:themeColor="text1"/>
          <w:vertAlign w:val="subscript"/>
          <w:lang w:val="en-US"/>
        </w:rPr>
        <w:t>D</w:t>
      </w:r>
      <w:bookmarkEnd w:id="4"/>
      <w:r w:rsidRPr="009A2BC4">
        <w:rPr>
          <w:rFonts w:ascii="Times New Roman" w:hAnsi="Times New Roman" w:cs="Times New Roman"/>
          <w:b/>
          <w:bCs/>
          <w:color w:val="000000" w:themeColor="text1"/>
          <w:lang w:val="en-US"/>
        </w:rPr>
        <w:t>)</w:t>
      </w:r>
    </w:p>
    <w:p w14:paraId="4BFABEC6" w14:textId="6DCDD61D" w:rsidR="00450421" w:rsidRPr="00E8170A" w:rsidRDefault="00E8170A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Figure 4 below shows</w:t>
      </w:r>
      <w:r w:rsidRPr="00E8170A">
        <w:rPr>
          <w:rFonts w:ascii="Times New Roman" w:hAnsi="Times New Roman" w:cs="Times New Roman"/>
          <w:color w:val="000000" w:themeColor="text1"/>
          <w:lang w:val="en-US"/>
        </w:rPr>
        <w:t xml:space="preserve"> K</w:t>
      </w:r>
      <w:r w:rsidRPr="00E8170A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is 4.01%</w:t>
      </w:r>
      <w:r w:rsidR="006C5D45">
        <w:rPr>
          <w:rFonts w:ascii="Times New Roman" w:hAnsi="Times New Roman" w:cs="Times New Roman"/>
          <w:color w:val="000000" w:themeColor="text1"/>
          <w:lang w:val="en-US"/>
        </w:rPr>
        <w:t>. (Appendix)</w:t>
      </w:r>
    </w:p>
    <w:p w14:paraId="3FCEDE6C" w14:textId="7AA42BFF" w:rsidR="007670FD" w:rsidRPr="00DF3C3F" w:rsidRDefault="00C9747E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9747E">
        <w:rPr>
          <w:rFonts w:ascii="Times New Roman" w:hAnsi="Times New Roman" w:cs="Times New Roman"/>
          <w:noProof/>
          <w:color w:val="000000" w:themeColor="text1"/>
          <w:lang w:val="en-US"/>
        </w:rPr>
        <w:lastRenderedPageBreak/>
        <w:drawing>
          <wp:inline distT="0" distB="0" distL="0" distR="0" wp14:anchorId="7A527DD1" wp14:editId="1230A41A">
            <wp:extent cx="5727700" cy="5958205"/>
            <wp:effectExtent l="0" t="0" r="635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95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C6A7A" w14:textId="25BEABDF" w:rsidR="00C9747E" w:rsidRDefault="00A52E40" w:rsidP="0003066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A52E40">
        <w:rPr>
          <w:noProof/>
        </w:rPr>
        <w:drawing>
          <wp:inline distT="0" distB="0" distL="0" distR="0" wp14:anchorId="744D6F54" wp14:editId="20E25409">
            <wp:extent cx="5727700" cy="260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09567" w14:textId="77777777" w:rsidR="00B141B6" w:rsidRDefault="00B141B6" w:rsidP="0003066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2C041A70" w14:textId="158A7113" w:rsidR="00252529" w:rsidRDefault="000F7558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c/ </w:t>
      </w:r>
      <w:r w:rsidR="007C67B7">
        <w:rPr>
          <w:rFonts w:ascii="Times New Roman" w:hAnsi="Times New Roman" w:cs="Times New Roman"/>
          <w:b/>
          <w:bCs/>
          <w:color w:val="000000" w:themeColor="text1"/>
          <w:lang w:val="en-US"/>
        </w:rPr>
        <w:t>T</w:t>
      </w:r>
      <w:r w:rsidR="00971DAB" w:rsidRPr="00971DAB">
        <w:rPr>
          <w:rFonts w:ascii="Times New Roman" w:hAnsi="Times New Roman" w:cs="Times New Roman"/>
          <w:b/>
          <w:bCs/>
          <w:color w:val="000000" w:themeColor="text1"/>
          <w:lang w:val="en-US"/>
        </w:rPr>
        <w:t>he weighted average cost of capital</w:t>
      </w:r>
      <w:r w:rsidR="00EF65C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(WACC</w:t>
      </w:r>
      <w:r w:rsidR="004E5900">
        <w:rPr>
          <w:rFonts w:ascii="Times New Roman" w:hAnsi="Times New Roman" w:cs="Times New Roman"/>
          <w:b/>
          <w:bCs/>
          <w:color w:val="000000" w:themeColor="text1"/>
          <w:lang w:val="en-US"/>
        </w:rPr>
        <w:t>)</w:t>
      </w:r>
      <w:r w:rsidR="00EF65CA" w:rsidRPr="00EF65C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5D7CF2F0" w14:textId="086C2817" w:rsidR="00971DAB" w:rsidRPr="00EF65CA" w:rsidRDefault="002C389D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The </w:t>
      </w:r>
      <w:r w:rsidR="00252529">
        <w:rPr>
          <w:rFonts w:ascii="Times New Roman" w:hAnsi="Times New Roman" w:cs="Times New Roman"/>
          <w:color w:val="000000" w:themeColor="text1"/>
          <w:lang w:val="en-US"/>
        </w:rPr>
        <w:t xml:space="preserve">WACC </w:t>
      </w:r>
      <w:r>
        <w:rPr>
          <w:rFonts w:ascii="Times New Roman" w:hAnsi="Times New Roman" w:cs="Times New Roman"/>
          <w:color w:val="000000" w:themeColor="text1"/>
          <w:lang w:val="en-US"/>
        </w:rPr>
        <w:t>renovate</w:t>
      </w:r>
      <w:r w:rsidR="00EF65CA" w:rsidRPr="00EF65CA">
        <w:rPr>
          <w:rFonts w:ascii="Times New Roman" w:hAnsi="Times New Roman" w:cs="Times New Roman"/>
          <w:color w:val="000000" w:themeColor="text1"/>
          <w:lang w:val="en-US"/>
        </w:rPr>
        <w:t xml:space="preserve">s market prices of a </w:t>
      </w:r>
      <w:r w:rsidR="007608C0">
        <w:rPr>
          <w:rFonts w:ascii="Times New Roman" w:hAnsi="Times New Roman" w:cs="Times New Roman"/>
          <w:color w:val="000000" w:themeColor="text1"/>
          <w:lang w:val="en-US"/>
        </w:rPr>
        <w:t>business</w:t>
      </w:r>
      <w:r w:rsidR="00EF65CA" w:rsidRPr="00EF65CA">
        <w:rPr>
          <w:rFonts w:ascii="Times New Roman" w:hAnsi="Times New Roman" w:cs="Times New Roman"/>
          <w:color w:val="000000" w:themeColor="text1"/>
          <w:lang w:val="en-US"/>
        </w:rPr>
        <w:t>’ securities to a money discount rate for investment appraisal purposes</w:t>
      </w:r>
      <w:r w:rsidR="00B36CB3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A46874">
        <w:rPr>
          <w:rFonts w:ascii="Times New Roman" w:hAnsi="Times New Roman" w:cs="Times New Roman"/>
          <w:color w:val="000000" w:themeColor="text1"/>
          <w:lang w:val="en-US"/>
        </w:rPr>
        <w:t>Figure 5 indicates WACC is 7%.</w:t>
      </w:r>
    </w:p>
    <w:p w14:paraId="234E0152" w14:textId="44D77004" w:rsidR="002F7E98" w:rsidRDefault="00047E74" w:rsidP="0003066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47E74"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  <w:lastRenderedPageBreak/>
        <w:drawing>
          <wp:inline distT="0" distB="0" distL="0" distR="0" wp14:anchorId="3F61B1BC" wp14:editId="6BC94A8C">
            <wp:extent cx="5727700" cy="286004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DA7B1" w14:textId="24E3BBC7" w:rsidR="007E0054" w:rsidRDefault="00FB374D" w:rsidP="0003066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FB374D">
        <w:rPr>
          <w:noProof/>
        </w:rPr>
        <w:drawing>
          <wp:inline distT="0" distB="0" distL="0" distR="0" wp14:anchorId="091B66C8" wp14:editId="459E3CC0">
            <wp:extent cx="5727700" cy="260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FB806" w14:textId="77777777" w:rsidR="00160401" w:rsidRDefault="00160401" w:rsidP="0003066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A619CA2" w14:textId="3DA55775" w:rsidR="00D723F8" w:rsidRDefault="000F7558" w:rsidP="0003066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d/ </w:t>
      </w:r>
      <w:r w:rsidR="004F6CB0">
        <w:rPr>
          <w:rFonts w:ascii="Times New Roman" w:hAnsi="Times New Roman" w:cs="Times New Roman"/>
          <w:b/>
          <w:bCs/>
          <w:color w:val="000000" w:themeColor="text1"/>
          <w:lang w:val="en-US"/>
        </w:rPr>
        <w:t>I</w:t>
      </w:r>
      <w:r w:rsidR="004F6CB0" w:rsidRPr="004F6CB0">
        <w:rPr>
          <w:rFonts w:ascii="Times New Roman" w:hAnsi="Times New Roman" w:cs="Times New Roman"/>
          <w:b/>
          <w:bCs/>
          <w:color w:val="000000" w:themeColor="text1"/>
          <w:lang w:val="en-US"/>
        </w:rPr>
        <w:t>nvestment appraisal methodologies</w:t>
      </w:r>
      <w:r w:rsidR="00CB06D5">
        <w:rPr>
          <w:rFonts w:ascii="Times New Roman" w:hAnsi="Times New Roman" w:cs="Times New Roman"/>
          <w:b/>
          <w:bCs/>
          <w:color w:val="000000" w:themeColor="text1"/>
          <w:lang w:val="en-US"/>
        </w:rPr>
        <w:t>:</w:t>
      </w:r>
    </w:p>
    <w:p w14:paraId="0B18ED9D" w14:textId="210BFC5D" w:rsidR="00160401" w:rsidRPr="00160401" w:rsidRDefault="00160401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60401">
        <w:rPr>
          <w:rFonts w:ascii="Times New Roman" w:hAnsi="Times New Roman" w:cs="Times New Roman"/>
          <w:color w:val="000000" w:themeColor="text1"/>
          <w:lang w:val="en-US"/>
        </w:rPr>
        <w:t xml:space="preserve">Assume that </w:t>
      </w:r>
      <w:r w:rsidR="00AE1A0A">
        <w:rPr>
          <w:rFonts w:ascii="Times New Roman" w:hAnsi="Times New Roman" w:cs="Times New Roman"/>
          <w:color w:val="000000" w:themeColor="text1"/>
          <w:lang w:val="en-US"/>
        </w:rPr>
        <w:t>Edinburgh pls</w:t>
      </w:r>
      <w:r w:rsidRPr="00160401">
        <w:rPr>
          <w:rFonts w:ascii="Times New Roman" w:hAnsi="Times New Roman" w:cs="Times New Roman"/>
          <w:color w:val="000000" w:themeColor="text1"/>
          <w:lang w:val="en-US"/>
        </w:rPr>
        <w:t xml:space="preserve"> intends to hedge its foreign exchange exposure </w:t>
      </w:r>
      <w:r w:rsidR="007B1F6D">
        <w:rPr>
          <w:rFonts w:ascii="Times New Roman" w:hAnsi="Times New Roman" w:cs="Times New Roman"/>
          <w:color w:val="000000" w:themeColor="text1"/>
          <w:lang w:val="en-US"/>
        </w:rPr>
        <w:t xml:space="preserve">and in money term </w:t>
      </w:r>
      <w:r w:rsidRPr="00160401">
        <w:rPr>
          <w:rFonts w:ascii="Times New Roman" w:hAnsi="Times New Roman" w:cs="Times New Roman"/>
          <w:color w:val="000000" w:themeColor="text1"/>
          <w:lang w:val="en-US"/>
        </w:rPr>
        <w:t>if it sets up the facilit</w:t>
      </w:r>
      <w:r w:rsidR="00AE1A0A">
        <w:rPr>
          <w:rFonts w:ascii="Times New Roman" w:hAnsi="Times New Roman" w:cs="Times New Roman"/>
          <w:color w:val="000000" w:themeColor="text1"/>
          <w:lang w:val="en-US"/>
        </w:rPr>
        <w:t>ies</w:t>
      </w:r>
      <w:r w:rsidR="005D3F7C">
        <w:rPr>
          <w:rFonts w:ascii="Times New Roman" w:hAnsi="Times New Roman" w:cs="Times New Roman"/>
          <w:color w:val="000000" w:themeColor="text1"/>
          <w:lang w:val="en-US"/>
        </w:rPr>
        <w:t xml:space="preserve"> in Belgium</w:t>
      </w:r>
      <w:r w:rsidRPr="00160401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4F14EE97" w14:textId="77777777" w:rsidR="00160401" w:rsidRDefault="00160401" w:rsidP="0003066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0C3E954C" w14:textId="4A3D7FF6" w:rsidR="00CB06D5" w:rsidRDefault="00CB06D5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-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Net </w:t>
      </w:r>
      <w:r w:rsidRPr="00CB06D5">
        <w:rPr>
          <w:rFonts w:ascii="Times New Roman" w:hAnsi="Times New Roman" w:cs="Times New Roman"/>
          <w:color w:val="000000" w:themeColor="text1"/>
          <w:lang w:val="en-US"/>
        </w:rPr>
        <w:t>Present Value (NPV)</w:t>
      </w:r>
      <w:r w:rsidR="008A060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8A0600" w:rsidRPr="008A0600">
        <w:rPr>
          <w:rFonts w:ascii="Times New Roman" w:hAnsi="Times New Roman" w:cs="Times New Roman"/>
          <w:color w:val="000000" w:themeColor="text1"/>
          <w:lang w:val="en-US"/>
        </w:rPr>
        <w:t>method uses discounted cash flows to</w:t>
      </w:r>
      <w:r w:rsidR="005611C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9D6854">
        <w:rPr>
          <w:rFonts w:ascii="Times New Roman" w:hAnsi="Times New Roman" w:cs="Times New Roman"/>
          <w:color w:val="000000" w:themeColor="text1"/>
          <w:lang w:val="en-US"/>
        </w:rPr>
        <w:t>evaluate</w:t>
      </w:r>
      <w:r w:rsidR="008A0600" w:rsidRPr="008A0600">
        <w:rPr>
          <w:rFonts w:ascii="Times New Roman" w:hAnsi="Times New Roman" w:cs="Times New Roman"/>
          <w:color w:val="000000" w:themeColor="text1"/>
          <w:lang w:val="en-US"/>
        </w:rPr>
        <w:t xml:space="preserve"> capital investment projects</w:t>
      </w:r>
      <w:r w:rsidR="006F220A">
        <w:rPr>
          <w:rFonts w:ascii="Times New Roman" w:hAnsi="Times New Roman" w:cs="Times New Roman"/>
          <w:color w:val="000000" w:themeColor="text1"/>
          <w:lang w:val="en-US"/>
        </w:rPr>
        <w:t>.</w:t>
      </w:r>
      <w:r w:rsidR="004C551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AD2956" w:rsidRPr="00AD2956">
        <w:rPr>
          <w:rFonts w:ascii="Times New Roman" w:hAnsi="Times New Roman" w:cs="Times New Roman"/>
          <w:color w:val="000000" w:themeColor="text1"/>
          <w:lang w:val="en-US"/>
        </w:rPr>
        <w:t xml:space="preserve">A positive NPV </w:t>
      </w:r>
      <w:r w:rsidR="00950170">
        <w:rPr>
          <w:rFonts w:ascii="Times New Roman" w:hAnsi="Times New Roman" w:cs="Times New Roman"/>
          <w:color w:val="000000" w:themeColor="text1"/>
          <w:lang w:val="en-US"/>
        </w:rPr>
        <w:t>shows</w:t>
      </w:r>
      <w:r w:rsidR="00AD2956" w:rsidRPr="00AD2956">
        <w:rPr>
          <w:rFonts w:ascii="Times New Roman" w:hAnsi="Times New Roman" w:cs="Times New Roman"/>
          <w:color w:val="000000" w:themeColor="text1"/>
          <w:lang w:val="en-US"/>
        </w:rPr>
        <w:t xml:space="preserve"> that an investment project </w:t>
      </w:r>
      <w:r w:rsidR="00E34FBF">
        <w:rPr>
          <w:rFonts w:ascii="Times New Roman" w:hAnsi="Times New Roman" w:cs="Times New Roman"/>
          <w:color w:val="000000" w:themeColor="text1"/>
          <w:lang w:val="en-US"/>
        </w:rPr>
        <w:t>can</w:t>
      </w:r>
      <w:r w:rsidR="008D5B99">
        <w:rPr>
          <w:rFonts w:ascii="Times New Roman" w:hAnsi="Times New Roman" w:cs="Times New Roman"/>
          <w:color w:val="000000" w:themeColor="text1"/>
          <w:lang w:val="en-US"/>
        </w:rPr>
        <w:t xml:space="preserve"> generat</w:t>
      </w:r>
      <w:r w:rsidR="003363DD">
        <w:rPr>
          <w:rFonts w:ascii="Times New Roman" w:hAnsi="Times New Roman" w:cs="Times New Roman"/>
          <w:color w:val="000000" w:themeColor="text1"/>
          <w:lang w:val="en-US"/>
        </w:rPr>
        <w:t>e</w:t>
      </w:r>
      <w:r w:rsidR="00AD2956" w:rsidRPr="00AD2956">
        <w:rPr>
          <w:rFonts w:ascii="Times New Roman" w:hAnsi="Times New Roman" w:cs="Times New Roman"/>
          <w:color w:val="000000" w:themeColor="text1"/>
          <w:lang w:val="en-US"/>
        </w:rPr>
        <w:t xml:space="preserve"> a return in </w:t>
      </w:r>
      <w:r w:rsidR="00960D24">
        <w:rPr>
          <w:rFonts w:ascii="Times New Roman" w:hAnsi="Times New Roman" w:cs="Times New Roman"/>
          <w:color w:val="000000" w:themeColor="text1"/>
          <w:lang w:val="en-US"/>
        </w:rPr>
        <w:t>surplus</w:t>
      </w:r>
      <w:r w:rsidR="00AD2956" w:rsidRPr="00AD2956">
        <w:rPr>
          <w:rFonts w:ascii="Times New Roman" w:hAnsi="Times New Roman" w:cs="Times New Roman"/>
          <w:color w:val="000000" w:themeColor="text1"/>
          <w:lang w:val="en-US"/>
        </w:rPr>
        <w:t xml:space="preserve"> of the cost of capital and will lead to a </w:t>
      </w:r>
      <w:r w:rsidR="00FA49DD">
        <w:rPr>
          <w:rFonts w:ascii="Times New Roman" w:hAnsi="Times New Roman" w:cs="Times New Roman"/>
          <w:color w:val="000000" w:themeColor="text1"/>
          <w:lang w:val="en-US"/>
        </w:rPr>
        <w:t>rise</w:t>
      </w:r>
      <w:r w:rsidR="00AD2956" w:rsidRPr="00AD2956">
        <w:rPr>
          <w:rFonts w:ascii="Times New Roman" w:hAnsi="Times New Roman" w:cs="Times New Roman"/>
          <w:color w:val="000000" w:themeColor="text1"/>
          <w:lang w:val="en-US"/>
        </w:rPr>
        <w:t xml:space="preserve"> in shareholder wealth.</w:t>
      </w:r>
      <w:r w:rsidR="002A4044">
        <w:rPr>
          <w:rFonts w:ascii="Times New Roman" w:hAnsi="Times New Roman" w:cs="Times New Roman"/>
          <w:color w:val="000000" w:themeColor="text1"/>
          <w:lang w:val="en-US"/>
        </w:rPr>
        <w:t xml:space="preserve"> (Watson et al 2019)</w:t>
      </w:r>
      <w:r w:rsidR="003E03FB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20EE609D" w14:textId="77777777" w:rsidR="003A1599" w:rsidRDefault="003A1599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1C0F34CE" w14:textId="0D01F4FD" w:rsidR="003E03FB" w:rsidRDefault="003E03FB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Figure 6 shows that NPV of expansion project in Belgium is </w:t>
      </w:r>
      <w:r w:rsidRPr="003E03FB">
        <w:rPr>
          <w:rFonts w:ascii="Times New Roman" w:hAnsi="Times New Roman" w:cs="Times New Roman"/>
          <w:color w:val="000000" w:themeColor="text1"/>
          <w:lang w:val="en-US"/>
        </w:rPr>
        <w:t>986</w:t>
      </w:r>
      <w:r>
        <w:rPr>
          <w:rFonts w:ascii="Times New Roman" w:hAnsi="Times New Roman" w:cs="Times New Roman"/>
          <w:color w:val="000000" w:themeColor="text1"/>
          <w:lang w:val="en-US"/>
        </w:rPr>
        <w:t>.</w:t>
      </w:r>
      <w:r w:rsidRPr="003E03FB">
        <w:rPr>
          <w:rFonts w:ascii="Times New Roman" w:hAnsi="Times New Roman" w:cs="Times New Roman"/>
          <w:color w:val="000000" w:themeColor="text1"/>
          <w:lang w:val="en-US"/>
        </w:rPr>
        <w:t>344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GBP</w:t>
      </w:r>
      <w:r w:rsidR="004E28C2">
        <w:rPr>
          <w:rFonts w:ascii="Times New Roman" w:hAnsi="Times New Roman" w:cs="Times New Roman"/>
          <w:color w:val="000000" w:themeColor="text1"/>
          <w:lang w:val="en-US"/>
        </w:rPr>
        <w:t xml:space="preserve"> which is positive, company should set up the facility.</w:t>
      </w:r>
    </w:p>
    <w:p w14:paraId="2A9B29B7" w14:textId="3078A2FF" w:rsidR="00572F0F" w:rsidRDefault="00572F0F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72F0F">
        <w:rPr>
          <w:rFonts w:ascii="Times New Roman" w:hAnsi="Times New Roman" w:cs="Times New Roman"/>
          <w:noProof/>
          <w:color w:val="000000" w:themeColor="text1"/>
          <w:lang w:val="en-US"/>
        </w:rPr>
        <w:lastRenderedPageBreak/>
        <w:drawing>
          <wp:inline distT="0" distB="0" distL="0" distR="0" wp14:anchorId="4D27D9A8" wp14:editId="2F0FE99F">
            <wp:extent cx="5727700" cy="63436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A12FC" w14:textId="35D1B863" w:rsidR="00572F0F" w:rsidRDefault="00C67C83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67C83">
        <w:rPr>
          <w:noProof/>
        </w:rPr>
        <w:drawing>
          <wp:inline distT="0" distB="0" distL="0" distR="0" wp14:anchorId="73FE1977" wp14:editId="348D8FC8">
            <wp:extent cx="5727700" cy="26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B6FD4" w14:textId="77777777" w:rsidR="00C67C83" w:rsidRDefault="00C67C83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18B03901" w14:textId="0BC3C764" w:rsidR="00257637" w:rsidRDefault="00DD0994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- </w:t>
      </w:r>
      <w:r w:rsidRPr="00DD0994">
        <w:rPr>
          <w:rFonts w:ascii="Times New Roman" w:hAnsi="Times New Roman" w:cs="Times New Roman"/>
          <w:color w:val="000000" w:themeColor="text1"/>
          <w:lang w:val="en-US"/>
        </w:rPr>
        <w:t>Internal Rate of Return (IRR)</w:t>
      </w:r>
      <w:r w:rsidR="00D6146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E97364">
        <w:rPr>
          <w:rFonts w:ascii="Times New Roman" w:hAnsi="Times New Roman" w:cs="Times New Roman"/>
          <w:color w:val="000000" w:themeColor="text1"/>
          <w:lang w:val="en-US"/>
        </w:rPr>
        <w:t xml:space="preserve">method </w:t>
      </w:r>
      <w:r w:rsidR="003D5298">
        <w:rPr>
          <w:rFonts w:ascii="Times New Roman" w:hAnsi="Times New Roman" w:cs="Times New Roman"/>
          <w:color w:val="000000" w:themeColor="text1"/>
          <w:lang w:val="en-US"/>
        </w:rPr>
        <w:t>is the cost of capital</w:t>
      </w:r>
      <w:r w:rsidR="00D61465" w:rsidRPr="00D61465">
        <w:rPr>
          <w:rFonts w:ascii="Times New Roman" w:hAnsi="Times New Roman" w:cs="Times New Roman"/>
          <w:color w:val="000000" w:themeColor="text1"/>
          <w:lang w:val="en-US"/>
        </w:rPr>
        <w:t>.</w:t>
      </w:r>
      <w:r w:rsidR="00F14D3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F7E53">
        <w:rPr>
          <w:rFonts w:ascii="Times New Roman" w:hAnsi="Times New Roman" w:cs="Times New Roman"/>
          <w:color w:val="000000" w:themeColor="text1"/>
          <w:lang w:val="en-US"/>
        </w:rPr>
        <w:t>W</w:t>
      </w:r>
      <w:r w:rsidR="00F14D3A" w:rsidRPr="00F14D3A">
        <w:rPr>
          <w:rFonts w:ascii="Times New Roman" w:hAnsi="Times New Roman" w:cs="Times New Roman"/>
          <w:color w:val="000000" w:themeColor="text1"/>
          <w:lang w:val="en-US"/>
        </w:rPr>
        <w:t xml:space="preserve">ith an IRR greater than the company’s cost of capital or </w:t>
      </w:r>
      <w:r w:rsidR="006A3B6D" w:rsidRPr="006A3B6D">
        <w:rPr>
          <w:rFonts w:ascii="Times New Roman" w:hAnsi="Times New Roman" w:cs="Times New Roman"/>
          <w:color w:val="000000" w:themeColor="text1"/>
          <w:lang w:val="en-US"/>
        </w:rPr>
        <w:t xml:space="preserve">hurdle </w:t>
      </w:r>
      <w:r w:rsidR="00F14D3A" w:rsidRPr="00F14D3A">
        <w:rPr>
          <w:rFonts w:ascii="Times New Roman" w:hAnsi="Times New Roman" w:cs="Times New Roman"/>
          <w:color w:val="000000" w:themeColor="text1"/>
          <w:lang w:val="en-US"/>
        </w:rPr>
        <w:t>rate</w:t>
      </w:r>
      <w:r w:rsidR="006A3B6D">
        <w:rPr>
          <w:rFonts w:ascii="Times New Roman" w:hAnsi="Times New Roman" w:cs="Times New Roman"/>
          <w:color w:val="000000" w:themeColor="text1"/>
          <w:lang w:val="en-US"/>
        </w:rPr>
        <w:t xml:space="preserve">, we can </w:t>
      </w:r>
      <w:r w:rsidR="00DF7E53" w:rsidRPr="00F14D3A">
        <w:rPr>
          <w:rFonts w:ascii="Times New Roman" w:hAnsi="Times New Roman" w:cs="Times New Roman"/>
          <w:color w:val="000000" w:themeColor="text1"/>
          <w:lang w:val="en-US"/>
        </w:rPr>
        <w:t>accept</w:t>
      </w:r>
      <w:r w:rsidR="00DF7E5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F7E53" w:rsidRPr="00F14D3A">
        <w:rPr>
          <w:rFonts w:ascii="Times New Roman" w:hAnsi="Times New Roman" w:cs="Times New Roman"/>
          <w:color w:val="000000" w:themeColor="text1"/>
          <w:lang w:val="en-US"/>
        </w:rPr>
        <w:t>all independent investment projects</w:t>
      </w:r>
      <w:r w:rsidR="00F14D3A" w:rsidRPr="00F14D3A">
        <w:rPr>
          <w:rFonts w:ascii="Times New Roman" w:hAnsi="Times New Roman" w:cs="Times New Roman"/>
          <w:color w:val="000000" w:themeColor="text1"/>
          <w:lang w:val="en-US"/>
        </w:rPr>
        <w:t>.</w:t>
      </w:r>
      <w:r w:rsidR="00751142">
        <w:rPr>
          <w:rFonts w:ascii="Times New Roman" w:hAnsi="Times New Roman" w:cs="Times New Roman"/>
          <w:color w:val="000000" w:themeColor="text1"/>
          <w:lang w:val="en-US"/>
        </w:rPr>
        <w:t xml:space="preserve"> (Watson et al 2019)</w:t>
      </w:r>
      <w:r w:rsidR="00605272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</w:p>
    <w:p w14:paraId="207823EA" w14:textId="32ED21A1" w:rsidR="00723D85" w:rsidRDefault="00723D85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4E2FE472" w14:textId="1E5BC3C8" w:rsidR="00A169B9" w:rsidRDefault="00A169B9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41728561" w14:textId="77777777" w:rsidR="00A169B9" w:rsidRDefault="00A169B9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4DB85858" w14:textId="6173BD24" w:rsidR="00A76167" w:rsidRDefault="00A76167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lastRenderedPageBreak/>
        <w:t>Figure 7 indicates that IRR of expansion project in Belgium is 13.8%</w:t>
      </w:r>
      <w:r w:rsidR="006951A0">
        <w:rPr>
          <w:rFonts w:ascii="Times New Roman" w:hAnsi="Times New Roman" w:cs="Times New Roman"/>
          <w:color w:val="000000" w:themeColor="text1"/>
          <w:lang w:val="en-US"/>
        </w:rPr>
        <w:t xml:space="preserve"> is higher than the cost of capital (7.31%), company should set up facility.</w:t>
      </w:r>
    </w:p>
    <w:p w14:paraId="302C054A" w14:textId="77777777" w:rsidR="00A169B9" w:rsidRDefault="00A169B9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69E1EAB5" w14:textId="4D3E7438" w:rsidR="00257637" w:rsidRDefault="00446752" w:rsidP="0003066B">
      <w:pPr>
        <w:spacing w:line="360" w:lineRule="auto"/>
        <w:ind w:right="20"/>
        <w:rPr>
          <w:rFonts w:ascii="Times New Roman" w:hAnsi="Times New Roman" w:cs="Times New Roman"/>
          <w:color w:val="000000" w:themeColor="text1"/>
          <w:lang w:val="en-US"/>
        </w:rPr>
      </w:pPr>
      <w:r w:rsidRPr="00446752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5246B577" wp14:editId="4C08777E">
            <wp:extent cx="5727700" cy="210947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A67F3" w14:textId="6A80EC9B" w:rsidR="00446752" w:rsidRDefault="00CE28F3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E28F3">
        <w:rPr>
          <w:noProof/>
        </w:rPr>
        <w:drawing>
          <wp:inline distT="0" distB="0" distL="0" distR="0" wp14:anchorId="3B40708C" wp14:editId="27963C72">
            <wp:extent cx="5727700" cy="260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1EAAB" w14:textId="77777777" w:rsidR="00A76167" w:rsidRDefault="00A76167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5F3A0F16" w14:textId="7636A11E" w:rsidR="00DD0994" w:rsidRDefault="00DD0994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- </w:t>
      </w:r>
      <w:r w:rsidRPr="00DD0994">
        <w:rPr>
          <w:rFonts w:ascii="Times New Roman" w:hAnsi="Times New Roman" w:cs="Times New Roman"/>
          <w:color w:val="000000" w:themeColor="text1"/>
          <w:lang w:val="en-US"/>
        </w:rPr>
        <w:t>Discounted Payback Period (DPP)</w:t>
      </w:r>
      <w:r w:rsidR="0062237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622379" w:rsidRPr="00622379">
        <w:rPr>
          <w:rFonts w:ascii="Times New Roman" w:hAnsi="Times New Roman" w:cs="Times New Roman"/>
          <w:color w:val="000000" w:themeColor="text1"/>
          <w:lang w:val="en-US"/>
        </w:rPr>
        <w:t xml:space="preserve">is the </w:t>
      </w:r>
      <w:r w:rsidR="00E4410D">
        <w:rPr>
          <w:rFonts w:ascii="Times New Roman" w:hAnsi="Times New Roman" w:cs="Times New Roman"/>
          <w:color w:val="000000" w:themeColor="text1"/>
          <w:lang w:val="en-US"/>
        </w:rPr>
        <w:t xml:space="preserve">period </w:t>
      </w:r>
      <w:r w:rsidR="00622379" w:rsidRPr="00622379">
        <w:rPr>
          <w:rFonts w:ascii="Times New Roman" w:hAnsi="Times New Roman" w:cs="Times New Roman"/>
          <w:color w:val="000000" w:themeColor="text1"/>
          <w:lang w:val="en-US"/>
        </w:rPr>
        <w:t xml:space="preserve">for a project’s initial cash outflows to be </w:t>
      </w:r>
      <w:r w:rsidR="00E4410D">
        <w:rPr>
          <w:rFonts w:ascii="Times New Roman" w:hAnsi="Times New Roman" w:cs="Times New Roman"/>
          <w:color w:val="000000" w:themeColor="text1"/>
          <w:lang w:val="en-US"/>
        </w:rPr>
        <w:t>recovered</w:t>
      </w:r>
      <w:r w:rsidR="007058AB">
        <w:rPr>
          <w:rFonts w:ascii="Times New Roman" w:hAnsi="Times New Roman" w:cs="Times New Roman"/>
          <w:color w:val="000000" w:themeColor="text1"/>
          <w:lang w:val="en-US"/>
        </w:rPr>
        <w:t>.</w:t>
      </w:r>
      <w:r w:rsidR="00534190">
        <w:rPr>
          <w:rFonts w:ascii="Times New Roman" w:hAnsi="Times New Roman" w:cs="Times New Roman"/>
          <w:color w:val="000000" w:themeColor="text1"/>
          <w:lang w:val="en-US"/>
        </w:rPr>
        <w:t xml:space="preserve"> Figure 8 shows that DPP of expansion project in Belgium is </w:t>
      </w:r>
      <w:r w:rsidR="00B2419E">
        <w:rPr>
          <w:rFonts w:ascii="Times New Roman" w:hAnsi="Times New Roman" w:cs="Times New Roman"/>
          <w:color w:val="000000" w:themeColor="text1"/>
          <w:lang w:val="en-US"/>
        </w:rPr>
        <w:t>6.94</w:t>
      </w:r>
      <w:r w:rsidR="00534190">
        <w:rPr>
          <w:rFonts w:ascii="Times New Roman" w:hAnsi="Times New Roman" w:cs="Times New Roman"/>
          <w:color w:val="000000" w:themeColor="text1"/>
          <w:lang w:val="en-US"/>
        </w:rPr>
        <w:t xml:space="preserve"> years</w:t>
      </w:r>
      <w:r w:rsidR="00BA1F6F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4F88D76B" w14:textId="77777777" w:rsidR="00DC69D2" w:rsidRDefault="00DC69D2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536FB980" w14:textId="24179699" w:rsidR="004F6CB0" w:rsidRDefault="00255E0F" w:rsidP="0003066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55E0F"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  <w:drawing>
          <wp:inline distT="0" distB="0" distL="0" distR="0" wp14:anchorId="6F888B38" wp14:editId="427ED086">
            <wp:extent cx="5727700" cy="10160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F9318" w14:textId="75418A1C" w:rsidR="0069717E" w:rsidRDefault="006B3186" w:rsidP="0003066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6B3186">
        <w:rPr>
          <w:noProof/>
        </w:rPr>
        <w:drawing>
          <wp:inline distT="0" distB="0" distL="0" distR="0" wp14:anchorId="561E7A73" wp14:editId="1F2ADDBE">
            <wp:extent cx="5727700" cy="260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6BC5C" w14:textId="77777777" w:rsidR="001F7283" w:rsidRDefault="001F7283" w:rsidP="0003066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6E5C5678" w14:textId="35BA4664" w:rsidR="00534190" w:rsidRDefault="008460A2" w:rsidP="0003066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e/ Advice: </w:t>
      </w:r>
    </w:p>
    <w:p w14:paraId="462B3CAD" w14:textId="77777777" w:rsidR="000176EA" w:rsidRDefault="000176EA" w:rsidP="0003066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6FED3FA5" w14:textId="294AD3CD" w:rsidR="008460A2" w:rsidRDefault="005823C8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823C8">
        <w:rPr>
          <w:rFonts w:ascii="Times New Roman" w:hAnsi="Times New Roman" w:cs="Times New Roman"/>
          <w:color w:val="000000" w:themeColor="text1"/>
          <w:lang w:val="en-US"/>
        </w:rPr>
        <w:t>Although the project's DPP (</w:t>
      </w:r>
      <w:r w:rsidR="00DA48D1">
        <w:rPr>
          <w:rFonts w:ascii="Times New Roman" w:hAnsi="Times New Roman" w:cs="Times New Roman"/>
          <w:color w:val="000000" w:themeColor="text1"/>
          <w:lang w:val="en-US"/>
        </w:rPr>
        <w:t>6.94</w:t>
      </w:r>
      <w:r w:rsidR="004670A7">
        <w:rPr>
          <w:rFonts w:ascii="Times New Roman" w:hAnsi="Times New Roman" w:cs="Times New Roman"/>
          <w:color w:val="000000" w:themeColor="text1"/>
          <w:lang w:val="en-US"/>
        </w:rPr>
        <w:t xml:space="preserve"> years</w:t>
      </w:r>
      <w:r w:rsidRPr="005823C8">
        <w:rPr>
          <w:rFonts w:ascii="Times New Roman" w:hAnsi="Times New Roman" w:cs="Times New Roman"/>
          <w:color w:val="000000" w:themeColor="text1"/>
          <w:lang w:val="en-US"/>
        </w:rPr>
        <w:t>) is longer than the 4 years hurdle period but IRR (13.8%) is higher than the cost of capital (7.31%) and it has a positive NPV (+986.344</w:t>
      </w:r>
      <w:r w:rsidR="000D44A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86EC8">
        <w:rPr>
          <w:rFonts w:ascii="Times New Roman" w:hAnsi="Times New Roman" w:cs="Times New Roman"/>
          <w:color w:val="000000" w:themeColor="text1"/>
          <w:lang w:val="en-US"/>
        </w:rPr>
        <w:t>GBP</w:t>
      </w:r>
      <w:r w:rsidRPr="005823C8">
        <w:rPr>
          <w:rFonts w:ascii="Times New Roman" w:hAnsi="Times New Roman" w:cs="Times New Roman"/>
          <w:color w:val="000000" w:themeColor="text1"/>
          <w:lang w:val="en-US"/>
        </w:rPr>
        <w:t xml:space="preserve">), therefore the </w:t>
      </w:r>
      <w:r w:rsidR="00956A92">
        <w:rPr>
          <w:rFonts w:ascii="Times New Roman" w:hAnsi="Times New Roman" w:cs="Times New Roman"/>
          <w:color w:val="000000" w:themeColor="text1"/>
          <w:lang w:val="en-US"/>
        </w:rPr>
        <w:t>company</w:t>
      </w:r>
      <w:r w:rsidRPr="005823C8">
        <w:rPr>
          <w:rFonts w:ascii="Times New Roman" w:hAnsi="Times New Roman" w:cs="Times New Roman"/>
          <w:color w:val="000000" w:themeColor="text1"/>
          <w:lang w:val="en-US"/>
        </w:rPr>
        <w:t xml:space="preserve"> should accept the </w:t>
      </w:r>
      <w:r w:rsidR="00704701">
        <w:rPr>
          <w:rFonts w:ascii="Times New Roman" w:hAnsi="Times New Roman" w:cs="Times New Roman"/>
          <w:color w:val="000000" w:themeColor="text1"/>
          <w:lang w:val="en-US"/>
        </w:rPr>
        <w:t xml:space="preserve">expansion </w:t>
      </w:r>
      <w:r w:rsidRPr="005823C8">
        <w:rPr>
          <w:rFonts w:ascii="Times New Roman" w:hAnsi="Times New Roman" w:cs="Times New Roman"/>
          <w:color w:val="000000" w:themeColor="text1"/>
          <w:lang w:val="en-US"/>
        </w:rPr>
        <w:t xml:space="preserve">project </w:t>
      </w:r>
      <w:r w:rsidR="00704701">
        <w:rPr>
          <w:rFonts w:ascii="Times New Roman" w:hAnsi="Times New Roman" w:cs="Times New Roman"/>
          <w:color w:val="000000" w:themeColor="text1"/>
          <w:lang w:val="en-US"/>
        </w:rPr>
        <w:t xml:space="preserve">in Belgium </w:t>
      </w:r>
      <w:r w:rsidRPr="005823C8">
        <w:rPr>
          <w:rFonts w:ascii="Times New Roman" w:hAnsi="Times New Roman" w:cs="Times New Roman"/>
          <w:color w:val="000000" w:themeColor="text1"/>
          <w:lang w:val="en-US"/>
        </w:rPr>
        <w:t xml:space="preserve">and </w:t>
      </w:r>
      <w:r w:rsidR="00CD66A6">
        <w:rPr>
          <w:rFonts w:ascii="Times New Roman" w:hAnsi="Times New Roman" w:cs="Times New Roman"/>
          <w:color w:val="000000" w:themeColor="text1"/>
          <w:lang w:val="en-US"/>
        </w:rPr>
        <w:t xml:space="preserve">it </w:t>
      </w:r>
      <w:r w:rsidRPr="005823C8">
        <w:rPr>
          <w:rFonts w:ascii="Times New Roman" w:hAnsi="Times New Roman" w:cs="Times New Roman"/>
          <w:color w:val="000000" w:themeColor="text1"/>
          <w:lang w:val="en-US"/>
        </w:rPr>
        <w:t>is forecast to increase shareholder wealth.</w:t>
      </w:r>
    </w:p>
    <w:p w14:paraId="3FA5FB33" w14:textId="2B82D95B" w:rsidR="00A169B9" w:rsidRDefault="00A169B9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55D9325A" w14:textId="086D8CAD" w:rsidR="00BA1F6F" w:rsidRDefault="00BA1F6F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6DBA847D" w14:textId="77777777" w:rsidR="00BA1F6F" w:rsidRDefault="00BA1F6F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4568DABE" w14:textId="77777777" w:rsidR="00A169B9" w:rsidRDefault="00A169B9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7426BB2D" w14:textId="353F0C58" w:rsidR="005D6B08" w:rsidRDefault="005D6B08" w:rsidP="0003066B">
      <w:pPr>
        <w:pStyle w:val="ListParagraph"/>
        <w:numPr>
          <w:ilvl w:val="0"/>
          <w:numId w:val="2"/>
        </w:numPr>
        <w:spacing w:line="360" w:lineRule="auto"/>
        <w:ind w:left="567" w:hanging="567"/>
        <w:outlineLvl w:val="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5" w:name="_Toc61320259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Capital structure</w:t>
      </w:r>
      <w:bookmarkEnd w:id="5"/>
    </w:p>
    <w:p w14:paraId="4EC9546D" w14:textId="77777777" w:rsidR="001638DD" w:rsidRDefault="001638DD" w:rsidP="001638DD">
      <w:pPr>
        <w:pStyle w:val="ListParagraph"/>
        <w:spacing w:line="360" w:lineRule="auto"/>
        <w:ind w:left="567"/>
        <w:outlineLvl w:val="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77A7A2B6" w14:textId="5CE87552" w:rsidR="00C73C7A" w:rsidRDefault="00A47BA5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A47BA5">
        <w:rPr>
          <w:rFonts w:ascii="Times New Roman" w:hAnsi="Times New Roman" w:cs="Times New Roman"/>
          <w:color w:val="000000" w:themeColor="text1"/>
          <w:lang w:val="en-US"/>
        </w:rPr>
        <w:t xml:space="preserve">Financial gearing </w:t>
      </w:r>
      <w:r w:rsidR="00847B6A">
        <w:rPr>
          <w:rFonts w:ascii="Times New Roman" w:hAnsi="Times New Roman" w:cs="Times New Roman"/>
          <w:color w:val="000000" w:themeColor="text1"/>
          <w:lang w:val="en-US"/>
        </w:rPr>
        <w:t>calculation:</w:t>
      </w:r>
    </w:p>
    <w:p w14:paraId="3E1D2FB9" w14:textId="1D4D0124" w:rsidR="002C7136" w:rsidRPr="00AD242E" w:rsidRDefault="007765A8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765A8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7F16A2F0" wp14:editId="12D7376E">
            <wp:extent cx="5727700" cy="2660015"/>
            <wp:effectExtent l="0" t="0" r="635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34A5F" w14:textId="65762DBB" w:rsidR="00AD242E" w:rsidRDefault="00AD242E" w:rsidP="0003066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74CC17CB" w14:textId="7B245026" w:rsidR="00802BFA" w:rsidRDefault="00F6506F" w:rsidP="0003066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F6506F">
        <w:rPr>
          <w:noProof/>
        </w:rPr>
        <w:drawing>
          <wp:inline distT="0" distB="0" distL="0" distR="0" wp14:anchorId="1B9D6B7F" wp14:editId="45AB787A">
            <wp:extent cx="5727700" cy="177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39F28" w14:textId="77777777" w:rsidR="00802BFA" w:rsidRDefault="00802BFA" w:rsidP="0003066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2A6376B3" w14:textId="61A7FE23" w:rsidR="009E3082" w:rsidRDefault="009E3082" w:rsidP="0003066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9E3082">
        <w:rPr>
          <w:rFonts w:ascii="Times New Roman" w:hAnsi="Times New Roman" w:cs="Times New Roman"/>
          <w:b/>
          <w:bCs/>
          <w:color w:val="000000" w:themeColor="text1"/>
          <w:lang w:val="en-US"/>
        </w:rPr>
        <w:t>Conclusion:</w:t>
      </w:r>
    </w:p>
    <w:p w14:paraId="04CD80A6" w14:textId="77777777" w:rsidR="005E0402" w:rsidRPr="009E3082" w:rsidRDefault="005E0402" w:rsidP="0003066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4FE8683A" w14:textId="38AE5B2A" w:rsidR="006C3EFC" w:rsidRDefault="009E3082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- </w:t>
      </w:r>
      <w:r w:rsidR="00247683" w:rsidRPr="00247683">
        <w:rPr>
          <w:rFonts w:ascii="Times New Roman" w:hAnsi="Times New Roman" w:cs="Times New Roman"/>
          <w:color w:val="000000" w:themeColor="text1"/>
          <w:lang w:val="en-US"/>
        </w:rPr>
        <w:t xml:space="preserve">Figure 9 </w:t>
      </w:r>
      <w:r w:rsidR="00247683">
        <w:rPr>
          <w:rFonts w:ascii="Times New Roman" w:hAnsi="Times New Roman" w:cs="Times New Roman"/>
          <w:color w:val="000000" w:themeColor="text1"/>
          <w:lang w:val="en-US"/>
        </w:rPr>
        <w:t xml:space="preserve">indicates that current financial gearing is 10.1% (appendix) is below the optimal level of </w:t>
      </w:r>
      <w:r w:rsidR="00B01B0D">
        <w:rPr>
          <w:rFonts w:ascii="Times New Roman" w:hAnsi="Times New Roman" w:cs="Times New Roman"/>
          <w:color w:val="000000" w:themeColor="text1"/>
          <w:lang w:val="en-US"/>
        </w:rPr>
        <w:t>financial gearing (25%)</w:t>
      </w:r>
      <w:r w:rsidR="00B066D8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8A09C3">
        <w:rPr>
          <w:rFonts w:ascii="Times New Roman" w:hAnsi="Times New Roman" w:cs="Times New Roman"/>
          <w:color w:val="000000" w:themeColor="text1"/>
          <w:lang w:val="en-US"/>
        </w:rPr>
        <w:t xml:space="preserve">Therefore, </w:t>
      </w:r>
      <w:r w:rsidR="00AB4B30">
        <w:rPr>
          <w:rFonts w:ascii="Times New Roman" w:hAnsi="Times New Roman" w:cs="Times New Roman"/>
          <w:color w:val="000000" w:themeColor="text1"/>
          <w:lang w:val="en-US"/>
        </w:rPr>
        <w:t>a</w:t>
      </w:r>
      <w:r w:rsidR="008A09C3">
        <w:rPr>
          <w:rFonts w:ascii="Times New Roman" w:hAnsi="Times New Roman" w:cs="Times New Roman"/>
          <w:color w:val="000000" w:themeColor="text1"/>
          <w:lang w:val="en-US"/>
        </w:rPr>
        <w:t>ccor</w:t>
      </w:r>
      <w:r w:rsidR="00E27AB2">
        <w:rPr>
          <w:rFonts w:ascii="Times New Roman" w:hAnsi="Times New Roman" w:cs="Times New Roman"/>
          <w:color w:val="000000" w:themeColor="text1"/>
          <w:lang w:val="en-US"/>
        </w:rPr>
        <w:t>d</w:t>
      </w:r>
      <w:r w:rsidR="008A09C3">
        <w:rPr>
          <w:rFonts w:ascii="Times New Roman" w:hAnsi="Times New Roman" w:cs="Times New Roman"/>
          <w:color w:val="000000" w:themeColor="text1"/>
          <w:lang w:val="en-US"/>
        </w:rPr>
        <w:t xml:space="preserve">ing to </w:t>
      </w:r>
      <w:r w:rsidR="008A09C3" w:rsidRPr="008A09C3">
        <w:rPr>
          <w:rFonts w:ascii="Times New Roman" w:hAnsi="Times New Roman" w:cs="Times New Roman"/>
          <w:color w:val="000000" w:themeColor="text1"/>
          <w:lang w:val="en-US"/>
        </w:rPr>
        <w:t xml:space="preserve">M&amp;M's with-tax theory </w:t>
      </w:r>
      <w:r w:rsidR="00AB4B30">
        <w:rPr>
          <w:rFonts w:ascii="Times New Roman" w:hAnsi="Times New Roman" w:cs="Times New Roman"/>
          <w:color w:val="000000" w:themeColor="text1"/>
          <w:lang w:val="en-US"/>
        </w:rPr>
        <w:t>the company</w:t>
      </w:r>
      <w:r w:rsidR="00E27AB2">
        <w:rPr>
          <w:rFonts w:ascii="Times New Roman" w:hAnsi="Times New Roman" w:cs="Times New Roman"/>
          <w:color w:val="000000" w:themeColor="text1"/>
          <w:lang w:val="en-US"/>
        </w:rPr>
        <w:t xml:space="preserve">’s current capital structure </w:t>
      </w:r>
      <w:r w:rsidR="00F770D5">
        <w:rPr>
          <w:rFonts w:ascii="Times New Roman" w:hAnsi="Times New Roman" w:cs="Times New Roman"/>
          <w:color w:val="000000" w:themeColor="text1"/>
          <w:lang w:val="en-US"/>
        </w:rPr>
        <w:t>is sub – optimal.</w:t>
      </w:r>
    </w:p>
    <w:p w14:paraId="69B101DC" w14:textId="332C2730" w:rsidR="000A3B78" w:rsidRDefault="000A3B78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- </w:t>
      </w:r>
      <w:r w:rsidR="00CE45E7">
        <w:rPr>
          <w:rFonts w:ascii="Times New Roman" w:hAnsi="Times New Roman" w:cs="Times New Roman"/>
          <w:color w:val="000000" w:themeColor="text1"/>
          <w:lang w:val="en-US"/>
        </w:rPr>
        <w:t>We should increase gearing between 25% and 50%</w:t>
      </w:r>
      <w:r w:rsidR="00222548">
        <w:rPr>
          <w:rFonts w:ascii="Times New Roman" w:hAnsi="Times New Roman" w:cs="Times New Roman"/>
          <w:color w:val="000000" w:themeColor="text1"/>
          <w:lang w:val="en-US"/>
        </w:rPr>
        <w:t xml:space="preserve"> which often is </w:t>
      </w:r>
      <w:r w:rsidR="00D40E1E">
        <w:rPr>
          <w:rFonts w:ascii="Times New Roman" w:hAnsi="Times New Roman" w:cs="Times New Roman"/>
          <w:color w:val="000000" w:themeColor="text1"/>
          <w:lang w:val="en-US"/>
        </w:rPr>
        <w:t>measured</w:t>
      </w:r>
      <w:r w:rsidR="00222548" w:rsidRPr="00222548">
        <w:rPr>
          <w:rFonts w:ascii="Times New Roman" w:hAnsi="Times New Roman" w:cs="Times New Roman"/>
          <w:color w:val="000000" w:themeColor="text1"/>
          <w:lang w:val="en-US"/>
        </w:rPr>
        <w:t xml:space="preserve"> optimal or normal for </w:t>
      </w:r>
      <w:r w:rsidR="00222548">
        <w:rPr>
          <w:rFonts w:ascii="Times New Roman" w:hAnsi="Times New Roman" w:cs="Times New Roman"/>
          <w:color w:val="000000" w:themeColor="text1"/>
          <w:lang w:val="en-US"/>
        </w:rPr>
        <w:t>corporations</w:t>
      </w:r>
      <w:r w:rsidR="00BA66C1">
        <w:rPr>
          <w:rFonts w:ascii="Times New Roman" w:hAnsi="Times New Roman" w:cs="Times New Roman"/>
          <w:color w:val="000000" w:themeColor="text1"/>
          <w:lang w:val="en-US"/>
        </w:rPr>
        <w:t xml:space="preserve"> because</w:t>
      </w:r>
      <w:r w:rsidR="009E674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5579EF" w:rsidRPr="005579EF">
        <w:rPr>
          <w:rFonts w:ascii="Times New Roman" w:hAnsi="Times New Roman" w:cs="Times New Roman"/>
          <w:color w:val="000000" w:themeColor="text1"/>
          <w:lang w:val="en-US"/>
        </w:rPr>
        <w:t>shareholders</w:t>
      </w:r>
      <w:r w:rsidR="00BA66C1">
        <w:rPr>
          <w:rFonts w:ascii="Times New Roman" w:hAnsi="Times New Roman" w:cs="Times New Roman"/>
          <w:color w:val="000000" w:themeColor="text1"/>
          <w:lang w:val="en-US"/>
        </w:rPr>
        <w:t xml:space="preserve"> will</w:t>
      </w:r>
      <w:r w:rsidR="005579EF" w:rsidRPr="005579EF">
        <w:rPr>
          <w:rFonts w:ascii="Times New Roman" w:hAnsi="Times New Roman" w:cs="Times New Roman"/>
          <w:color w:val="000000" w:themeColor="text1"/>
          <w:lang w:val="en-US"/>
        </w:rPr>
        <w:t xml:space="preserve"> benefit from the tax shield</w:t>
      </w:r>
      <w:r w:rsidR="00CE35D6">
        <w:rPr>
          <w:rFonts w:ascii="Times New Roman" w:hAnsi="Times New Roman" w:cs="Times New Roman"/>
          <w:color w:val="000000" w:themeColor="text1"/>
          <w:lang w:val="en-US"/>
        </w:rPr>
        <w:t xml:space="preserve"> or their wealth grows.</w:t>
      </w:r>
    </w:p>
    <w:p w14:paraId="5144BF0F" w14:textId="279A8586" w:rsidR="00B812B7" w:rsidRPr="00B812B7" w:rsidRDefault="00B812B7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- There are some methods to raise gearing</w:t>
      </w:r>
      <w:r w:rsidR="009A7EAA">
        <w:rPr>
          <w:rFonts w:ascii="Times New Roman" w:hAnsi="Times New Roman" w:cs="Times New Roman"/>
          <w:color w:val="000000" w:themeColor="text1"/>
          <w:lang w:val="en-US"/>
        </w:rPr>
        <w:t>, including</w:t>
      </w:r>
      <w:r w:rsidR="00525E7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5E227A">
        <w:rPr>
          <w:rFonts w:ascii="Times New Roman" w:hAnsi="Times New Roman" w:cs="Times New Roman"/>
          <w:color w:val="000000" w:themeColor="text1"/>
          <w:lang w:val="en-US"/>
        </w:rPr>
        <w:t>decreasing</w:t>
      </w:r>
      <w:r w:rsidR="00525E78" w:rsidRPr="00525E78">
        <w:rPr>
          <w:rFonts w:ascii="Times New Roman" w:hAnsi="Times New Roman" w:cs="Times New Roman"/>
          <w:color w:val="000000" w:themeColor="text1"/>
          <w:lang w:val="en-US"/>
        </w:rPr>
        <w:t xml:space="preserve"> the speed of accounts receivable collections, </w:t>
      </w:r>
      <w:r w:rsidR="00FE63B8">
        <w:rPr>
          <w:rFonts w:ascii="Times New Roman" w:hAnsi="Times New Roman" w:cs="Times New Roman"/>
          <w:color w:val="000000" w:themeColor="text1"/>
          <w:lang w:val="en-US"/>
        </w:rPr>
        <w:t>increasing</w:t>
      </w:r>
      <w:r w:rsidR="00525E78" w:rsidRPr="00525E78">
        <w:rPr>
          <w:rFonts w:ascii="Times New Roman" w:hAnsi="Times New Roman" w:cs="Times New Roman"/>
          <w:color w:val="000000" w:themeColor="text1"/>
          <w:lang w:val="en-US"/>
        </w:rPr>
        <w:t xml:space="preserve"> inventory levels, </w:t>
      </w:r>
      <w:r w:rsidR="00EF759C">
        <w:rPr>
          <w:rFonts w:ascii="Times New Roman" w:hAnsi="Times New Roman" w:cs="Times New Roman"/>
          <w:color w:val="000000" w:themeColor="text1"/>
          <w:lang w:val="en-US"/>
        </w:rPr>
        <w:t>shorten</w:t>
      </w:r>
      <w:r w:rsidR="00525E78" w:rsidRPr="00525E78">
        <w:rPr>
          <w:rFonts w:ascii="Times New Roman" w:hAnsi="Times New Roman" w:cs="Times New Roman"/>
          <w:color w:val="000000" w:themeColor="text1"/>
          <w:lang w:val="en-US"/>
        </w:rPr>
        <w:t xml:space="preserve"> the days required to pay accounts payable</w:t>
      </w:r>
      <w:r w:rsidR="0032647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F47AC8">
        <w:rPr>
          <w:rFonts w:ascii="Times New Roman" w:hAnsi="Times New Roman" w:cs="Times New Roman"/>
          <w:color w:val="000000" w:themeColor="text1"/>
          <w:lang w:val="en-US"/>
        </w:rPr>
        <w:t xml:space="preserve">or issuing </w:t>
      </w:r>
      <w:r w:rsidR="00AF3E8C">
        <w:rPr>
          <w:rFonts w:ascii="Times New Roman" w:hAnsi="Times New Roman" w:cs="Times New Roman"/>
          <w:color w:val="000000" w:themeColor="text1"/>
          <w:lang w:val="en-US"/>
        </w:rPr>
        <w:t xml:space="preserve">more shares. </w:t>
      </w:r>
    </w:p>
    <w:p w14:paraId="20A64680" w14:textId="629C828A" w:rsidR="00247683" w:rsidRDefault="00247683" w:rsidP="0003066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2948C7F8" w14:textId="75399164" w:rsidR="00A169B9" w:rsidRDefault="00A169B9" w:rsidP="0003066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3C8B9706" w14:textId="77777777" w:rsidR="00A45072" w:rsidRDefault="00A45072" w:rsidP="0003066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72C058C4" w14:textId="581A419A" w:rsidR="001638DD" w:rsidRDefault="001638DD" w:rsidP="0003066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02538817" w14:textId="59989759" w:rsidR="001638DD" w:rsidRDefault="001638DD" w:rsidP="0003066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4DF305A1" w14:textId="77777777" w:rsidR="001638DD" w:rsidRDefault="001638DD" w:rsidP="0003066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3888EAE2" w14:textId="27D049AD" w:rsidR="00C73C7A" w:rsidRDefault="00C73C7A" w:rsidP="0003066B">
      <w:pPr>
        <w:pStyle w:val="ListParagraph"/>
        <w:numPr>
          <w:ilvl w:val="0"/>
          <w:numId w:val="2"/>
        </w:numPr>
        <w:spacing w:line="360" w:lineRule="auto"/>
        <w:ind w:left="567" w:hanging="567"/>
        <w:outlineLvl w:val="0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6" w:name="_Toc61320260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Dividend policy</w:t>
      </w:r>
      <w:bookmarkEnd w:id="6"/>
    </w:p>
    <w:p w14:paraId="7CA7307C" w14:textId="77777777" w:rsidR="00F8380E" w:rsidRDefault="00F8380E" w:rsidP="00F8380E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1BE01CFF" w14:textId="12A2A69F" w:rsidR="00B23A5C" w:rsidRDefault="00331046" w:rsidP="0003066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331046"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  <w:drawing>
          <wp:inline distT="0" distB="0" distL="0" distR="0" wp14:anchorId="12ED3417" wp14:editId="7988CAE5">
            <wp:extent cx="5727700" cy="185166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B5CDB" w14:textId="326583C3" w:rsidR="00F467FE" w:rsidRDefault="00010063" w:rsidP="0003066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010063">
        <w:rPr>
          <w:noProof/>
        </w:rPr>
        <w:drawing>
          <wp:inline distT="0" distB="0" distL="0" distR="0" wp14:anchorId="53499934" wp14:editId="2B6D2B1D">
            <wp:extent cx="5727700" cy="177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82B20" w14:textId="7FAB24FE" w:rsidR="00F467FE" w:rsidRDefault="00F467FE" w:rsidP="0003066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3AE9B481" w14:textId="2DE02FAF" w:rsidR="00F467FE" w:rsidRDefault="00010063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010063">
        <w:rPr>
          <w:rFonts w:ascii="Times New Roman" w:hAnsi="Times New Roman" w:cs="Times New Roman"/>
          <w:color w:val="000000" w:themeColor="text1"/>
          <w:lang w:val="en-US"/>
        </w:rPr>
        <w:t xml:space="preserve">The company’s regular dividend policy can be best described as </w:t>
      </w:r>
      <w:r w:rsidR="0021514D">
        <w:rPr>
          <w:rFonts w:ascii="Times New Roman" w:hAnsi="Times New Roman" w:cs="Times New Roman"/>
          <w:color w:val="000000" w:themeColor="text1"/>
          <w:lang w:val="en-US"/>
        </w:rPr>
        <w:t>constant pay - out</w:t>
      </w:r>
      <w:r w:rsidRPr="00010063">
        <w:rPr>
          <w:rFonts w:ascii="Times New Roman" w:hAnsi="Times New Roman" w:cs="Times New Roman"/>
          <w:color w:val="000000" w:themeColor="text1"/>
          <w:lang w:val="en-US"/>
        </w:rPr>
        <w:t xml:space="preserve"> because </w:t>
      </w:r>
      <w:r w:rsidR="00F637CF">
        <w:rPr>
          <w:rFonts w:ascii="Times New Roman" w:hAnsi="Times New Roman" w:cs="Times New Roman"/>
          <w:color w:val="000000" w:themeColor="text1"/>
          <w:lang w:val="en-US"/>
        </w:rPr>
        <w:t>its</w:t>
      </w:r>
      <w:r w:rsidR="000319E3" w:rsidRPr="000319E3">
        <w:rPr>
          <w:rFonts w:ascii="Times New Roman" w:hAnsi="Times New Roman" w:cs="Times New Roman"/>
          <w:color w:val="000000" w:themeColor="text1"/>
          <w:lang w:val="en-US"/>
        </w:rPr>
        <w:t xml:space="preserve"> level of dividend cover is held constant </w:t>
      </w:r>
      <w:r w:rsidR="000319E3">
        <w:rPr>
          <w:rFonts w:ascii="Times New Roman" w:hAnsi="Times New Roman" w:cs="Times New Roman"/>
          <w:color w:val="000000" w:themeColor="text1"/>
          <w:lang w:val="en-US"/>
        </w:rPr>
        <w:t>(1.</w:t>
      </w:r>
      <w:r w:rsidR="00BF1D24">
        <w:rPr>
          <w:rFonts w:ascii="Times New Roman" w:hAnsi="Times New Roman" w:cs="Times New Roman"/>
          <w:color w:val="000000" w:themeColor="text1"/>
          <w:lang w:val="en-US"/>
        </w:rPr>
        <w:t>4</w:t>
      </w:r>
      <w:r w:rsidR="000319E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BF1D24">
        <w:rPr>
          <w:rFonts w:ascii="Times New Roman" w:hAnsi="Times New Roman" w:cs="Times New Roman"/>
          <w:color w:val="000000" w:themeColor="text1"/>
          <w:lang w:val="en-US"/>
        </w:rPr>
        <w:t>or</w:t>
      </w:r>
      <w:r w:rsidR="000319E3">
        <w:rPr>
          <w:rFonts w:ascii="Times New Roman" w:hAnsi="Times New Roman" w:cs="Times New Roman"/>
          <w:color w:val="000000" w:themeColor="text1"/>
          <w:lang w:val="en-US"/>
        </w:rPr>
        <w:t xml:space="preserve"> 1.</w:t>
      </w:r>
      <w:r w:rsidR="00BF1D24">
        <w:rPr>
          <w:rFonts w:ascii="Times New Roman" w:hAnsi="Times New Roman" w:cs="Times New Roman"/>
          <w:color w:val="000000" w:themeColor="text1"/>
          <w:lang w:val="en-US"/>
        </w:rPr>
        <w:t>3</w:t>
      </w:r>
      <w:r w:rsidR="000319E3">
        <w:rPr>
          <w:rFonts w:ascii="Times New Roman" w:hAnsi="Times New Roman" w:cs="Times New Roman"/>
          <w:color w:val="000000" w:themeColor="text1"/>
          <w:lang w:val="en-US"/>
        </w:rPr>
        <w:t>)</w:t>
      </w:r>
      <w:r w:rsidR="000319E3" w:rsidRPr="000319E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263F7" w:rsidRPr="00D263F7">
        <w:rPr>
          <w:rFonts w:ascii="Times New Roman" w:hAnsi="Times New Roman" w:cs="Times New Roman"/>
          <w:color w:val="000000" w:themeColor="text1"/>
          <w:lang w:val="en-US"/>
        </w:rPr>
        <w:t>in years when earnings per share have increased</w:t>
      </w:r>
      <w:r w:rsidR="00A37326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</w:p>
    <w:p w14:paraId="5F18E476" w14:textId="77777777" w:rsidR="004669FE" w:rsidRDefault="004669FE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2AC3210F" w14:textId="4CF23B76" w:rsidR="007B06A5" w:rsidRDefault="0094028D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A</w:t>
      </w:r>
      <w:r w:rsidRPr="0094028D">
        <w:rPr>
          <w:rFonts w:ascii="Times New Roman" w:hAnsi="Times New Roman" w:cs="Times New Roman"/>
          <w:color w:val="000000" w:themeColor="text1"/>
          <w:lang w:val="en-US"/>
        </w:rPr>
        <w:t xml:space="preserve">ccording to M&amp;M’s irrelevance theory, </w:t>
      </w:r>
      <w:r w:rsidR="00995095">
        <w:rPr>
          <w:rFonts w:ascii="Times New Roman" w:hAnsi="Times New Roman" w:cs="Times New Roman"/>
          <w:color w:val="000000" w:themeColor="text1"/>
          <w:lang w:val="en-US"/>
        </w:rPr>
        <w:t>dividend policy</w:t>
      </w:r>
      <w:r w:rsidRPr="0094028D">
        <w:rPr>
          <w:rFonts w:ascii="Times New Roman" w:hAnsi="Times New Roman" w:cs="Times New Roman"/>
          <w:color w:val="000000" w:themeColor="text1"/>
          <w:lang w:val="en-US"/>
        </w:rPr>
        <w:t xml:space="preserve"> is irrelevant to shareholder wealth. </w:t>
      </w:r>
      <w:r w:rsidR="00165E79">
        <w:rPr>
          <w:rFonts w:ascii="Times New Roman" w:hAnsi="Times New Roman" w:cs="Times New Roman"/>
          <w:color w:val="000000" w:themeColor="text1"/>
          <w:lang w:val="en-US"/>
        </w:rPr>
        <w:t xml:space="preserve"> Moreover</w:t>
      </w:r>
      <w:r w:rsidRPr="0094028D">
        <w:rPr>
          <w:rFonts w:ascii="Times New Roman" w:hAnsi="Times New Roman" w:cs="Times New Roman"/>
          <w:color w:val="000000" w:themeColor="text1"/>
          <w:lang w:val="en-US"/>
        </w:rPr>
        <w:t xml:space="preserve">, this theory is </w:t>
      </w:r>
      <w:r w:rsidR="001917A9">
        <w:rPr>
          <w:rFonts w:ascii="Times New Roman" w:hAnsi="Times New Roman" w:cs="Times New Roman"/>
          <w:color w:val="000000" w:themeColor="text1"/>
          <w:lang w:val="en-US"/>
        </w:rPr>
        <w:t>constructed</w:t>
      </w:r>
      <w:r w:rsidRPr="0094028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165E79">
        <w:rPr>
          <w:rFonts w:ascii="Times New Roman" w:hAnsi="Times New Roman" w:cs="Times New Roman"/>
          <w:color w:val="000000" w:themeColor="text1"/>
          <w:lang w:val="en-US"/>
        </w:rPr>
        <w:t>on</w:t>
      </w:r>
      <w:r w:rsidRPr="0094028D">
        <w:rPr>
          <w:rFonts w:ascii="Times New Roman" w:hAnsi="Times New Roman" w:cs="Times New Roman"/>
          <w:color w:val="000000" w:themeColor="text1"/>
          <w:lang w:val="en-US"/>
        </w:rPr>
        <w:t xml:space="preserve"> perfect market assumptions </w:t>
      </w:r>
      <w:r w:rsidR="005A3CF2">
        <w:rPr>
          <w:rFonts w:ascii="Times New Roman" w:hAnsi="Times New Roman" w:cs="Times New Roman"/>
          <w:color w:val="000000" w:themeColor="text1"/>
          <w:lang w:val="en-US"/>
        </w:rPr>
        <w:t xml:space="preserve">which </w:t>
      </w:r>
      <w:r w:rsidRPr="0094028D">
        <w:rPr>
          <w:rFonts w:ascii="Times New Roman" w:hAnsi="Times New Roman" w:cs="Times New Roman"/>
          <w:color w:val="000000" w:themeColor="text1"/>
          <w:lang w:val="en-US"/>
        </w:rPr>
        <w:t xml:space="preserve">do not </w:t>
      </w:r>
      <w:r w:rsidR="00716316">
        <w:rPr>
          <w:rFonts w:ascii="Times New Roman" w:hAnsi="Times New Roman" w:cs="Times New Roman"/>
          <w:color w:val="000000" w:themeColor="text1"/>
          <w:lang w:val="en-US"/>
        </w:rPr>
        <w:t>exist</w:t>
      </w:r>
      <w:r w:rsidRPr="0094028D">
        <w:rPr>
          <w:rFonts w:ascii="Times New Roman" w:hAnsi="Times New Roman" w:cs="Times New Roman"/>
          <w:color w:val="000000" w:themeColor="text1"/>
          <w:lang w:val="en-US"/>
        </w:rPr>
        <w:t xml:space="preserve"> in the real world</w:t>
      </w:r>
      <w:r w:rsidR="00624B8A">
        <w:rPr>
          <w:rFonts w:ascii="Times New Roman" w:hAnsi="Times New Roman" w:cs="Times New Roman"/>
          <w:color w:val="000000" w:themeColor="text1"/>
          <w:lang w:val="en-US"/>
        </w:rPr>
        <w:t xml:space="preserve">. Therefore, </w:t>
      </w:r>
      <w:r w:rsidRPr="0094028D">
        <w:rPr>
          <w:rFonts w:ascii="Times New Roman" w:hAnsi="Times New Roman" w:cs="Times New Roman"/>
          <w:color w:val="000000" w:themeColor="text1"/>
          <w:lang w:val="en-US"/>
        </w:rPr>
        <w:t xml:space="preserve">dividend relevance theories </w:t>
      </w:r>
      <w:r w:rsidR="00624B8A">
        <w:rPr>
          <w:rFonts w:ascii="Times New Roman" w:hAnsi="Times New Roman" w:cs="Times New Roman"/>
          <w:color w:val="000000" w:themeColor="text1"/>
          <w:lang w:val="en-US"/>
        </w:rPr>
        <w:t xml:space="preserve">are </w:t>
      </w:r>
      <w:r w:rsidRPr="0094028D">
        <w:rPr>
          <w:rFonts w:ascii="Times New Roman" w:hAnsi="Times New Roman" w:cs="Times New Roman"/>
          <w:color w:val="000000" w:themeColor="text1"/>
          <w:lang w:val="en-US"/>
        </w:rPr>
        <w:t>appl</w:t>
      </w:r>
      <w:r w:rsidR="00624B8A">
        <w:rPr>
          <w:rFonts w:ascii="Times New Roman" w:hAnsi="Times New Roman" w:cs="Times New Roman"/>
          <w:color w:val="000000" w:themeColor="text1"/>
          <w:lang w:val="en-US"/>
        </w:rPr>
        <w:t>ied.</w:t>
      </w:r>
    </w:p>
    <w:p w14:paraId="69E4E582" w14:textId="0D459248" w:rsidR="008F478C" w:rsidRDefault="008F478C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070CCA13" w14:textId="0241F217" w:rsidR="00AB452A" w:rsidRDefault="00AE5EFD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The</w:t>
      </w:r>
      <w:r w:rsidR="008F478C" w:rsidRPr="008F478C">
        <w:rPr>
          <w:rFonts w:ascii="Times New Roman" w:hAnsi="Times New Roman" w:cs="Times New Roman"/>
          <w:color w:val="000000" w:themeColor="text1"/>
          <w:lang w:val="en-US"/>
        </w:rPr>
        <w:t xml:space="preserve"> dividend per share forecasted in 2021 and 202</w:t>
      </w:r>
      <w:r w:rsidR="00E645CA">
        <w:rPr>
          <w:rFonts w:ascii="Times New Roman" w:hAnsi="Times New Roman" w:cs="Times New Roman"/>
          <w:color w:val="000000" w:themeColor="text1"/>
          <w:lang w:val="en-US"/>
        </w:rPr>
        <w:t>2</w:t>
      </w:r>
      <w:r w:rsidR="008F478C" w:rsidRPr="008F478C">
        <w:rPr>
          <w:rFonts w:ascii="Times New Roman" w:hAnsi="Times New Roman" w:cs="Times New Roman"/>
          <w:color w:val="000000" w:themeColor="text1"/>
          <w:lang w:val="en-US"/>
        </w:rPr>
        <w:t>,</w:t>
      </w:r>
      <w:r w:rsidR="00015B36">
        <w:rPr>
          <w:rFonts w:ascii="Times New Roman" w:hAnsi="Times New Roman" w:cs="Times New Roman"/>
          <w:color w:val="000000" w:themeColor="text1"/>
          <w:lang w:val="en-US"/>
        </w:rPr>
        <w:t xml:space="preserve"> the dividend per share increases by 41.4p and 42.8p, respectively</w:t>
      </w:r>
      <w:r w:rsidR="00946A05">
        <w:rPr>
          <w:rFonts w:ascii="Times New Roman" w:hAnsi="Times New Roman" w:cs="Times New Roman"/>
          <w:color w:val="000000" w:themeColor="text1"/>
          <w:lang w:val="en-US"/>
        </w:rPr>
        <w:t xml:space="preserve">. There is a </w:t>
      </w:r>
      <w:r w:rsidR="00946A05" w:rsidRPr="00946A05">
        <w:rPr>
          <w:rFonts w:ascii="Times New Roman" w:hAnsi="Times New Roman" w:cs="Times New Roman"/>
          <w:color w:val="000000" w:themeColor="text1"/>
          <w:lang w:val="en-US"/>
        </w:rPr>
        <w:t xml:space="preserve">continuation of </w:t>
      </w:r>
      <w:r w:rsidR="00946A05">
        <w:rPr>
          <w:rFonts w:ascii="Times New Roman" w:hAnsi="Times New Roman" w:cs="Times New Roman"/>
          <w:color w:val="000000" w:themeColor="text1"/>
          <w:lang w:val="en-US"/>
        </w:rPr>
        <w:t>constant pay - out</w:t>
      </w:r>
      <w:r w:rsidR="00946A05" w:rsidRPr="00946A05">
        <w:rPr>
          <w:rFonts w:ascii="Times New Roman" w:hAnsi="Times New Roman" w:cs="Times New Roman"/>
          <w:color w:val="000000" w:themeColor="text1"/>
          <w:lang w:val="en-US"/>
        </w:rPr>
        <w:t xml:space="preserve"> dividend policy in year</w:t>
      </w:r>
      <w:r w:rsidR="00BF2A03">
        <w:rPr>
          <w:rFonts w:ascii="Times New Roman" w:hAnsi="Times New Roman" w:cs="Times New Roman"/>
          <w:color w:val="000000" w:themeColor="text1"/>
          <w:lang w:val="en-US"/>
        </w:rPr>
        <w:t>s</w:t>
      </w:r>
      <w:r w:rsidR="00946A05" w:rsidRPr="00946A0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7A5869">
        <w:rPr>
          <w:rFonts w:ascii="Times New Roman" w:hAnsi="Times New Roman" w:cs="Times New Roman"/>
          <w:color w:val="000000" w:themeColor="text1"/>
          <w:lang w:val="en-US"/>
        </w:rPr>
        <w:t xml:space="preserve">as the dividend cover is </w:t>
      </w:r>
      <w:r w:rsidR="002F2E78">
        <w:rPr>
          <w:rFonts w:ascii="Times New Roman" w:hAnsi="Times New Roman" w:cs="Times New Roman"/>
          <w:color w:val="000000" w:themeColor="text1"/>
          <w:lang w:val="en-US"/>
        </w:rPr>
        <w:t xml:space="preserve">held constant at </w:t>
      </w:r>
      <w:r w:rsidR="007A5869">
        <w:rPr>
          <w:rFonts w:ascii="Times New Roman" w:hAnsi="Times New Roman" w:cs="Times New Roman"/>
          <w:color w:val="000000" w:themeColor="text1"/>
          <w:lang w:val="en-US"/>
        </w:rPr>
        <w:t xml:space="preserve">1.3. </w:t>
      </w:r>
      <w:r w:rsidR="00D96C3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5428D9">
        <w:rPr>
          <w:rFonts w:ascii="Times New Roman" w:hAnsi="Times New Roman" w:cs="Times New Roman"/>
          <w:color w:val="000000" w:themeColor="text1"/>
          <w:lang w:val="en-US"/>
        </w:rPr>
        <w:t>However,</w:t>
      </w:r>
      <w:r w:rsidR="00AB452A" w:rsidRPr="00AB452A">
        <w:rPr>
          <w:rFonts w:ascii="Times New Roman" w:hAnsi="Times New Roman" w:cs="Times New Roman"/>
          <w:color w:val="000000" w:themeColor="text1"/>
          <w:lang w:val="en-US"/>
        </w:rPr>
        <w:t xml:space="preserve"> this dividend is in line with market expectations</w:t>
      </w:r>
      <w:r w:rsidR="00F9442F">
        <w:rPr>
          <w:rFonts w:ascii="Times New Roman" w:hAnsi="Times New Roman" w:cs="Times New Roman"/>
          <w:color w:val="000000" w:themeColor="text1"/>
          <w:lang w:val="en-US"/>
        </w:rPr>
        <w:t>,</w:t>
      </w:r>
      <w:r w:rsidR="00AB452A" w:rsidRPr="00AB452A">
        <w:rPr>
          <w:rFonts w:ascii="Times New Roman" w:hAnsi="Times New Roman" w:cs="Times New Roman"/>
          <w:color w:val="000000" w:themeColor="text1"/>
          <w:lang w:val="en-US"/>
        </w:rPr>
        <w:t xml:space="preserve"> the share price is </w:t>
      </w:r>
      <w:r w:rsidR="00B80102">
        <w:rPr>
          <w:rFonts w:ascii="Times New Roman" w:hAnsi="Times New Roman" w:cs="Times New Roman"/>
          <w:color w:val="000000" w:themeColor="text1"/>
          <w:lang w:val="en-US"/>
        </w:rPr>
        <w:t>un</w:t>
      </w:r>
      <w:r w:rsidR="00AB452A" w:rsidRPr="00AB452A">
        <w:rPr>
          <w:rFonts w:ascii="Times New Roman" w:hAnsi="Times New Roman" w:cs="Times New Roman"/>
          <w:color w:val="000000" w:themeColor="text1"/>
          <w:lang w:val="en-US"/>
        </w:rPr>
        <w:t xml:space="preserve">likely to </w:t>
      </w:r>
      <w:r w:rsidR="00B80102">
        <w:rPr>
          <w:rFonts w:ascii="Times New Roman" w:hAnsi="Times New Roman" w:cs="Times New Roman"/>
          <w:color w:val="000000" w:themeColor="text1"/>
          <w:lang w:val="en-US"/>
        </w:rPr>
        <w:t>vary</w:t>
      </w:r>
      <w:r w:rsidR="00AB452A" w:rsidRPr="00AB452A">
        <w:rPr>
          <w:rFonts w:ascii="Times New Roman" w:hAnsi="Times New Roman" w:cs="Times New Roman"/>
          <w:color w:val="000000" w:themeColor="text1"/>
          <w:lang w:val="en-US"/>
        </w:rPr>
        <w:t>.</w:t>
      </w:r>
      <w:r w:rsidR="00ED400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E0138E">
        <w:rPr>
          <w:rFonts w:ascii="Times New Roman" w:hAnsi="Times New Roman" w:cs="Times New Roman"/>
          <w:color w:val="000000" w:themeColor="text1"/>
          <w:lang w:val="en-US"/>
        </w:rPr>
        <w:t>Therefore,</w:t>
      </w:r>
      <w:r w:rsidR="00ED400C" w:rsidRPr="00ED400C">
        <w:rPr>
          <w:rFonts w:ascii="Times New Roman" w:hAnsi="Times New Roman" w:cs="Times New Roman"/>
          <w:color w:val="000000" w:themeColor="text1"/>
          <w:lang w:val="en-US"/>
        </w:rPr>
        <w:t xml:space="preserve"> based on the dividend relevance theories, </w:t>
      </w:r>
      <w:r w:rsidR="00041180">
        <w:rPr>
          <w:rFonts w:ascii="Times New Roman" w:hAnsi="Times New Roman" w:cs="Times New Roman"/>
          <w:color w:val="000000" w:themeColor="text1"/>
          <w:lang w:val="en-US"/>
        </w:rPr>
        <w:t>Edinburgh plc</w:t>
      </w:r>
      <w:r w:rsidR="00ED400C">
        <w:rPr>
          <w:rFonts w:ascii="Times New Roman" w:hAnsi="Times New Roman" w:cs="Times New Roman"/>
          <w:color w:val="000000" w:themeColor="text1"/>
          <w:lang w:val="en-US"/>
        </w:rPr>
        <w:t xml:space="preserve"> should increase the dividend </w:t>
      </w:r>
      <w:r w:rsidR="00ED400C" w:rsidRPr="00ED400C">
        <w:rPr>
          <w:rFonts w:ascii="Times New Roman" w:hAnsi="Times New Roman" w:cs="Times New Roman"/>
          <w:color w:val="000000" w:themeColor="text1"/>
          <w:lang w:val="en-US"/>
        </w:rPr>
        <w:t>in line with market expectations.</w:t>
      </w:r>
    </w:p>
    <w:p w14:paraId="6D38396F" w14:textId="4E0BDE28" w:rsidR="007B06A5" w:rsidRDefault="007B06A5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3FC17092" w14:textId="37282974" w:rsidR="005F5D0A" w:rsidRPr="005F5D0A" w:rsidRDefault="00ED400C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D400C">
        <w:rPr>
          <w:rFonts w:ascii="Times New Roman" w:hAnsi="Times New Roman" w:cs="Times New Roman"/>
          <w:color w:val="000000" w:themeColor="text1"/>
          <w:lang w:val="en-US"/>
        </w:rPr>
        <w:t>There is</w:t>
      </w:r>
      <w:r w:rsidR="00F8380E">
        <w:rPr>
          <w:rFonts w:ascii="Times New Roman" w:hAnsi="Times New Roman" w:cs="Times New Roman"/>
          <w:color w:val="000000" w:themeColor="text1"/>
          <w:lang w:val="en-US"/>
        </w:rPr>
        <w:t xml:space="preserve"> no</w:t>
      </w:r>
      <w:r w:rsidR="00D66D82">
        <w:rPr>
          <w:rFonts w:ascii="Times New Roman" w:hAnsi="Times New Roman" w:cs="Times New Roman"/>
          <w:color w:val="000000" w:themeColor="text1"/>
          <w:lang w:val="en-US"/>
        </w:rPr>
        <w:t xml:space="preserve">t </w:t>
      </w:r>
      <w:r w:rsidR="008E05C4">
        <w:rPr>
          <w:rFonts w:ascii="Times New Roman" w:hAnsi="Times New Roman" w:cs="Times New Roman"/>
          <w:color w:val="000000" w:themeColor="text1"/>
          <w:lang w:val="en-US"/>
        </w:rPr>
        <w:t>any</w:t>
      </w:r>
      <w:r w:rsidRPr="00ED400C">
        <w:rPr>
          <w:rFonts w:ascii="Times New Roman" w:hAnsi="Times New Roman" w:cs="Times New Roman"/>
          <w:color w:val="000000" w:themeColor="text1"/>
          <w:lang w:val="en-US"/>
        </w:rPr>
        <w:t xml:space="preserve"> optimal dividend policy to </w:t>
      </w:r>
      <w:r w:rsidR="0064031A">
        <w:rPr>
          <w:rFonts w:ascii="Times New Roman" w:hAnsi="Times New Roman" w:cs="Times New Roman"/>
          <w:color w:val="000000" w:themeColor="text1"/>
          <w:lang w:val="en-US"/>
        </w:rPr>
        <w:t>exploit</w:t>
      </w:r>
      <w:r w:rsidRPr="00ED400C">
        <w:rPr>
          <w:rFonts w:ascii="Times New Roman" w:hAnsi="Times New Roman" w:cs="Times New Roman"/>
          <w:color w:val="000000" w:themeColor="text1"/>
          <w:lang w:val="en-US"/>
        </w:rPr>
        <w:t xml:space="preserve"> shareholder wealth but it can be </w:t>
      </w:r>
      <w:r w:rsidR="00A17741">
        <w:rPr>
          <w:rFonts w:ascii="Times New Roman" w:hAnsi="Times New Roman" w:cs="Times New Roman"/>
          <w:color w:val="000000" w:themeColor="text1"/>
          <w:lang w:val="en-US"/>
        </w:rPr>
        <w:t>demolished</w:t>
      </w:r>
      <w:r w:rsidRPr="00ED400C">
        <w:rPr>
          <w:rFonts w:ascii="Times New Roman" w:hAnsi="Times New Roman" w:cs="Times New Roman"/>
          <w:color w:val="000000" w:themeColor="text1"/>
          <w:lang w:val="en-US"/>
        </w:rPr>
        <w:t xml:space="preserve"> by </w:t>
      </w:r>
      <w:r w:rsidR="00A17741">
        <w:rPr>
          <w:rFonts w:ascii="Times New Roman" w:hAnsi="Times New Roman" w:cs="Times New Roman"/>
          <w:color w:val="000000" w:themeColor="text1"/>
          <w:lang w:val="en-US"/>
        </w:rPr>
        <w:t>unpredictable</w:t>
      </w:r>
      <w:r w:rsidRPr="00ED400C">
        <w:rPr>
          <w:rFonts w:ascii="Times New Roman" w:hAnsi="Times New Roman" w:cs="Times New Roman"/>
          <w:color w:val="000000" w:themeColor="text1"/>
          <w:lang w:val="en-US"/>
        </w:rPr>
        <w:t xml:space="preserve"> policies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F70D6A">
        <w:rPr>
          <w:rFonts w:ascii="Times New Roman" w:hAnsi="Times New Roman" w:cs="Times New Roman"/>
          <w:color w:val="000000" w:themeColor="text1"/>
          <w:lang w:val="en-US"/>
        </w:rPr>
        <w:t>W</w:t>
      </w:r>
      <w:r w:rsidR="005F5D0A" w:rsidRPr="005F5D0A">
        <w:rPr>
          <w:rFonts w:ascii="Times New Roman" w:hAnsi="Times New Roman" w:cs="Times New Roman"/>
          <w:color w:val="000000" w:themeColor="text1"/>
          <w:lang w:val="en-US"/>
        </w:rPr>
        <w:t xml:space="preserve">e should </w:t>
      </w:r>
      <w:r w:rsidR="009A4461">
        <w:rPr>
          <w:rFonts w:ascii="Times New Roman" w:hAnsi="Times New Roman" w:cs="Times New Roman"/>
          <w:color w:val="000000" w:themeColor="text1"/>
          <w:lang w:val="en-US"/>
        </w:rPr>
        <w:t xml:space="preserve">evade </w:t>
      </w:r>
      <w:r w:rsidR="005F5D0A" w:rsidRPr="005F5D0A">
        <w:rPr>
          <w:rFonts w:ascii="Times New Roman" w:hAnsi="Times New Roman" w:cs="Times New Roman"/>
          <w:color w:val="000000" w:themeColor="text1"/>
          <w:lang w:val="en-US"/>
        </w:rPr>
        <w:t xml:space="preserve">the </w:t>
      </w:r>
      <w:r w:rsidR="007E16DC">
        <w:rPr>
          <w:rFonts w:ascii="Times New Roman" w:hAnsi="Times New Roman" w:cs="Times New Roman"/>
          <w:color w:val="000000" w:themeColor="text1"/>
          <w:lang w:val="en-US"/>
        </w:rPr>
        <w:t>downfall</w:t>
      </w:r>
      <w:r w:rsidR="005F5D0A" w:rsidRPr="005F5D0A">
        <w:rPr>
          <w:rFonts w:ascii="Times New Roman" w:hAnsi="Times New Roman" w:cs="Times New Roman"/>
          <w:color w:val="000000" w:themeColor="text1"/>
          <w:lang w:val="en-US"/>
        </w:rPr>
        <w:t xml:space="preserve"> of shareholders wealth</w:t>
      </w:r>
      <w:r w:rsidR="000B1018">
        <w:rPr>
          <w:rFonts w:ascii="Times New Roman" w:hAnsi="Times New Roman" w:cs="Times New Roman"/>
          <w:color w:val="000000" w:themeColor="text1"/>
          <w:lang w:val="en-US"/>
        </w:rPr>
        <w:t xml:space="preserve"> by:</w:t>
      </w:r>
    </w:p>
    <w:p w14:paraId="7B08603C" w14:textId="7CD9F7D7" w:rsidR="005F5D0A" w:rsidRPr="005F5D0A" w:rsidRDefault="005F5D0A" w:rsidP="00C05584">
      <w:pPr>
        <w:spacing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F5D0A">
        <w:rPr>
          <w:rFonts w:ascii="Times New Roman" w:hAnsi="Times New Roman" w:cs="Times New Roman"/>
          <w:color w:val="000000" w:themeColor="text1"/>
          <w:lang w:val="en-US"/>
        </w:rPr>
        <w:t>•</w:t>
      </w:r>
      <w:r w:rsidRPr="005F5D0A">
        <w:rPr>
          <w:rFonts w:ascii="Times New Roman" w:hAnsi="Times New Roman" w:cs="Times New Roman"/>
          <w:color w:val="000000" w:themeColor="text1"/>
          <w:lang w:val="en-US"/>
        </w:rPr>
        <w:tab/>
        <w:t>In “</w:t>
      </w:r>
      <w:r w:rsidR="00C41B94">
        <w:rPr>
          <w:rFonts w:ascii="Times New Roman" w:hAnsi="Times New Roman" w:cs="Times New Roman"/>
          <w:color w:val="000000" w:themeColor="text1"/>
          <w:lang w:val="en-US"/>
        </w:rPr>
        <w:t>standard</w:t>
      </w:r>
      <w:r w:rsidRPr="005F5D0A">
        <w:rPr>
          <w:rFonts w:ascii="Times New Roman" w:hAnsi="Times New Roman" w:cs="Times New Roman"/>
          <w:color w:val="000000" w:themeColor="text1"/>
          <w:lang w:val="en-US"/>
        </w:rPr>
        <w:t>” years</w:t>
      </w:r>
      <w:r w:rsidR="009745B9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r w:rsidRPr="005F5D0A">
        <w:rPr>
          <w:rFonts w:ascii="Times New Roman" w:hAnsi="Times New Roman" w:cs="Times New Roman"/>
          <w:color w:val="000000" w:themeColor="text1"/>
          <w:lang w:val="en-US"/>
        </w:rPr>
        <w:t>remain</w:t>
      </w:r>
      <w:r w:rsidR="009745B9">
        <w:rPr>
          <w:rFonts w:ascii="Times New Roman" w:hAnsi="Times New Roman" w:cs="Times New Roman"/>
          <w:color w:val="000000" w:themeColor="text1"/>
          <w:lang w:val="en-US"/>
        </w:rPr>
        <w:t>ing</w:t>
      </w:r>
      <w:r w:rsidRPr="005F5D0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C41B94">
        <w:rPr>
          <w:rFonts w:ascii="Times New Roman" w:hAnsi="Times New Roman" w:cs="Times New Roman"/>
          <w:color w:val="000000" w:themeColor="text1"/>
          <w:lang w:val="en-US"/>
        </w:rPr>
        <w:t>unchanging</w:t>
      </w:r>
      <w:r w:rsidRPr="005F5D0A">
        <w:rPr>
          <w:rFonts w:ascii="Times New Roman" w:hAnsi="Times New Roman" w:cs="Times New Roman"/>
          <w:color w:val="000000" w:themeColor="text1"/>
          <w:lang w:val="en-US"/>
        </w:rPr>
        <w:t xml:space="preserve"> this policy and </w:t>
      </w:r>
      <w:r w:rsidR="001642DE">
        <w:rPr>
          <w:rFonts w:ascii="Times New Roman" w:hAnsi="Times New Roman" w:cs="Times New Roman"/>
          <w:color w:val="000000" w:themeColor="text1"/>
          <w:lang w:val="en-US"/>
        </w:rPr>
        <w:t>w</w:t>
      </w:r>
      <w:r w:rsidRPr="005F5D0A">
        <w:rPr>
          <w:rFonts w:ascii="Times New Roman" w:hAnsi="Times New Roman" w:cs="Times New Roman"/>
          <w:color w:val="000000" w:themeColor="text1"/>
          <w:lang w:val="en-US"/>
        </w:rPr>
        <w:t xml:space="preserve">hen </w:t>
      </w:r>
      <w:r w:rsidR="00EE30F6">
        <w:rPr>
          <w:rFonts w:ascii="Times New Roman" w:hAnsi="Times New Roman" w:cs="Times New Roman"/>
          <w:color w:val="000000" w:themeColor="text1"/>
          <w:lang w:val="en-US"/>
        </w:rPr>
        <w:t>dividend</w:t>
      </w:r>
      <w:r w:rsidRPr="005F5D0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C86712">
        <w:rPr>
          <w:rFonts w:ascii="Times New Roman" w:hAnsi="Times New Roman" w:cs="Times New Roman"/>
          <w:color w:val="000000" w:themeColor="text1"/>
          <w:lang w:val="en-US"/>
        </w:rPr>
        <w:t>increases</w:t>
      </w:r>
      <w:r w:rsidRPr="005F5D0A">
        <w:rPr>
          <w:rFonts w:ascii="Times New Roman" w:hAnsi="Times New Roman" w:cs="Times New Roman"/>
          <w:color w:val="000000" w:themeColor="text1"/>
          <w:lang w:val="en-US"/>
        </w:rPr>
        <w:t>, pay</w:t>
      </w:r>
      <w:r w:rsidR="00B96E79">
        <w:rPr>
          <w:rFonts w:ascii="Times New Roman" w:hAnsi="Times New Roman" w:cs="Times New Roman"/>
          <w:color w:val="000000" w:themeColor="text1"/>
          <w:lang w:val="en-US"/>
        </w:rPr>
        <w:t>ing</w:t>
      </w:r>
      <w:r w:rsidRPr="005F5D0A">
        <w:rPr>
          <w:rFonts w:ascii="Times New Roman" w:hAnsi="Times New Roman" w:cs="Times New Roman"/>
          <w:color w:val="000000" w:themeColor="text1"/>
          <w:lang w:val="en-US"/>
        </w:rPr>
        <w:t xml:space="preserve"> special dividends</w:t>
      </w:r>
      <w:r w:rsidR="001512F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0B60DDC7" w14:textId="4EC94772" w:rsidR="005F5D0A" w:rsidRPr="005F5D0A" w:rsidRDefault="005F5D0A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F5D0A">
        <w:rPr>
          <w:rFonts w:ascii="Times New Roman" w:hAnsi="Times New Roman" w:cs="Times New Roman"/>
          <w:color w:val="000000" w:themeColor="text1"/>
          <w:lang w:val="en-US"/>
        </w:rPr>
        <w:t>•</w:t>
      </w:r>
      <w:r w:rsidRPr="005F5D0A">
        <w:rPr>
          <w:rFonts w:ascii="Times New Roman" w:hAnsi="Times New Roman" w:cs="Times New Roman"/>
          <w:color w:val="000000" w:themeColor="text1"/>
          <w:lang w:val="en-US"/>
        </w:rPr>
        <w:tab/>
        <w:t>Ris</w:t>
      </w:r>
      <w:r w:rsidR="00CD6B78">
        <w:rPr>
          <w:rFonts w:ascii="Times New Roman" w:hAnsi="Times New Roman" w:cs="Times New Roman"/>
          <w:color w:val="000000" w:themeColor="text1"/>
          <w:lang w:val="en-US"/>
        </w:rPr>
        <w:t>ing</w:t>
      </w:r>
      <w:r w:rsidRPr="005F5D0A">
        <w:rPr>
          <w:rFonts w:ascii="Times New Roman" w:hAnsi="Times New Roman" w:cs="Times New Roman"/>
          <w:color w:val="000000" w:themeColor="text1"/>
          <w:lang w:val="en-US"/>
        </w:rPr>
        <w:t xml:space="preserve"> growth buy-back and/or rate shares in “</w:t>
      </w:r>
      <w:r w:rsidR="0071779C">
        <w:rPr>
          <w:rFonts w:ascii="Times New Roman" w:hAnsi="Times New Roman" w:cs="Times New Roman"/>
          <w:color w:val="000000" w:themeColor="text1"/>
          <w:lang w:val="en-US"/>
        </w:rPr>
        <w:t>good</w:t>
      </w:r>
      <w:r w:rsidRPr="005F5D0A">
        <w:rPr>
          <w:rFonts w:ascii="Times New Roman" w:hAnsi="Times New Roman" w:cs="Times New Roman"/>
          <w:color w:val="000000" w:themeColor="text1"/>
          <w:lang w:val="en-US"/>
        </w:rPr>
        <w:t>” years</w:t>
      </w:r>
      <w:r w:rsidR="001512F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1E28D810" w14:textId="0C172F6F" w:rsidR="005F5D0A" w:rsidRPr="005F5D0A" w:rsidRDefault="005F5D0A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F5D0A">
        <w:rPr>
          <w:rFonts w:ascii="Times New Roman" w:hAnsi="Times New Roman" w:cs="Times New Roman"/>
          <w:color w:val="000000" w:themeColor="text1"/>
          <w:lang w:val="en-US"/>
        </w:rPr>
        <w:t>•</w:t>
      </w:r>
      <w:r w:rsidRPr="005F5D0A">
        <w:rPr>
          <w:rFonts w:ascii="Times New Roman" w:hAnsi="Times New Roman" w:cs="Times New Roman"/>
          <w:color w:val="000000" w:themeColor="text1"/>
          <w:lang w:val="en-US"/>
        </w:rPr>
        <w:tab/>
        <w:t xml:space="preserve">Risk the dividend </w:t>
      </w:r>
      <w:r w:rsidR="00E753E2">
        <w:rPr>
          <w:rFonts w:ascii="Times New Roman" w:hAnsi="Times New Roman" w:cs="Times New Roman"/>
          <w:color w:val="000000" w:themeColor="text1"/>
          <w:lang w:val="en-US"/>
        </w:rPr>
        <w:t>shelter</w:t>
      </w:r>
      <w:r w:rsidRPr="005F5D0A">
        <w:rPr>
          <w:rFonts w:ascii="Times New Roman" w:hAnsi="Times New Roman" w:cs="Times New Roman"/>
          <w:color w:val="000000" w:themeColor="text1"/>
          <w:lang w:val="en-US"/>
        </w:rPr>
        <w:t xml:space="preserve"> to </w:t>
      </w:r>
      <w:r w:rsidR="009719BA">
        <w:rPr>
          <w:rFonts w:ascii="Times New Roman" w:hAnsi="Times New Roman" w:cs="Times New Roman"/>
          <w:color w:val="000000" w:themeColor="text1"/>
          <w:lang w:val="en-US"/>
        </w:rPr>
        <w:t>weaken</w:t>
      </w:r>
      <w:r w:rsidRPr="005F5D0A">
        <w:rPr>
          <w:rFonts w:ascii="Times New Roman" w:hAnsi="Times New Roman" w:cs="Times New Roman"/>
          <w:color w:val="000000" w:themeColor="text1"/>
          <w:lang w:val="en-US"/>
        </w:rPr>
        <w:t xml:space="preserve"> the growth rate in “</w:t>
      </w:r>
      <w:r w:rsidR="0071779C">
        <w:rPr>
          <w:rFonts w:ascii="Times New Roman" w:hAnsi="Times New Roman" w:cs="Times New Roman"/>
          <w:color w:val="000000" w:themeColor="text1"/>
          <w:lang w:val="en-US"/>
        </w:rPr>
        <w:t>bad</w:t>
      </w:r>
      <w:r w:rsidRPr="005F5D0A">
        <w:rPr>
          <w:rFonts w:ascii="Times New Roman" w:hAnsi="Times New Roman" w:cs="Times New Roman"/>
          <w:color w:val="000000" w:themeColor="text1"/>
          <w:lang w:val="en-US"/>
        </w:rPr>
        <w:t>” years</w:t>
      </w:r>
      <w:r w:rsidR="001512F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14:paraId="38567DEC" w14:textId="41614995" w:rsidR="005428D9" w:rsidRDefault="005F5D0A" w:rsidP="0003066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F5D0A">
        <w:rPr>
          <w:rFonts w:ascii="Times New Roman" w:hAnsi="Times New Roman" w:cs="Times New Roman"/>
          <w:color w:val="000000" w:themeColor="text1"/>
          <w:lang w:val="en-US"/>
        </w:rPr>
        <w:t>•</w:t>
      </w:r>
      <w:r w:rsidRPr="005F5D0A">
        <w:rPr>
          <w:rFonts w:ascii="Times New Roman" w:hAnsi="Times New Roman" w:cs="Times New Roman"/>
          <w:color w:val="000000" w:themeColor="text1"/>
          <w:lang w:val="en-US"/>
        </w:rPr>
        <w:tab/>
      </w:r>
      <w:r w:rsidR="00F2198D">
        <w:rPr>
          <w:rFonts w:ascii="Times New Roman" w:hAnsi="Times New Roman" w:cs="Times New Roman"/>
          <w:color w:val="000000" w:themeColor="text1"/>
          <w:lang w:val="en-US"/>
        </w:rPr>
        <w:t>In</w:t>
      </w:r>
      <w:r w:rsidRPr="005F5D0A">
        <w:rPr>
          <w:rFonts w:ascii="Times New Roman" w:hAnsi="Times New Roman" w:cs="Times New Roman"/>
          <w:color w:val="000000" w:themeColor="text1"/>
          <w:lang w:val="en-US"/>
        </w:rPr>
        <w:t xml:space="preserve"> “</w:t>
      </w:r>
      <w:r w:rsidR="00744F91">
        <w:rPr>
          <w:rFonts w:ascii="Times New Roman" w:hAnsi="Times New Roman" w:cs="Times New Roman"/>
          <w:color w:val="000000" w:themeColor="text1"/>
          <w:lang w:val="en-US"/>
        </w:rPr>
        <w:t>bad</w:t>
      </w:r>
      <w:r w:rsidRPr="005F5D0A">
        <w:rPr>
          <w:rFonts w:ascii="Times New Roman" w:hAnsi="Times New Roman" w:cs="Times New Roman"/>
          <w:color w:val="000000" w:themeColor="text1"/>
          <w:lang w:val="en-US"/>
        </w:rPr>
        <w:t>” y</w:t>
      </w:r>
      <w:r w:rsidR="00F2198D">
        <w:rPr>
          <w:rFonts w:ascii="Times New Roman" w:hAnsi="Times New Roman" w:cs="Times New Roman"/>
          <w:color w:val="000000" w:themeColor="text1"/>
          <w:lang w:val="en-US"/>
        </w:rPr>
        <w:t>ears</w:t>
      </w:r>
      <w:r w:rsidRPr="005F5D0A">
        <w:rPr>
          <w:rFonts w:ascii="Times New Roman" w:hAnsi="Times New Roman" w:cs="Times New Roman"/>
          <w:color w:val="000000" w:themeColor="text1"/>
          <w:lang w:val="en-US"/>
        </w:rPr>
        <w:t>, cut</w:t>
      </w:r>
      <w:r w:rsidR="00D000CB">
        <w:rPr>
          <w:rFonts w:ascii="Times New Roman" w:hAnsi="Times New Roman" w:cs="Times New Roman"/>
          <w:color w:val="000000" w:themeColor="text1"/>
          <w:lang w:val="en-US"/>
        </w:rPr>
        <w:t>ting</w:t>
      </w:r>
      <w:r w:rsidRPr="005F5D0A">
        <w:rPr>
          <w:rFonts w:ascii="Times New Roman" w:hAnsi="Times New Roman" w:cs="Times New Roman"/>
          <w:color w:val="000000" w:themeColor="text1"/>
          <w:lang w:val="en-US"/>
        </w:rPr>
        <w:t xml:space="preserve"> the dividend</w:t>
      </w:r>
      <w:r w:rsidR="001512FE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4AE1F91A" w14:textId="04D78AAB" w:rsidR="00F27F12" w:rsidRDefault="00F27F12" w:rsidP="0003066B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bookmarkStart w:id="7" w:name="_Toc61320261"/>
      <w:r>
        <w:rPr>
          <w:rFonts w:ascii="Times New Roman" w:hAnsi="Times New Roman" w:cs="Times New Roman"/>
          <w:color w:val="000000" w:themeColor="text1"/>
          <w:lang w:val="en-US"/>
        </w:rPr>
        <w:lastRenderedPageBreak/>
        <w:t>CONCLUSION</w:t>
      </w:r>
      <w:bookmarkEnd w:id="7"/>
    </w:p>
    <w:p w14:paraId="7B379BF8" w14:textId="51D037E4" w:rsidR="00871562" w:rsidRDefault="00F467FE" w:rsidP="00C236FF">
      <w:pPr>
        <w:spacing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F467FE">
        <w:rPr>
          <w:rFonts w:ascii="Times New Roman" w:hAnsi="Times New Roman" w:cs="Times New Roman"/>
          <w:lang w:val="en-US" w:eastAsia="en-GB"/>
        </w:rPr>
        <w:t>In conclusion, the analysis has showed financial results for Edinburgh plc’s current concerns which includ</w:t>
      </w:r>
      <w:r w:rsidR="004320FC">
        <w:rPr>
          <w:rFonts w:ascii="Times New Roman" w:hAnsi="Times New Roman" w:cs="Times New Roman"/>
          <w:lang w:val="en-US" w:eastAsia="en-GB"/>
        </w:rPr>
        <w:t>es</w:t>
      </w:r>
      <w:r w:rsidRPr="00F467FE">
        <w:rPr>
          <w:rFonts w:ascii="Times New Roman" w:hAnsi="Times New Roman" w:cs="Times New Roman"/>
          <w:lang w:val="en-US" w:eastAsia="en-GB"/>
        </w:rPr>
        <w:t xml:space="preserve"> the equity valuation, current capital structure, dividend policy and the consideration of expansion. In the report, the company’s share is overvalued. Mo</w:t>
      </w:r>
      <w:r w:rsidR="004932FC">
        <w:rPr>
          <w:rFonts w:ascii="Times New Roman" w:hAnsi="Times New Roman" w:cs="Times New Roman"/>
          <w:lang w:val="en-US" w:eastAsia="en-GB"/>
        </w:rPr>
        <w:t>r</w:t>
      </w:r>
      <w:r w:rsidRPr="00F467FE">
        <w:rPr>
          <w:rFonts w:ascii="Times New Roman" w:hAnsi="Times New Roman" w:cs="Times New Roman"/>
          <w:lang w:val="en-US" w:eastAsia="en-GB"/>
        </w:rPr>
        <w:t xml:space="preserve">eover, the current capital structure is not optimal so that company should increase </w:t>
      </w:r>
      <w:r w:rsidR="00DB2D91">
        <w:rPr>
          <w:rFonts w:ascii="Times New Roman" w:hAnsi="Times New Roman" w:cs="Times New Roman"/>
          <w:lang w:val="en-US" w:eastAsia="en-GB"/>
        </w:rPr>
        <w:t xml:space="preserve">financial </w:t>
      </w:r>
      <w:r w:rsidRPr="00F467FE">
        <w:rPr>
          <w:rFonts w:ascii="Times New Roman" w:hAnsi="Times New Roman" w:cs="Times New Roman"/>
          <w:lang w:val="en-US" w:eastAsia="en-GB"/>
        </w:rPr>
        <w:t xml:space="preserve">gearing. </w:t>
      </w:r>
      <w:r w:rsidR="00D53EEE">
        <w:rPr>
          <w:rFonts w:ascii="Times New Roman" w:hAnsi="Times New Roman" w:cs="Times New Roman"/>
          <w:lang w:val="en-US" w:eastAsia="en-GB"/>
        </w:rPr>
        <w:t>In addition</w:t>
      </w:r>
      <w:r w:rsidRPr="00F467FE">
        <w:rPr>
          <w:rFonts w:ascii="Times New Roman" w:hAnsi="Times New Roman" w:cs="Times New Roman"/>
          <w:lang w:val="en-US" w:eastAsia="en-GB"/>
        </w:rPr>
        <w:t xml:space="preserve">, the company’s dividend policy is constant - payout. Finally, Edinburgh pls should invest in expansion project in Belgium.  </w:t>
      </w:r>
      <w:bookmarkEnd w:id="1"/>
    </w:p>
    <w:sectPr w:rsidR="00871562" w:rsidSect="001858CD">
      <w:footerReference w:type="even" r:id="rId30"/>
      <w:footerReference w:type="default" r:id="rId31"/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17820" w14:textId="77777777" w:rsidR="00895F9F" w:rsidRDefault="00895F9F" w:rsidP="002420BC">
      <w:r>
        <w:separator/>
      </w:r>
    </w:p>
  </w:endnote>
  <w:endnote w:type="continuationSeparator" w:id="0">
    <w:p w14:paraId="7DBDE5BD" w14:textId="77777777" w:rsidR="00895F9F" w:rsidRDefault="00895F9F" w:rsidP="00242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9847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24D777" w14:textId="77777777" w:rsidR="00C236FF" w:rsidRDefault="00C236FF" w:rsidP="009545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6AD2C3" w14:textId="77777777" w:rsidR="00C236FF" w:rsidRDefault="00C236FF" w:rsidP="00CC25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59400650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58327A53" w14:textId="77777777" w:rsidR="00C236FF" w:rsidRPr="005323F6" w:rsidRDefault="00C236FF" w:rsidP="0095453D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5323F6">
          <w:rPr>
            <w:rStyle w:val="PageNumber"/>
            <w:rFonts w:ascii="Times New Roman" w:hAnsi="Times New Roman" w:cs="Times New Roman"/>
          </w:rPr>
          <w:fldChar w:fldCharType="begin"/>
        </w:r>
        <w:r w:rsidRPr="005323F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5323F6">
          <w:rPr>
            <w:rStyle w:val="PageNumber"/>
            <w:rFonts w:ascii="Times New Roman" w:hAnsi="Times New Roman" w:cs="Times New Roman"/>
          </w:rPr>
          <w:fldChar w:fldCharType="separate"/>
        </w:r>
        <w:r>
          <w:rPr>
            <w:rStyle w:val="PageNumber"/>
            <w:rFonts w:ascii="Times New Roman" w:hAnsi="Times New Roman" w:cs="Times New Roman"/>
            <w:noProof/>
          </w:rPr>
          <w:t>10</w:t>
        </w:r>
        <w:r w:rsidRPr="005323F6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238B957A" w14:textId="77777777" w:rsidR="00C236FF" w:rsidRDefault="00C236FF" w:rsidP="00CC25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A3A66" w14:textId="77777777" w:rsidR="00895F9F" w:rsidRDefault="00895F9F" w:rsidP="002420BC">
      <w:r>
        <w:separator/>
      </w:r>
    </w:p>
  </w:footnote>
  <w:footnote w:type="continuationSeparator" w:id="0">
    <w:p w14:paraId="3AF6FC68" w14:textId="77777777" w:rsidR="00895F9F" w:rsidRDefault="00895F9F" w:rsidP="00242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F27"/>
    <w:multiLevelType w:val="hybridMultilevel"/>
    <w:tmpl w:val="2C028FDE"/>
    <w:lvl w:ilvl="0" w:tplc="FC3ADD24">
      <w:start w:val="1"/>
      <w:numFmt w:val="bullet"/>
      <w:lvlText w:val=""/>
      <w:lvlJc w:val="left"/>
      <w:pPr>
        <w:ind w:left="531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1" w15:restartNumberingAfterBreak="0">
    <w:nsid w:val="07796F3E"/>
    <w:multiLevelType w:val="hybridMultilevel"/>
    <w:tmpl w:val="07B038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D2FCC"/>
    <w:multiLevelType w:val="hybridMultilevel"/>
    <w:tmpl w:val="9F1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67BB1"/>
    <w:multiLevelType w:val="hybridMultilevel"/>
    <w:tmpl w:val="1DB869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604FD"/>
    <w:multiLevelType w:val="hybridMultilevel"/>
    <w:tmpl w:val="22766F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24B2B"/>
    <w:multiLevelType w:val="hybridMultilevel"/>
    <w:tmpl w:val="00D099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1089D"/>
    <w:multiLevelType w:val="hybridMultilevel"/>
    <w:tmpl w:val="3DF07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6695A"/>
    <w:multiLevelType w:val="hybridMultilevel"/>
    <w:tmpl w:val="DDCA095E"/>
    <w:lvl w:ilvl="0" w:tplc="A34E7B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C26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ECDB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5CE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52E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0EC9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F27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2EEA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5EB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14D1D62"/>
    <w:multiLevelType w:val="hybridMultilevel"/>
    <w:tmpl w:val="BB64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30BE4"/>
    <w:multiLevelType w:val="hybridMultilevel"/>
    <w:tmpl w:val="C5586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D723D"/>
    <w:multiLevelType w:val="hybridMultilevel"/>
    <w:tmpl w:val="D052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15353"/>
    <w:multiLevelType w:val="hybridMultilevel"/>
    <w:tmpl w:val="CCB27B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53A5F93"/>
    <w:multiLevelType w:val="hybridMultilevel"/>
    <w:tmpl w:val="98D6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663F3"/>
    <w:multiLevelType w:val="hybridMultilevel"/>
    <w:tmpl w:val="E708A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7706F"/>
    <w:multiLevelType w:val="hybridMultilevel"/>
    <w:tmpl w:val="1E5AB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7B7480"/>
    <w:multiLevelType w:val="hybridMultilevel"/>
    <w:tmpl w:val="54862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7E4451"/>
    <w:multiLevelType w:val="hybridMultilevel"/>
    <w:tmpl w:val="F5DC9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060012"/>
    <w:multiLevelType w:val="hybridMultilevel"/>
    <w:tmpl w:val="92FC7A66"/>
    <w:lvl w:ilvl="0" w:tplc="983019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F11DB3"/>
    <w:multiLevelType w:val="multilevel"/>
    <w:tmpl w:val="DFD6D7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F6B111C"/>
    <w:multiLevelType w:val="hybridMultilevel"/>
    <w:tmpl w:val="DD58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5"/>
  </w:num>
  <w:num w:numId="4">
    <w:abstractNumId w:val="3"/>
  </w:num>
  <w:num w:numId="5">
    <w:abstractNumId w:val="2"/>
  </w:num>
  <w:num w:numId="6">
    <w:abstractNumId w:val="9"/>
  </w:num>
  <w:num w:numId="7">
    <w:abstractNumId w:val="8"/>
  </w:num>
  <w:num w:numId="8">
    <w:abstractNumId w:val="6"/>
  </w:num>
  <w:num w:numId="9">
    <w:abstractNumId w:val="0"/>
  </w:num>
  <w:num w:numId="10">
    <w:abstractNumId w:val="1"/>
  </w:num>
  <w:num w:numId="11">
    <w:abstractNumId w:val="14"/>
  </w:num>
  <w:num w:numId="12">
    <w:abstractNumId w:val="12"/>
  </w:num>
  <w:num w:numId="13">
    <w:abstractNumId w:val="16"/>
  </w:num>
  <w:num w:numId="14">
    <w:abstractNumId w:val="19"/>
  </w:num>
  <w:num w:numId="15">
    <w:abstractNumId w:val="5"/>
  </w:num>
  <w:num w:numId="16">
    <w:abstractNumId w:val="13"/>
  </w:num>
  <w:num w:numId="17">
    <w:abstractNumId w:val="4"/>
  </w:num>
  <w:num w:numId="18">
    <w:abstractNumId w:val="10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(BourneU)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9E404B"/>
    <w:rsid w:val="0000351B"/>
    <w:rsid w:val="000046B3"/>
    <w:rsid w:val="00004B96"/>
    <w:rsid w:val="00005939"/>
    <w:rsid w:val="00005C2D"/>
    <w:rsid w:val="0000611A"/>
    <w:rsid w:val="0000720F"/>
    <w:rsid w:val="00007890"/>
    <w:rsid w:val="00010063"/>
    <w:rsid w:val="00010917"/>
    <w:rsid w:val="0001263D"/>
    <w:rsid w:val="00013EF3"/>
    <w:rsid w:val="000141A1"/>
    <w:rsid w:val="00014AB5"/>
    <w:rsid w:val="00015B36"/>
    <w:rsid w:val="00015F9B"/>
    <w:rsid w:val="000176EA"/>
    <w:rsid w:val="00017CDE"/>
    <w:rsid w:val="00017F04"/>
    <w:rsid w:val="00022750"/>
    <w:rsid w:val="00024077"/>
    <w:rsid w:val="000242DF"/>
    <w:rsid w:val="000246FA"/>
    <w:rsid w:val="00026521"/>
    <w:rsid w:val="000269E7"/>
    <w:rsid w:val="000303D2"/>
    <w:rsid w:val="0003066B"/>
    <w:rsid w:val="000319E3"/>
    <w:rsid w:val="00032378"/>
    <w:rsid w:val="00032474"/>
    <w:rsid w:val="00034E55"/>
    <w:rsid w:val="000355B0"/>
    <w:rsid w:val="00036167"/>
    <w:rsid w:val="00036AFE"/>
    <w:rsid w:val="0004096D"/>
    <w:rsid w:val="00040D78"/>
    <w:rsid w:val="00041180"/>
    <w:rsid w:val="0004392F"/>
    <w:rsid w:val="0004659A"/>
    <w:rsid w:val="00047E74"/>
    <w:rsid w:val="00050FF3"/>
    <w:rsid w:val="00051655"/>
    <w:rsid w:val="00053AAD"/>
    <w:rsid w:val="00055BB8"/>
    <w:rsid w:val="00055C87"/>
    <w:rsid w:val="000565F4"/>
    <w:rsid w:val="00056A98"/>
    <w:rsid w:val="000663E4"/>
    <w:rsid w:val="000706CC"/>
    <w:rsid w:val="00070C25"/>
    <w:rsid w:val="0007180A"/>
    <w:rsid w:val="0007260A"/>
    <w:rsid w:val="00072CDD"/>
    <w:rsid w:val="0007364A"/>
    <w:rsid w:val="00073F48"/>
    <w:rsid w:val="0007510F"/>
    <w:rsid w:val="0008104A"/>
    <w:rsid w:val="000827EE"/>
    <w:rsid w:val="00082C9D"/>
    <w:rsid w:val="000833F2"/>
    <w:rsid w:val="0008431F"/>
    <w:rsid w:val="00084EF0"/>
    <w:rsid w:val="000854A1"/>
    <w:rsid w:val="00090151"/>
    <w:rsid w:val="000919F1"/>
    <w:rsid w:val="000941BF"/>
    <w:rsid w:val="00097C02"/>
    <w:rsid w:val="00097E3D"/>
    <w:rsid w:val="000A004A"/>
    <w:rsid w:val="000A3B78"/>
    <w:rsid w:val="000A54CC"/>
    <w:rsid w:val="000A71C6"/>
    <w:rsid w:val="000A7459"/>
    <w:rsid w:val="000B1018"/>
    <w:rsid w:val="000B1FC4"/>
    <w:rsid w:val="000B21EC"/>
    <w:rsid w:val="000B546D"/>
    <w:rsid w:val="000B6CB2"/>
    <w:rsid w:val="000C06E7"/>
    <w:rsid w:val="000C2455"/>
    <w:rsid w:val="000C4F45"/>
    <w:rsid w:val="000C64C1"/>
    <w:rsid w:val="000D066B"/>
    <w:rsid w:val="000D0B18"/>
    <w:rsid w:val="000D2045"/>
    <w:rsid w:val="000D34CE"/>
    <w:rsid w:val="000D3B81"/>
    <w:rsid w:val="000D44A4"/>
    <w:rsid w:val="000D5903"/>
    <w:rsid w:val="000D5B6E"/>
    <w:rsid w:val="000D5F59"/>
    <w:rsid w:val="000D6535"/>
    <w:rsid w:val="000D6D70"/>
    <w:rsid w:val="000E24A5"/>
    <w:rsid w:val="000E3D01"/>
    <w:rsid w:val="000E4933"/>
    <w:rsid w:val="000E57F6"/>
    <w:rsid w:val="000F15CA"/>
    <w:rsid w:val="000F198F"/>
    <w:rsid w:val="000F1A41"/>
    <w:rsid w:val="000F2309"/>
    <w:rsid w:val="000F442B"/>
    <w:rsid w:val="000F44BB"/>
    <w:rsid w:val="000F5D25"/>
    <w:rsid w:val="000F6580"/>
    <w:rsid w:val="000F7558"/>
    <w:rsid w:val="00103C72"/>
    <w:rsid w:val="0010582E"/>
    <w:rsid w:val="00107CA8"/>
    <w:rsid w:val="00110080"/>
    <w:rsid w:val="00112896"/>
    <w:rsid w:val="00112D54"/>
    <w:rsid w:val="00113DB8"/>
    <w:rsid w:val="00114298"/>
    <w:rsid w:val="00116D98"/>
    <w:rsid w:val="00122282"/>
    <w:rsid w:val="00122432"/>
    <w:rsid w:val="00122B81"/>
    <w:rsid w:val="00123DEA"/>
    <w:rsid w:val="00126020"/>
    <w:rsid w:val="0012731E"/>
    <w:rsid w:val="00130EB3"/>
    <w:rsid w:val="0013269E"/>
    <w:rsid w:val="00134949"/>
    <w:rsid w:val="00136258"/>
    <w:rsid w:val="001400C5"/>
    <w:rsid w:val="00140E70"/>
    <w:rsid w:val="001439DD"/>
    <w:rsid w:val="00145171"/>
    <w:rsid w:val="0014663B"/>
    <w:rsid w:val="001467C7"/>
    <w:rsid w:val="00146C0F"/>
    <w:rsid w:val="00146D5E"/>
    <w:rsid w:val="001512FE"/>
    <w:rsid w:val="00151765"/>
    <w:rsid w:val="00152E6D"/>
    <w:rsid w:val="00153CA5"/>
    <w:rsid w:val="00154130"/>
    <w:rsid w:val="00155B85"/>
    <w:rsid w:val="00160309"/>
    <w:rsid w:val="0016031C"/>
    <w:rsid w:val="00160401"/>
    <w:rsid w:val="00161059"/>
    <w:rsid w:val="00162E05"/>
    <w:rsid w:val="001638DD"/>
    <w:rsid w:val="00163B9B"/>
    <w:rsid w:val="001642DE"/>
    <w:rsid w:val="00164502"/>
    <w:rsid w:val="00164C27"/>
    <w:rsid w:val="00165D7D"/>
    <w:rsid w:val="00165E79"/>
    <w:rsid w:val="00172AD8"/>
    <w:rsid w:val="001730B9"/>
    <w:rsid w:val="001763CA"/>
    <w:rsid w:val="00177E7C"/>
    <w:rsid w:val="00182DCE"/>
    <w:rsid w:val="00183291"/>
    <w:rsid w:val="0018334C"/>
    <w:rsid w:val="00184528"/>
    <w:rsid w:val="001858CD"/>
    <w:rsid w:val="00185D00"/>
    <w:rsid w:val="00187280"/>
    <w:rsid w:val="001879DC"/>
    <w:rsid w:val="001911B8"/>
    <w:rsid w:val="001917A9"/>
    <w:rsid w:val="001921AF"/>
    <w:rsid w:val="00193664"/>
    <w:rsid w:val="00193FB9"/>
    <w:rsid w:val="001940B2"/>
    <w:rsid w:val="001943E3"/>
    <w:rsid w:val="00194911"/>
    <w:rsid w:val="00195379"/>
    <w:rsid w:val="00195A58"/>
    <w:rsid w:val="00197676"/>
    <w:rsid w:val="001A1142"/>
    <w:rsid w:val="001A1179"/>
    <w:rsid w:val="001A1D6B"/>
    <w:rsid w:val="001A2B55"/>
    <w:rsid w:val="001A3847"/>
    <w:rsid w:val="001A61E9"/>
    <w:rsid w:val="001A6409"/>
    <w:rsid w:val="001B285E"/>
    <w:rsid w:val="001B4FDA"/>
    <w:rsid w:val="001B5606"/>
    <w:rsid w:val="001C150D"/>
    <w:rsid w:val="001C1B74"/>
    <w:rsid w:val="001C2480"/>
    <w:rsid w:val="001C4AB8"/>
    <w:rsid w:val="001C4F89"/>
    <w:rsid w:val="001C5F59"/>
    <w:rsid w:val="001D3A07"/>
    <w:rsid w:val="001D3FD3"/>
    <w:rsid w:val="001D5736"/>
    <w:rsid w:val="001D5916"/>
    <w:rsid w:val="001D614C"/>
    <w:rsid w:val="001D65CF"/>
    <w:rsid w:val="001E008F"/>
    <w:rsid w:val="001E2234"/>
    <w:rsid w:val="001E31C2"/>
    <w:rsid w:val="001E3231"/>
    <w:rsid w:val="001F017D"/>
    <w:rsid w:val="001F04B8"/>
    <w:rsid w:val="001F0D5C"/>
    <w:rsid w:val="001F1ED4"/>
    <w:rsid w:val="001F3026"/>
    <w:rsid w:val="001F30F6"/>
    <w:rsid w:val="001F3FBD"/>
    <w:rsid w:val="001F45E6"/>
    <w:rsid w:val="001F4E9D"/>
    <w:rsid w:val="001F5570"/>
    <w:rsid w:val="001F6017"/>
    <w:rsid w:val="001F7283"/>
    <w:rsid w:val="00200E4A"/>
    <w:rsid w:val="002016A9"/>
    <w:rsid w:val="00201B8B"/>
    <w:rsid w:val="0020297C"/>
    <w:rsid w:val="00202E7D"/>
    <w:rsid w:val="0020319F"/>
    <w:rsid w:val="00203C7A"/>
    <w:rsid w:val="00203CA2"/>
    <w:rsid w:val="00204735"/>
    <w:rsid w:val="002049FD"/>
    <w:rsid w:val="00206E4D"/>
    <w:rsid w:val="0021188A"/>
    <w:rsid w:val="0021514D"/>
    <w:rsid w:val="00215BD9"/>
    <w:rsid w:val="00215E44"/>
    <w:rsid w:val="00215ECE"/>
    <w:rsid w:val="00217916"/>
    <w:rsid w:val="0022006D"/>
    <w:rsid w:val="002210B6"/>
    <w:rsid w:val="00221151"/>
    <w:rsid w:val="002213F6"/>
    <w:rsid w:val="00222548"/>
    <w:rsid w:val="00224B70"/>
    <w:rsid w:val="002257BB"/>
    <w:rsid w:val="00226E0B"/>
    <w:rsid w:val="00231A0E"/>
    <w:rsid w:val="00232265"/>
    <w:rsid w:val="002345F8"/>
    <w:rsid w:val="00234B32"/>
    <w:rsid w:val="00234D71"/>
    <w:rsid w:val="00237793"/>
    <w:rsid w:val="0024052C"/>
    <w:rsid w:val="00241119"/>
    <w:rsid w:val="002420BC"/>
    <w:rsid w:val="00245267"/>
    <w:rsid w:val="00246092"/>
    <w:rsid w:val="002462EC"/>
    <w:rsid w:val="00246342"/>
    <w:rsid w:val="00246763"/>
    <w:rsid w:val="00247683"/>
    <w:rsid w:val="002514D9"/>
    <w:rsid w:val="00252529"/>
    <w:rsid w:val="00252AC9"/>
    <w:rsid w:val="00255E0F"/>
    <w:rsid w:val="00257626"/>
    <w:rsid w:val="00257637"/>
    <w:rsid w:val="00261321"/>
    <w:rsid w:val="0026200A"/>
    <w:rsid w:val="00263B60"/>
    <w:rsid w:val="00263DD2"/>
    <w:rsid w:val="00267F8C"/>
    <w:rsid w:val="00271316"/>
    <w:rsid w:val="002718F9"/>
    <w:rsid w:val="00272A31"/>
    <w:rsid w:val="00272C90"/>
    <w:rsid w:val="00273944"/>
    <w:rsid w:val="00274599"/>
    <w:rsid w:val="00275EE3"/>
    <w:rsid w:val="00276DCE"/>
    <w:rsid w:val="00276DFC"/>
    <w:rsid w:val="00277C20"/>
    <w:rsid w:val="002808E0"/>
    <w:rsid w:val="00280941"/>
    <w:rsid w:val="00283B02"/>
    <w:rsid w:val="00283B28"/>
    <w:rsid w:val="0028406D"/>
    <w:rsid w:val="00286701"/>
    <w:rsid w:val="00287BE4"/>
    <w:rsid w:val="00293EC6"/>
    <w:rsid w:val="00294400"/>
    <w:rsid w:val="002950F2"/>
    <w:rsid w:val="00296772"/>
    <w:rsid w:val="00297EBC"/>
    <w:rsid w:val="002A02F5"/>
    <w:rsid w:val="002A066A"/>
    <w:rsid w:val="002A0795"/>
    <w:rsid w:val="002A0886"/>
    <w:rsid w:val="002A12F0"/>
    <w:rsid w:val="002A274E"/>
    <w:rsid w:val="002A333C"/>
    <w:rsid w:val="002A4044"/>
    <w:rsid w:val="002A4D38"/>
    <w:rsid w:val="002B2164"/>
    <w:rsid w:val="002B52C5"/>
    <w:rsid w:val="002B72B3"/>
    <w:rsid w:val="002B75DB"/>
    <w:rsid w:val="002C00C7"/>
    <w:rsid w:val="002C0C57"/>
    <w:rsid w:val="002C231C"/>
    <w:rsid w:val="002C33D5"/>
    <w:rsid w:val="002C389D"/>
    <w:rsid w:val="002C5CD1"/>
    <w:rsid w:val="002C7136"/>
    <w:rsid w:val="002D00DA"/>
    <w:rsid w:val="002D05A3"/>
    <w:rsid w:val="002D0BAE"/>
    <w:rsid w:val="002D12DD"/>
    <w:rsid w:val="002D41A2"/>
    <w:rsid w:val="002D53DA"/>
    <w:rsid w:val="002E0AB8"/>
    <w:rsid w:val="002E0ADD"/>
    <w:rsid w:val="002E0E7C"/>
    <w:rsid w:val="002E1F51"/>
    <w:rsid w:val="002E52A7"/>
    <w:rsid w:val="002E5A86"/>
    <w:rsid w:val="002E5BB0"/>
    <w:rsid w:val="002F20C4"/>
    <w:rsid w:val="002F2E78"/>
    <w:rsid w:val="002F47A6"/>
    <w:rsid w:val="002F7E98"/>
    <w:rsid w:val="00300A5B"/>
    <w:rsid w:val="00300D45"/>
    <w:rsid w:val="00301C42"/>
    <w:rsid w:val="003036D3"/>
    <w:rsid w:val="0030400C"/>
    <w:rsid w:val="00304792"/>
    <w:rsid w:val="00305B8D"/>
    <w:rsid w:val="00307F32"/>
    <w:rsid w:val="00310E58"/>
    <w:rsid w:val="0031324D"/>
    <w:rsid w:val="00314AB9"/>
    <w:rsid w:val="003161C2"/>
    <w:rsid w:val="00320B90"/>
    <w:rsid w:val="003212B6"/>
    <w:rsid w:val="0032162C"/>
    <w:rsid w:val="0032300C"/>
    <w:rsid w:val="003230C3"/>
    <w:rsid w:val="003235CC"/>
    <w:rsid w:val="003255AE"/>
    <w:rsid w:val="0032647D"/>
    <w:rsid w:val="00326FE6"/>
    <w:rsid w:val="0032723C"/>
    <w:rsid w:val="00327D7B"/>
    <w:rsid w:val="00331046"/>
    <w:rsid w:val="0033256D"/>
    <w:rsid w:val="003363DD"/>
    <w:rsid w:val="00341B62"/>
    <w:rsid w:val="00344242"/>
    <w:rsid w:val="00344D04"/>
    <w:rsid w:val="003464D4"/>
    <w:rsid w:val="00346C2E"/>
    <w:rsid w:val="003471B7"/>
    <w:rsid w:val="0034761D"/>
    <w:rsid w:val="00350340"/>
    <w:rsid w:val="00351749"/>
    <w:rsid w:val="003520EB"/>
    <w:rsid w:val="00352764"/>
    <w:rsid w:val="00353B50"/>
    <w:rsid w:val="00353F7B"/>
    <w:rsid w:val="0035638A"/>
    <w:rsid w:val="00357721"/>
    <w:rsid w:val="003579C1"/>
    <w:rsid w:val="0036095B"/>
    <w:rsid w:val="003614F3"/>
    <w:rsid w:val="0036177C"/>
    <w:rsid w:val="00364463"/>
    <w:rsid w:val="00364965"/>
    <w:rsid w:val="00365A7C"/>
    <w:rsid w:val="00366CC2"/>
    <w:rsid w:val="00366FED"/>
    <w:rsid w:val="00372D90"/>
    <w:rsid w:val="0037346F"/>
    <w:rsid w:val="00374574"/>
    <w:rsid w:val="00375DB5"/>
    <w:rsid w:val="003775AD"/>
    <w:rsid w:val="00377E64"/>
    <w:rsid w:val="00380ADA"/>
    <w:rsid w:val="00380BF1"/>
    <w:rsid w:val="00380CAB"/>
    <w:rsid w:val="00385531"/>
    <w:rsid w:val="00386C1C"/>
    <w:rsid w:val="00386F10"/>
    <w:rsid w:val="00390CF9"/>
    <w:rsid w:val="003918F7"/>
    <w:rsid w:val="00392FEC"/>
    <w:rsid w:val="0039337E"/>
    <w:rsid w:val="00395CF8"/>
    <w:rsid w:val="003A0868"/>
    <w:rsid w:val="003A0A52"/>
    <w:rsid w:val="003A1599"/>
    <w:rsid w:val="003A1F51"/>
    <w:rsid w:val="003A2C33"/>
    <w:rsid w:val="003A4551"/>
    <w:rsid w:val="003A5036"/>
    <w:rsid w:val="003B1966"/>
    <w:rsid w:val="003B2F9A"/>
    <w:rsid w:val="003B549D"/>
    <w:rsid w:val="003B74CA"/>
    <w:rsid w:val="003C02F2"/>
    <w:rsid w:val="003C1B6D"/>
    <w:rsid w:val="003C4262"/>
    <w:rsid w:val="003C45A8"/>
    <w:rsid w:val="003C51C2"/>
    <w:rsid w:val="003D027F"/>
    <w:rsid w:val="003D243F"/>
    <w:rsid w:val="003D2490"/>
    <w:rsid w:val="003D4575"/>
    <w:rsid w:val="003D4927"/>
    <w:rsid w:val="003D5298"/>
    <w:rsid w:val="003D7200"/>
    <w:rsid w:val="003D7EB2"/>
    <w:rsid w:val="003E024B"/>
    <w:rsid w:val="003E03FB"/>
    <w:rsid w:val="003E16BF"/>
    <w:rsid w:val="003E63D7"/>
    <w:rsid w:val="003E7147"/>
    <w:rsid w:val="003E7889"/>
    <w:rsid w:val="003E7898"/>
    <w:rsid w:val="003E7EDE"/>
    <w:rsid w:val="003E7FF2"/>
    <w:rsid w:val="003F077D"/>
    <w:rsid w:val="003F4FB6"/>
    <w:rsid w:val="003F60E4"/>
    <w:rsid w:val="003F6BC5"/>
    <w:rsid w:val="003F70E1"/>
    <w:rsid w:val="003F783C"/>
    <w:rsid w:val="0040005C"/>
    <w:rsid w:val="00400FFB"/>
    <w:rsid w:val="004010F0"/>
    <w:rsid w:val="00401717"/>
    <w:rsid w:val="00402FA0"/>
    <w:rsid w:val="00403A60"/>
    <w:rsid w:val="00403F7A"/>
    <w:rsid w:val="00404559"/>
    <w:rsid w:val="0040655E"/>
    <w:rsid w:val="00406AA1"/>
    <w:rsid w:val="00410B71"/>
    <w:rsid w:val="00412A21"/>
    <w:rsid w:val="00413D19"/>
    <w:rsid w:val="00416BD3"/>
    <w:rsid w:val="00421075"/>
    <w:rsid w:val="0042148E"/>
    <w:rsid w:val="004222F9"/>
    <w:rsid w:val="00422F85"/>
    <w:rsid w:val="00425154"/>
    <w:rsid w:val="004301FD"/>
    <w:rsid w:val="00431AAA"/>
    <w:rsid w:val="004320FC"/>
    <w:rsid w:val="00432646"/>
    <w:rsid w:val="00432780"/>
    <w:rsid w:val="00433A3D"/>
    <w:rsid w:val="004342FE"/>
    <w:rsid w:val="00442ECC"/>
    <w:rsid w:val="004432A1"/>
    <w:rsid w:val="00446752"/>
    <w:rsid w:val="00447A26"/>
    <w:rsid w:val="00447D24"/>
    <w:rsid w:val="00450381"/>
    <w:rsid w:val="00450421"/>
    <w:rsid w:val="00450745"/>
    <w:rsid w:val="00450F65"/>
    <w:rsid w:val="0045566D"/>
    <w:rsid w:val="00455BBD"/>
    <w:rsid w:val="0045735D"/>
    <w:rsid w:val="00457CB4"/>
    <w:rsid w:val="0046177D"/>
    <w:rsid w:val="00461DAB"/>
    <w:rsid w:val="0046203D"/>
    <w:rsid w:val="00463316"/>
    <w:rsid w:val="00463B8F"/>
    <w:rsid w:val="00465EF6"/>
    <w:rsid w:val="00465F8E"/>
    <w:rsid w:val="00466199"/>
    <w:rsid w:val="004669FE"/>
    <w:rsid w:val="004670A7"/>
    <w:rsid w:val="004679C9"/>
    <w:rsid w:val="00470B6E"/>
    <w:rsid w:val="004733CC"/>
    <w:rsid w:val="00473821"/>
    <w:rsid w:val="004761D8"/>
    <w:rsid w:val="004765AA"/>
    <w:rsid w:val="00481C34"/>
    <w:rsid w:val="004834B0"/>
    <w:rsid w:val="004867C0"/>
    <w:rsid w:val="00491D57"/>
    <w:rsid w:val="00492991"/>
    <w:rsid w:val="00493288"/>
    <w:rsid w:val="004932FC"/>
    <w:rsid w:val="00493D6B"/>
    <w:rsid w:val="0049567F"/>
    <w:rsid w:val="00497BD9"/>
    <w:rsid w:val="004A046D"/>
    <w:rsid w:val="004A497B"/>
    <w:rsid w:val="004A4B59"/>
    <w:rsid w:val="004B02B3"/>
    <w:rsid w:val="004B1164"/>
    <w:rsid w:val="004B121B"/>
    <w:rsid w:val="004B2B51"/>
    <w:rsid w:val="004B4811"/>
    <w:rsid w:val="004B4CE4"/>
    <w:rsid w:val="004B4DFC"/>
    <w:rsid w:val="004B5AA6"/>
    <w:rsid w:val="004B62D7"/>
    <w:rsid w:val="004B6C91"/>
    <w:rsid w:val="004C088D"/>
    <w:rsid w:val="004C14FE"/>
    <w:rsid w:val="004C1DAD"/>
    <w:rsid w:val="004C3988"/>
    <w:rsid w:val="004C551D"/>
    <w:rsid w:val="004C5B67"/>
    <w:rsid w:val="004C6B47"/>
    <w:rsid w:val="004C713A"/>
    <w:rsid w:val="004C77F8"/>
    <w:rsid w:val="004C78E3"/>
    <w:rsid w:val="004D1126"/>
    <w:rsid w:val="004D35D2"/>
    <w:rsid w:val="004D3A44"/>
    <w:rsid w:val="004E11EB"/>
    <w:rsid w:val="004E15A2"/>
    <w:rsid w:val="004E209A"/>
    <w:rsid w:val="004E28C2"/>
    <w:rsid w:val="004E2B71"/>
    <w:rsid w:val="004E3915"/>
    <w:rsid w:val="004E3A50"/>
    <w:rsid w:val="004E5900"/>
    <w:rsid w:val="004E630D"/>
    <w:rsid w:val="004E686F"/>
    <w:rsid w:val="004E6F78"/>
    <w:rsid w:val="004E72DF"/>
    <w:rsid w:val="004F0144"/>
    <w:rsid w:val="004F0FB2"/>
    <w:rsid w:val="004F1687"/>
    <w:rsid w:val="004F1DF1"/>
    <w:rsid w:val="004F1EED"/>
    <w:rsid w:val="004F2271"/>
    <w:rsid w:val="004F3A66"/>
    <w:rsid w:val="004F420A"/>
    <w:rsid w:val="004F6CB0"/>
    <w:rsid w:val="004F740B"/>
    <w:rsid w:val="00500297"/>
    <w:rsid w:val="00500318"/>
    <w:rsid w:val="005018D5"/>
    <w:rsid w:val="0050282F"/>
    <w:rsid w:val="00505245"/>
    <w:rsid w:val="00513BF3"/>
    <w:rsid w:val="00515DB6"/>
    <w:rsid w:val="00520F06"/>
    <w:rsid w:val="00521710"/>
    <w:rsid w:val="00521951"/>
    <w:rsid w:val="00522ECA"/>
    <w:rsid w:val="005243BF"/>
    <w:rsid w:val="00524655"/>
    <w:rsid w:val="00525932"/>
    <w:rsid w:val="00525E78"/>
    <w:rsid w:val="00525F40"/>
    <w:rsid w:val="00526ACC"/>
    <w:rsid w:val="00526F6A"/>
    <w:rsid w:val="00530B1B"/>
    <w:rsid w:val="005323F6"/>
    <w:rsid w:val="00532598"/>
    <w:rsid w:val="00532BC3"/>
    <w:rsid w:val="005338F6"/>
    <w:rsid w:val="00534190"/>
    <w:rsid w:val="00535F40"/>
    <w:rsid w:val="005408B8"/>
    <w:rsid w:val="00540A91"/>
    <w:rsid w:val="005428D9"/>
    <w:rsid w:val="0054540F"/>
    <w:rsid w:val="00545643"/>
    <w:rsid w:val="005457B3"/>
    <w:rsid w:val="0054588C"/>
    <w:rsid w:val="005469FF"/>
    <w:rsid w:val="00547B72"/>
    <w:rsid w:val="00550D7E"/>
    <w:rsid w:val="00552F22"/>
    <w:rsid w:val="00555529"/>
    <w:rsid w:val="00555E6E"/>
    <w:rsid w:val="005561C5"/>
    <w:rsid w:val="0055677A"/>
    <w:rsid w:val="005579EF"/>
    <w:rsid w:val="00557CE8"/>
    <w:rsid w:val="00557D12"/>
    <w:rsid w:val="005605C7"/>
    <w:rsid w:val="005611CA"/>
    <w:rsid w:val="00561BC0"/>
    <w:rsid w:val="0056210F"/>
    <w:rsid w:val="0056257C"/>
    <w:rsid w:val="00562BFD"/>
    <w:rsid w:val="0056337F"/>
    <w:rsid w:val="00566FAF"/>
    <w:rsid w:val="00570227"/>
    <w:rsid w:val="00570FA2"/>
    <w:rsid w:val="00571129"/>
    <w:rsid w:val="00571441"/>
    <w:rsid w:val="00571E9C"/>
    <w:rsid w:val="00572B0B"/>
    <w:rsid w:val="00572F0F"/>
    <w:rsid w:val="00575A35"/>
    <w:rsid w:val="00576EDC"/>
    <w:rsid w:val="00581065"/>
    <w:rsid w:val="00581454"/>
    <w:rsid w:val="005823C8"/>
    <w:rsid w:val="005828E9"/>
    <w:rsid w:val="00582B1D"/>
    <w:rsid w:val="00583B6A"/>
    <w:rsid w:val="00585576"/>
    <w:rsid w:val="00585C6B"/>
    <w:rsid w:val="00586893"/>
    <w:rsid w:val="00586F6E"/>
    <w:rsid w:val="005875DA"/>
    <w:rsid w:val="00587903"/>
    <w:rsid w:val="00592152"/>
    <w:rsid w:val="0059297F"/>
    <w:rsid w:val="00594939"/>
    <w:rsid w:val="0059756B"/>
    <w:rsid w:val="0059770D"/>
    <w:rsid w:val="00597C78"/>
    <w:rsid w:val="005A1279"/>
    <w:rsid w:val="005A3C26"/>
    <w:rsid w:val="005A3CF2"/>
    <w:rsid w:val="005A52BF"/>
    <w:rsid w:val="005A5F21"/>
    <w:rsid w:val="005A73A3"/>
    <w:rsid w:val="005A7488"/>
    <w:rsid w:val="005A7A5C"/>
    <w:rsid w:val="005B0012"/>
    <w:rsid w:val="005B05E3"/>
    <w:rsid w:val="005B2C87"/>
    <w:rsid w:val="005B3A0C"/>
    <w:rsid w:val="005C5A61"/>
    <w:rsid w:val="005C7FEB"/>
    <w:rsid w:val="005D126E"/>
    <w:rsid w:val="005D2989"/>
    <w:rsid w:val="005D3F7C"/>
    <w:rsid w:val="005D4A40"/>
    <w:rsid w:val="005D5490"/>
    <w:rsid w:val="005D5F0B"/>
    <w:rsid w:val="005D615E"/>
    <w:rsid w:val="005D6278"/>
    <w:rsid w:val="005D627B"/>
    <w:rsid w:val="005D6B08"/>
    <w:rsid w:val="005E0402"/>
    <w:rsid w:val="005E11F5"/>
    <w:rsid w:val="005E14E4"/>
    <w:rsid w:val="005E227A"/>
    <w:rsid w:val="005E3018"/>
    <w:rsid w:val="005E4489"/>
    <w:rsid w:val="005F01BC"/>
    <w:rsid w:val="005F1334"/>
    <w:rsid w:val="005F20F9"/>
    <w:rsid w:val="005F2B18"/>
    <w:rsid w:val="005F2B82"/>
    <w:rsid w:val="005F42D3"/>
    <w:rsid w:val="005F5521"/>
    <w:rsid w:val="005F5D0A"/>
    <w:rsid w:val="005F606C"/>
    <w:rsid w:val="005F6B2E"/>
    <w:rsid w:val="00600611"/>
    <w:rsid w:val="00601E66"/>
    <w:rsid w:val="006037B6"/>
    <w:rsid w:val="00603AF7"/>
    <w:rsid w:val="0060484C"/>
    <w:rsid w:val="00605272"/>
    <w:rsid w:val="006054A7"/>
    <w:rsid w:val="00611176"/>
    <w:rsid w:val="006127BF"/>
    <w:rsid w:val="00613554"/>
    <w:rsid w:val="00614239"/>
    <w:rsid w:val="0061498F"/>
    <w:rsid w:val="00614B20"/>
    <w:rsid w:val="00616289"/>
    <w:rsid w:val="006162EA"/>
    <w:rsid w:val="00617172"/>
    <w:rsid w:val="006176B9"/>
    <w:rsid w:val="00621C0B"/>
    <w:rsid w:val="0062222C"/>
    <w:rsid w:val="00622379"/>
    <w:rsid w:val="00623648"/>
    <w:rsid w:val="00623FB5"/>
    <w:rsid w:val="00624A56"/>
    <w:rsid w:val="00624B8A"/>
    <w:rsid w:val="00626A3D"/>
    <w:rsid w:val="00630491"/>
    <w:rsid w:val="00635A5F"/>
    <w:rsid w:val="00637B69"/>
    <w:rsid w:val="0064022A"/>
    <w:rsid w:val="0064031A"/>
    <w:rsid w:val="006403FC"/>
    <w:rsid w:val="00640BCE"/>
    <w:rsid w:val="00640BFE"/>
    <w:rsid w:val="00641624"/>
    <w:rsid w:val="00641C27"/>
    <w:rsid w:val="00643D29"/>
    <w:rsid w:val="00643E65"/>
    <w:rsid w:val="00645226"/>
    <w:rsid w:val="00645A14"/>
    <w:rsid w:val="006469C2"/>
    <w:rsid w:val="00647D13"/>
    <w:rsid w:val="00652119"/>
    <w:rsid w:val="00653F76"/>
    <w:rsid w:val="00653FEE"/>
    <w:rsid w:val="00656BC9"/>
    <w:rsid w:val="00656F5A"/>
    <w:rsid w:val="00661F43"/>
    <w:rsid w:val="00662178"/>
    <w:rsid w:val="0066318A"/>
    <w:rsid w:val="00663729"/>
    <w:rsid w:val="00665705"/>
    <w:rsid w:val="006667B6"/>
    <w:rsid w:val="0067071C"/>
    <w:rsid w:val="00670E9F"/>
    <w:rsid w:val="0067165B"/>
    <w:rsid w:val="00673C60"/>
    <w:rsid w:val="006749B1"/>
    <w:rsid w:val="00674AE8"/>
    <w:rsid w:val="0067670E"/>
    <w:rsid w:val="00680AE2"/>
    <w:rsid w:val="00682C65"/>
    <w:rsid w:val="006836F6"/>
    <w:rsid w:val="0068493A"/>
    <w:rsid w:val="00684D31"/>
    <w:rsid w:val="00686C9F"/>
    <w:rsid w:val="0068706D"/>
    <w:rsid w:val="00690664"/>
    <w:rsid w:val="0069138E"/>
    <w:rsid w:val="00691D2C"/>
    <w:rsid w:val="0069247F"/>
    <w:rsid w:val="006928AC"/>
    <w:rsid w:val="00693336"/>
    <w:rsid w:val="006951A0"/>
    <w:rsid w:val="006954A5"/>
    <w:rsid w:val="00696308"/>
    <w:rsid w:val="0069717E"/>
    <w:rsid w:val="006A07F6"/>
    <w:rsid w:val="006A2BAF"/>
    <w:rsid w:val="006A3B6D"/>
    <w:rsid w:val="006A5354"/>
    <w:rsid w:val="006A5C92"/>
    <w:rsid w:val="006A753E"/>
    <w:rsid w:val="006A754F"/>
    <w:rsid w:val="006A7A98"/>
    <w:rsid w:val="006B0E5A"/>
    <w:rsid w:val="006B3186"/>
    <w:rsid w:val="006B3798"/>
    <w:rsid w:val="006B4763"/>
    <w:rsid w:val="006B4B21"/>
    <w:rsid w:val="006B4BCA"/>
    <w:rsid w:val="006B6338"/>
    <w:rsid w:val="006B69E9"/>
    <w:rsid w:val="006B6E68"/>
    <w:rsid w:val="006B7193"/>
    <w:rsid w:val="006B7D37"/>
    <w:rsid w:val="006B7EE9"/>
    <w:rsid w:val="006C0CFE"/>
    <w:rsid w:val="006C1849"/>
    <w:rsid w:val="006C3EFC"/>
    <w:rsid w:val="006C55C6"/>
    <w:rsid w:val="006C5D45"/>
    <w:rsid w:val="006C77F9"/>
    <w:rsid w:val="006C783E"/>
    <w:rsid w:val="006C7AEF"/>
    <w:rsid w:val="006D2105"/>
    <w:rsid w:val="006D501B"/>
    <w:rsid w:val="006D6EB0"/>
    <w:rsid w:val="006E05FC"/>
    <w:rsid w:val="006E0C44"/>
    <w:rsid w:val="006E1248"/>
    <w:rsid w:val="006E1B55"/>
    <w:rsid w:val="006E1DAB"/>
    <w:rsid w:val="006E4141"/>
    <w:rsid w:val="006E58D4"/>
    <w:rsid w:val="006E7D1A"/>
    <w:rsid w:val="006F2173"/>
    <w:rsid w:val="006F220A"/>
    <w:rsid w:val="006F33CC"/>
    <w:rsid w:val="006F3E07"/>
    <w:rsid w:val="006F4B73"/>
    <w:rsid w:val="006F5DE8"/>
    <w:rsid w:val="006F6D5B"/>
    <w:rsid w:val="006F6EE9"/>
    <w:rsid w:val="006F6F99"/>
    <w:rsid w:val="006F7B40"/>
    <w:rsid w:val="006F7E6E"/>
    <w:rsid w:val="006F7E89"/>
    <w:rsid w:val="00700522"/>
    <w:rsid w:val="00701599"/>
    <w:rsid w:val="00703E00"/>
    <w:rsid w:val="00703F9E"/>
    <w:rsid w:val="00704701"/>
    <w:rsid w:val="007058AB"/>
    <w:rsid w:val="007074EB"/>
    <w:rsid w:val="0071070D"/>
    <w:rsid w:val="0071432F"/>
    <w:rsid w:val="007148DB"/>
    <w:rsid w:val="007155BA"/>
    <w:rsid w:val="00715CFF"/>
    <w:rsid w:val="00716316"/>
    <w:rsid w:val="00716981"/>
    <w:rsid w:val="0071779C"/>
    <w:rsid w:val="0072150A"/>
    <w:rsid w:val="00723D85"/>
    <w:rsid w:val="0072632D"/>
    <w:rsid w:val="00730180"/>
    <w:rsid w:val="00732B07"/>
    <w:rsid w:val="00732CD5"/>
    <w:rsid w:val="007330FE"/>
    <w:rsid w:val="007354AC"/>
    <w:rsid w:val="007414FA"/>
    <w:rsid w:val="00741CA7"/>
    <w:rsid w:val="00744B06"/>
    <w:rsid w:val="00744F91"/>
    <w:rsid w:val="00746871"/>
    <w:rsid w:val="00747BC7"/>
    <w:rsid w:val="00747E33"/>
    <w:rsid w:val="00751142"/>
    <w:rsid w:val="00751301"/>
    <w:rsid w:val="007518D4"/>
    <w:rsid w:val="00752AB1"/>
    <w:rsid w:val="00752C4D"/>
    <w:rsid w:val="00754D41"/>
    <w:rsid w:val="0075606B"/>
    <w:rsid w:val="00756CE7"/>
    <w:rsid w:val="0075726B"/>
    <w:rsid w:val="00757E67"/>
    <w:rsid w:val="007608C0"/>
    <w:rsid w:val="0076175B"/>
    <w:rsid w:val="00763813"/>
    <w:rsid w:val="00764ACE"/>
    <w:rsid w:val="007669F3"/>
    <w:rsid w:val="00766A11"/>
    <w:rsid w:val="007670FD"/>
    <w:rsid w:val="007702D5"/>
    <w:rsid w:val="007716D0"/>
    <w:rsid w:val="00771DBB"/>
    <w:rsid w:val="00772011"/>
    <w:rsid w:val="007755E4"/>
    <w:rsid w:val="00775699"/>
    <w:rsid w:val="007765A8"/>
    <w:rsid w:val="007767E3"/>
    <w:rsid w:val="007832B4"/>
    <w:rsid w:val="00785C4E"/>
    <w:rsid w:val="00785E05"/>
    <w:rsid w:val="00786FE4"/>
    <w:rsid w:val="00787ADE"/>
    <w:rsid w:val="00787AEC"/>
    <w:rsid w:val="007903B0"/>
    <w:rsid w:val="007919F1"/>
    <w:rsid w:val="007A066D"/>
    <w:rsid w:val="007A0822"/>
    <w:rsid w:val="007A0B64"/>
    <w:rsid w:val="007A56D0"/>
    <w:rsid w:val="007A5869"/>
    <w:rsid w:val="007A60D4"/>
    <w:rsid w:val="007A7293"/>
    <w:rsid w:val="007A785D"/>
    <w:rsid w:val="007B02CE"/>
    <w:rsid w:val="007B06A5"/>
    <w:rsid w:val="007B11B9"/>
    <w:rsid w:val="007B1F6D"/>
    <w:rsid w:val="007B2519"/>
    <w:rsid w:val="007B2CEA"/>
    <w:rsid w:val="007B4229"/>
    <w:rsid w:val="007C4543"/>
    <w:rsid w:val="007C67B7"/>
    <w:rsid w:val="007C7D54"/>
    <w:rsid w:val="007D011B"/>
    <w:rsid w:val="007D2560"/>
    <w:rsid w:val="007D6FC6"/>
    <w:rsid w:val="007D7133"/>
    <w:rsid w:val="007E0054"/>
    <w:rsid w:val="007E0452"/>
    <w:rsid w:val="007E16DC"/>
    <w:rsid w:val="007E3AC1"/>
    <w:rsid w:val="007E620D"/>
    <w:rsid w:val="007E634E"/>
    <w:rsid w:val="007E639E"/>
    <w:rsid w:val="007F0FB6"/>
    <w:rsid w:val="007F2B46"/>
    <w:rsid w:val="007F3BAA"/>
    <w:rsid w:val="007F3EEE"/>
    <w:rsid w:val="007F71E2"/>
    <w:rsid w:val="008002FA"/>
    <w:rsid w:val="008013BF"/>
    <w:rsid w:val="00802BFA"/>
    <w:rsid w:val="0080549D"/>
    <w:rsid w:val="00807188"/>
    <w:rsid w:val="0080738A"/>
    <w:rsid w:val="00810B48"/>
    <w:rsid w:val="00813096"/>
    <w:rsid w:val="00820205"/>
    <w:rsid w:val="008203A0"/>
    <w:rsid w:val="00821EB2"/>
    <w:rsid w:val="00824086"/>
    <w:rsid w:val="008255A0"/>
    <w:rsid w:val="00825A41"/>
    <w:rsid w:val="00826A64"/>
    <w:rsid w:val="0082783B"/>
    <w:rsid w:val="00830734"/>
    <w:rsid w:val="0083077E"/>
    <w:rsid w:val="0083515A"/>
    <w:rsid w:val="008371F4"/>
    <w:rsid w:val="008415B5"/>
    <w:rsid w:val="008444EE"/>
    <w:rsid w:val="008460A2"/>
    <w:rsid w:val="00847098"/>
    <w:rsid w:val="0084712C"/>
    <w:rsid w:val="00847B6A"/>
    <w:rsid w:val="008509D9"/>
    <w:rsid w:val="00850EE0"/>
    <w:rsid w:val="00853908"/>
    <w:rsid w:val="00855A01"/>
    <w:rsid w:val="00857E6B"/>
    <w:rsid w:val="00861A7E"/>
    <w:rsid w:val="008667EA"/>
    <w:rsid w:val="008673C7"/>
    <w:rsid w:val="008674F0"/>
    <w:rsid w:val="00867D28"/>
    <w:rsid w:val="00871381"/>
    <w:rsid w:val="00871562"/>
    <w:rsid w:val="008732E1"/>
    <w:rsid w:val="008744E7"/>
    <w:rsid w:val="0087479B"/>
    <w:rsid w:val="00874B40"/>
    <w:rsid w:val="0087648A"/>
    <w:rsid w:val="00876D19"/>
    <w:rsid w:val="00880F28"/>
    <w:rsid w:val="0088182F"/>
    <w:rsid w:val="008819D8"/>
    <w:rsid w:val="008821B7"/>
    <w:rsid w:val="008821CE"/>
    <w:rsid w:val="0088281D"/>
    <w:rsid w:val="00885C29"/>
    <w:rsid w:val="00885E59"/>
    <w:rsid w:val="00890201"/>
    <w:rsid w:val="00890551"/>
    <w:rsid w:val="008910E5"/>
    <w:rsid w:val="00891693"/>
    <w:rsid w:val="00895F9F"/>
    <w:rsid w:val="008A0600"/>
    <w:rsid w:val="008A09C3"/>
    <w:rsid w:val="008A0C0F"/>
    <w:rsid w:val="008A3F18"/>
    <w:rsid w:val="008A46F2"/>
    <w:rsid w:val="008A5083"/>
    <w:rsid w:val="008A6798"/>
    <w:rsid w:val="008A7097"/>
    <w:rsid w:val="008B0035"/>
    <w:rsid w:val="008B344A"/>
    <w:rsid w:val="008B5F2A"/>
    <w:rsid w:val="008B7171"/>
    <w:rsid w:val="008C454C"/>
    <w:rsid w:val="008C4CB6"/>
    <w:rsid w:val="008C59AA"/>
    <w:rsid w:val="008C624C"/>
    <w:rsid w:val="008C719B"/>
    <w:rsid w:val="008C7DF0"/>
    <w:rsid w:val="008D036A"/>
    <w:rsid w:val="008D1CF1"/>
    <w:rsid w:val="008D2809"/>
    <w:rsid w:val="008D2B64"/>
    <w:rsid w:val="008D4FB4"/>
    <w:rsid w:val="008D5B99"/>
    <w:rsid w:val="008E05C4"/>
    <w:rsid w:val="008E12EB"/>
    <w:rsid w:val="008E634B"/>
    <w:rsid w:val="008E6918"/>
    <w:rsid w:val="008F1B2E"/>
    <w:rsid w:val="008F3145"/>
    <w:rsid w:val="008F4648"/>
    <w:rsid w:val="008F469C"/>
    <w:rsid w:val="008F478C"/>
    <w:rsid w:val="008F5C7F"/>
    <w:rsid w:val="008F5D4D"/>
    <w:rsid w:val="00900D2E"/>
    <w:rsid w:val="0090122D"/>
    <w:rsid w:val="00901919"/>
    <w:rsid w:val="0090239F"/>
    <w:rsid w:val="00902DDD"/>
    <w:rsid w:val="00903E64"/>
    <w:rsid w:val="00905DEC"/>
    <w:rsid w:val="009078F5"/>
    <w:rsid w:val="009119A3"/>
    <w:rsid w:val="009125C1"/>
    <w:rsid w:val="00914F8A"/>
    <w:rsid w:val="00915C78"/>
    <w:rsid w:val="00915D95"/>
    <w:rsid w:val="009169FC"/>
    <w:rsid w:val="009171B7"/>
    <w:rsid w:val="00917489"/>
    <w:rsid w:val="00920BC6"/>
    <w:rsid w:val="009229BF"/>
    <w:rsid w:val="009247BF"/>
    <w:rsid w:val="00931320"/>
    <w:rsid w:val="009316A9"/>
    <w:rsid w:val="00931F76"/>
    <w:rsid w:val="009323D2"/>
    <w:rsid w:val="0093315A"/>
    <w:rsid w:val="00933C32"/>
    <w:rsid w:val="00933FCF"/>
    <w:rsid w:val="009353F3"/>
    <w:rsid w:val="00936250"/>
    <w:rsid w:val="00936690"/>
    <w:rsid w:val="00936D72"/>
    <w:rsid w:val="0094028D"/>
    <w:rsid w:val="00943B39"/>
    <w:rsid w:val="009466AE"/>
    <w:rsid w:val="00946A05"/>
    <w:rsid w:val="00947631"/>
    <w:rsid w:val="00950170"/>
    <w:rsid w:val="00951C8F"/>
    <w:rsid w:val="00952E1B"/>
    <w:rsid w:val="0095453D"/>
    <w:rsid w:val="00956A92"/>
    <w:rsid w:val="00956C80"/>
    <w:rsid w:val="00956C8A"/>
    <w:rsid w:val="00957C85"/>
    <w:rsid w:val="00960498"/>
    <w:rsid w:val="00960D24"/>
    <w:rsid w:val="00963852"/>
    <w:rsid w:val="009649DE"/>
    <w:rsid w:val="00966A7A"/>
    <w:rsid w:val="00970B8B"/>
    <w:rsid w:val="009719BA"/>
    <w:rsid w:val="00971DAB"/>
    <w:rsid w:val="00971E8F"/>
    <w:rsid w:val="009722F2"/>
    <w:rsid w:val="009745B9"/>
    <w:rsid w:val="00974E60"/>
    <w:rsid w:val="00977EB3"/>
    <w:rsid w:val="00982705"/>
    <w:rsid w:val="0098336E"/>
    <w:rsid w:val="0098496F"/>
    <w:rsid w:val="00984CAC"/>
    <w:rsid w:val="00987B4F"/>
    <w:rsid w:val="0099150C"/>
    <w:rsid w:val="00991DE6"/>
    <w:rsid w:val="00995095"/>
    <w:rsid w:val="00995BBC"/>
    <w:rsid w:val="0099742D"/>
    <w:rsid w:val="009A2BC4"/>
    <w:rsid w:val="009A3809"/>
    <w:rsid w:val="009A4461"/>
    <w:rsid w:val="009A4B6C"/>
    <w:rsid w:val="009A52E6"/>
    <w:rsid w:val="009A57EE"/>
    <w:rsid w:val="009A7EAA"/>
    <w:rsid w:val="009B2EB8"/>
    <w:rsid w:val="009B6F02"/>
    <w:rsid w:val="009C21C2"/>
    <w:rsid w:val="009C2F39"/>
    <w:rsid w:val="009C3686"/>
    <w:rsid w:val="009C4896"/>
    <w:rsid w:val="009C4E5E"/>
    <w:rsid w:val="009C597C"/>
    <w:rsid w:val="009C6150"/>
    <w:rsid w:val="009C77C2"/>
    <w:rsid w:val="009D2BD8"/>
    <w:rsid w:val="009D5BA7"/>
    <w:rsid w:val="009D6854"/>
    <w:rsid w:val="009E1A34"/>
    <w:rsid w:val="009E3082"/>
    <w:rsid w:val="009E404B"/>
    <w:rsid w:val="009E6747"/>
    <w:rsid w:val="009E675E"/>
    <w:rsid w:val="009E6938"/>
    <w:rsid w:val="009E6ADD"/>
    <w:rsid w:val="009E7F19"/>
    <w:rsid w:val="009F0DB8"/>
    <w:rsid w:val="009F2F65"/>
    <w:rsid w:val="009F7873"/>
    <w:rsid w:val="009F7DB4"/>
    <w:rsid w:val="00A037F2"/>
    <w:rsid w:val="00A03C9B"/>
    <w:rsid w:val="00A046E3"/>
    <w:rsid w:val="00A05202"/>
    <w:rsid w:val="00A05E75"/>
    <w:rsid w:val="00A05F3A"/>
    <w:rsid w:val="00A0631D"/>
    <w:rsid w:val="00A06C12"/>
    <w:rsid w:val="00A12EB6"/>
    <w:rsid w:val="00A14129"/>
    <w:rsid w:val="00A169B9"/>
    <w:rsid w:val="00A17741"/>
    <w:rsid w:val="00A1783E"/>
    <w:rsid w:val="00A17D65"/>
    <w:rsid w:val="00A20DEB"/>
    <w:rsid w:val="00A25B00"/>
    <w:rsid w:val="00A3032E"/>
    <w:rsid w:val="00A3100A"/>
    <w:rsid w:val="00A32AC1"/>
    <w:rsid w:val="00A33E63"/>
    <w:rsid w:val="00A3459C"/>
    <w:rsid w:val="00A347F9"/>
    <w:rsid w:val="00A34A79"/>
    <w:rsid w:val="00A37326"/>
    <w:rsid w:val="00A40DDD"/>
    <w:rsid w:val="00A40F8D"/>
    <w:rsid w:val="00A41938"/>
    <w:rsid w:val="00A45072"/>
    <w:rsid w:val="00A4571A"/>
    <w:rsid w:val="00A45825"/>
    <w:rsid w:val="00A4605B"/>
    <w:rsid w:val="00A46874"/>
    <w:rsid w:val="00A476C7"/>
    <w:rsid w:val="00A47BA5"/>
    <w:rsid w:val="00A503BF"/>
    <w:rsid w:val="00A526E2"/>
    <w:rsid w:val="00A52857"/>
    <w:rsid w:val="00A52D01"/>
    <w:rsid w:val="00A52E40"/>
    <w:rsid w:val="00A5684E"/>
    <w:rsid w:val="00A56EA0"/>
    <w:rsid w:val="00A576C5"/>
    <w:rsid w:val="00A57C89"/>
    <w:rsid w:val="00A6043F"/>
    <w:rsid w:val="00A60CD6"/>
    <w:rsid w:val="00A62AF9"/>
    <w:rsid w:val="00A65659"/>
    <w:rsid w:val="00A66385"/>
    <w:rsid w:val="00A73D7F"/>
    <w:rsid w:val="00A75A15"/>
    <w:rsid w:val="00A76167"/>
    <w:rsid w:val="00A7716D"/>
    <w:rsid w:val="00A77622"/>
    <w:rsid w:val="00A77B99"/>
    <w:rsid w:val="00A817F6"/>
    <w:rsid w:val="00A81867"/>
    <w:rsid w:val="00A82256"/>
    <w:rsid w:val="00A833C4"/>
    <w:rsid w:val="00A83DFD"/>
    <w:rsid w:val="00A87B67"/>
    <w:rsid w:val="00A902C5"/>
    <w:rsid w:val="00A92A90"/>
    <w:rsid w:val="00A93142"/>
    <w:rsid w:val="00A94206"/>
    <w:rsid w:val="00A946FE"/>
    <w:rsid w:val="00A94AAA"/>
    <w:rsid w:val="00A9537E"/>
    <w:rsid w:val="00A955D1"/>
    <w:rsid w:val="00A97A6F"/>
    <w:rsid w:val="00AA1EB7"/>
    <w:rsid w:val="00AA2EF2"/>
    <w:rsid w:val="00AA4774"/>
    <w:rsid w:val="00AA5A40"/>
    <w:rsid w:val="00AA6D13"/>
    <w:rsid w:val="00AA76F8"/>
    <w:rsid w:val="00AA7896"/>
    <w:rsid w:val="00AB1F96"/>
    <w:rsid w:val="00AB2876"/>
    <w:rsid w:val="00AB3812"/>
    <w:rsid w:val="00AB452A"/>
    <w:rsid w:val="00AB4B30"/>
    <w:rsid w:val="00AB51E5"/>
    <w:rsid w:val="00AB6147"/>
    <w:rsid w:val="00AB6730"/>
    <w:rsid w:val="00AB6D5E"/>
    <w:rsid w:val="00AB6F3A"/>
    <w:rsid w:val="00AC0106"/>
    <w:rsid w:val="00AC0D68"/>
    <w:rsid w:val="00AC4301"/>
    <w:rsid w:val="00AC4D97"/>
    <w:rsid w:val="00AC7EE7"/>
    <w:rsid w:val="00AD021D"/>
    <w:rsid w:val="00AD0754"/>
    <w:rsid w:val="00AD0C85"/>
    <w:rsid w:val="00AD0DE8"/>
    <w:rsid w:val="00AD242E"/>
    <w:rsid w:val="00AD2956"/>
    <w:rsid w:val="00AD2FB1"/>
    <w:rsid w:val="00AD6083"/>
    <w:rsid w:val="00AD6446"/>
    <w:rsid w:val="00AE1A0A"/>
    <w:rsid w:val="00AE1E1E"/>
    <w:rsid w:val="00AE347F"/>
    <w:rsid w:val="00AE5493"/>
    <w:rsid w:val="00AE5EFD"/>
    <w:rsid w:val="00AE6FE2"/>
    <w:rsid w:val="00AE7158"/>
    <w:rsid w:val="00AE7914"/>
    <w:rsid w:val="00AE7F0F"/>
    <w:rsid w:val="00AF00FE"/>
    <w:rsid w:val="00AF0C9E"/>
    <w:rsid w:val="00AF2DC8"/>
    <w:rsid w:val="00AF2E70"/>
    <w:rsid w:val="00AF3E8C"/>
    <w:rsid w:val="00AF3EAE"/>
    <w:rsid w:val="00B01095"/>
    <w:rsid w:val="00B01B0D"/>
    <w:rsid w:val="00B02908"/>
    <w:rsid w:val="00B04A7A"/>
    <w:rsid w:val="00B05A6A"/>
    <w:rsid w:val="00B06465"/>
    <w:rsid w:val="00B066D8"/>
    <w:rsid w:val="00B0701E"/>
    <w:rsid w:val="00B071C1"/>
    <w:rsid w:val="00B076EA"/>
    <w:rsid w:val="00B07BFA"/>
    <w:rsid w:val="00B102B4"/>
    <w:rsid w:val="00B1038F"/>
    <w:rsid w:val="00B1134C"/>
    <w:rsid w:val="00B13349"/>
    <w:rsid w:val="00B141B6"/>
    <w:rsid w:val="00B1543D"/>
    <w:rsid w:val="00B20E90"/>
    <w:rsid w:val="00B217FD"/>
    <w:rsid w:val="00B23A5C"/>
    <w:rsid w:val="00B2419E"/>
    <w:rsid w:val="00B251CE"/>
    <w:rsid w:val="00B264EB"/>
    <w:rsid w:val="00B26747"/>
    <w:rsid w:val="00B30AA5"/>
    <w:rsid w:val="00B324C9"/>
    <w:rsid w:val="00B33F5C"/>
    <w:rsid w:val="00B350BB"/>
    <w:rsid w:val="00B36287"/>
    <w:rsid w:val="00B36CB3"/>
    <w:rsid w:val="00B40D61"/>
    <w:rsid w:val="00B44864"/>
    <w:rsid w:val="00B46012"/>
    <w:rsid w:val="00B46353"/>
    <w:rsid w:val="00B47001"/>
    <w:rsid w:val="00B471F7"/>
    <w:rsid w:val="00B47310"/>
    <w:rsid w:val="00B47CBF"/>
    <w:rsid w:val="00B5047B"/>
    <w:rsid w:val="00B50B85"/>
    <w:rsid w:val="00B510F3"/>
    <w:rsid w:val="00B525A6"/>
    <w:rsid w:val="00B53849"/>
    <w:rsid w:val="00B546C0"/>
    <w:rsid w:val="00B57708"/>
    <w:rsid w:val="00B60235"/>
    <w:rsid w:val="00B606D7"/>
    <w:rsid w:val="00B6534B"/>
    <w:rsid w:val="00B659A7"/>
    <w:rsid w:val="00B65FB1"/>
    <w:rsid w:val="00B66CA1"/>
    <w:rsid w:val="00B70F77"/>
    <w:rsid w:val="00B74183"/>
    <w:rsid w:val="00B74BEA"/>
    <w:rsid w:val="00B75562"/>
    <w:rsid w:val="00B76B57"/>
    <w:rsid w:val="00B7789A"/>
    <w:rsid w:val="00B77F22"/>
    <w:rsid w:val="00B80102"/>
    <w:rsid w:val="00B812B7"/>
    <w:rsid w:val="00B81622"/>
    <w:rsid w:val="00B81A0C"/>
    <w:rsid w:val="00B824BD"/>
    <w:rsid w:val="00B83DA6"/>
    <w:rsid w:val="00B85925"/>
    <w:rsid w:val="00B85C4C"/>
    <w:rsid w:val="00B8606B"/>
    <w:rsid w:val="00B909B5"/>
    <w:rsid w:val="00B91BF5"/>
    <w:rsid w:val="00B94023"/>
    <w:rsid w:val="00B95793"/>
    <w:rsid w:val="00B96E79"/>
    <w:rsid w:val="00B974CF"/>
    <w:rsid w:val="00B974DF"/>
    <w:rsid w:val="00B97767"/>
    <w:rsid w:val="00BA0D99"/>
    <w:rsid w:val="00BA1F6F"/>
    <w:rsid w:val="00BA2565"/>
    <w:rsid w:val="00BA304E"/>
    <w:rsid w:val="00BA3461"/>
    <w:rsid w:val="00BA5740"/>
    <w:rsid w:val="00BA66C1"/>
    <w:rsid w:val="00BA7CA1"/>
    <w:rsid w:val="00BB1207"/>
    <w:rsid w:val="00BB23C2"/>
    <w:rsid w:val="00BB2796"/>
    <w:rsid w:val="00BB46DD"/>
    <w:rsid w:val="00BB69AA"/>
    <w:rsid w:val="00BC085C"/>
    <w:rsid w:val="00BC2E9F"/>
    <w:rsid w:val="00BC3FFD"/>
    <w:rsid w:val="00BC48C5"/>
    <w:rsid w:val="00BC53B6"/>
    <w:rsid w:val="00BC5B57"/>
    <w:rsid w:val="00BC74B2"/>
    <w:rsid w:val="00BD0C01"/>
    <w:rsid w:val="00BD2EE6"/>
    <w:rsid w:val="00BD374D"/>
    <w:rsid w:val="00BD3D46"/>
    <w:rsid w:val="00BD5660"/>
    <w:rsid w:val="00BE1724"/>
    <w:rsid w:val="00BE1BF6"/>
    <w:rsid w:val="00BF1D24"/>
    <w:rsid w:val="00BF23E1"/>
    <w:rsid w:val="00BF2A03"/>
    <w:rsid w:val="00BF3BE7"/>
    <w:rsid w:val="00BF44A1"/>
    <w:rsid w:val="00BF6131"/>
    <w:rsid w:val="00BF78A9"/>
    <w:rsid w:val="00C00C24"/>
    <w:rsid w:val="00C01EF8"/>
    <w:rsid w:val="00C01FE9"/>
    <w:rsid w:val="00C02CC4"/>
    <w:rsid w:val="00C02D3A"/>
    <w:rsid w:val="00C03461"/>
    <w:rsid w:val="00C05584"/>
    <w:rsid w:val="00C0576F"/>
    <w:rsid w:val="00C10D2A"/>
    <w:rsid w:val="00C10FFF"/>
    <w:rsid w:val="00C11FD9"/>
    <w:rsid w:val="00C12C73"/>
    <w:rsid w:val="00C134FD"/>
    <w:rsid w:val="00C13823"/>
    <w:rsid w:val="00C1423C"/>
    <w:rsid w:val="00C147AD"/>
    <w:rsid w:val="00C158DA"/>
    <w:rsid w:val="00C15F64"/>
    <w:rsid w:val="00C17944"/>
    <w:rsid w:val="00C2296F"/>
    <w:rsid w:val="00C23123"/>
    <w:rsid w:val="00C236FF"/>
    <w:rsid w:val="00C26FF4"/>
    <w:rsid w:val="00C308AE"/>
    <w:rsid w:val="00C30DCE"/>
    <w:rsid w:val="00C31012"/>
    <w:rsid w:val="00C321BE"/>
    <w:rsid w:val="00C33BB0"/>
    <w:rsid w:val="00C3442F"/>
    <w:rsid w:val="00C3453E"/>
    <w:rsid w:val="00C35240"/>
    <w:rsid w:val="00C36478"/>
    <w:rsid w:val="00C3685B"/>
    <w:rsid w:val="00C37831"/>
    <w:rsid w:val="00C379EA"/>
    <w:rsid w:val="00C418EC"/>
    <w:rsid w:val="00C41B0A"/>
    <w:rsid w:val="00C41B94"/>
    <w:rsid w:val="00C41EF2"/>
    <w:rsid w:val="00C447D4"/>
    <w:rsid w:val="00C46BC9"/>
    <w:rsid w:val="00C510A9"/>
    <w:rsid w:val="00C51C18"/>
    <w:rsid w:val="00C54792"/>
    <w:rsid w:val="00C55341"/>
    <w:rsid w:val="00C57197"/>
    <w:rsid w:val="00C60B5F"/>
    <w:rsid w:val="00C626EB"/>
    <w:rsid w:val="00C62C62"/>
    <w:rsid w:val="00C65043"/>
    <w:rsid w:val="00C65752"/>
    <w:rsid w:val="00C6741D"/>
    <w:rsid w:val="00C67C83"/>
    <w:rsid w:val="00C708B8"/>
    <w:rsid w:val="00C7254E"/>
    <w:rsid w:val="00C7388B"/>
    <w:rsid w:val="00C73BA7"/>
    <w:rsid w:val="00C73C7A"/>
    <w:rsid w:val="00C74F57"/>
    <w:rsid w:val="00C74F73"/>
    <w:rsid w:val="00C752ED"/>
    <w:rsid w:val="00C77FAF"/>
    <w:rsid w:val="00C8296B"/>
    <w:rsid w:val="00C8343A"/>
    <w:rsid w:val="00C83FBE"/>
    <w:rsid w:val="00C84AB3"/>
    <w:rsid w:val="00C85342"/>
    <w:rsid w:val="00C86712"/>
    <w:rsid w:val="00C901A2"/>
    <w:rsid w:val="00C9053E"/>
    <w:rsid w:val="00C92795"/>
    <w:rsid w:val="00C93EC2"/>
    <w:rsid w:val="00C9747E"/>
    <w:rsid w:val="00CA009F"/>
    <w:rsid w:val="00CA1393"/>
    <w:rsid w:val="00CA3636"/>
    <w:rsid w:val="00CA4DE9"/>
    <w:rsid w:val="00CA52C6"/>
    <w:rsid w:val="00CA5B69"/>
    <w:rsid w:val="00CA67CF"/>
    <w:rsid w:val="00CA7EA2"/>
    <w:rsid w:val="00CB06D5"/>
    <w:rsid w:val="00CB133C"/>
    <w:rsid w:val="00CB17E3"/>
    <w:rsid w:val="00CB3F34"/>
    <w:rsid w:val="00CB428B"/>
    <w:rsid w:val="00CB42C7"/>
    <w:rsid w:val="00CB4E8C"/>
    <w:rsid w:val="00CB73FE"/>
    <w:rsid w:val="00CB7504"/>
    <w:rsid w:val="00CC046B"/>
    <w:rsid w:val="00CC251E"/>
    <w:rsid w:val="00CC2639"/>
    <w:rsid w:val="00CC3A14"/>
    <w:rsid w:val="00CC491A"/>
    <w:rsid w:val="00CC650D"/>
    <w:rsid w:val="00CC7BE7"/>
    <w:rsid w:val="00CC7E3F"/>
    <w:rsid w:val="00CD06CD"/>
    <w:rsid w:val="00CD15FF"/>
    <w:rsid w:val="00CD1FFC"/>
    <w:rsid w:val="00CD35A9"/>
    <w:rsid w:val="00CD36B4"/>
    <w:rsid w:val="00CD402F"/>
    <w:rsid w:val="00CD5B0E"/>
    <w:rsid w:val="00CD66A6"/>
    <w:rsid w:val="00CD6B78"/>
    <w:rsid w:val="00CE0A5C"/>
    <w:rsid w:val="00CE28F3"/>
    <w:rsid w:val="00CE2E38"/>
    <w:rsid w:val="00CE35D6"/>
    <w:rsid w:val="00CE3E2A"/>
    <w:rsid w:val="00CE3F6B"/>
    <w:rsid w:val="00CE45E7"/>
    <w:rsid w:val="00CE68BB"/>
    <w:rsid w:val="00CF020C"/>
    <w:rsid w:val="00CF0959"/>
    <w:rsid w:val="00CF0CDB"/>
    <w:rsid w:val="00CF3177"/>
    <w:rsid w:val="00CF49F7"/>
    <w:rsid w:val="00CF501B"/>
    <w:rsid w:val="00D000CB"/>
    <w:rsid w:val="00D00C15"/>
    <w:rsid w:val="00D01896"/>
    <w:rsid w:val="00D049B3"/>
    <w:rsid w:val="00D04BB0"/>
    <w:rsid w:val="00D0508F"/>
    <w:rsid w:val="00D05442"/>
    <w:rsid w:val="00D0588E"/>
    <w:rsid w:val="00D1009B"/>
    <w:rsid w:val="00D10CF1"/>
    <w:rsid w:val="00D1452E"/>
    <w:rsid w:val="00D15035"/>
    <w:rsid w:val="00D16DC4"/>
    <w:rsid w:val="00D171FF"/>
    <w:rsid w:val="00D174CF"/>
    <w:rsid w:val="00D213CE"/>
    <w:rsid w:val="00D21709"/>
    <w:rsid w:val="00D23D17"/>
    <w:rsid w:val="00D2424D"/>
    <w:rsid w:val="00D25C4C"/>
    <w:rsid w:val="00D25D62"/>
    <w:rsid w:val="00D263F7"/>
    <w:rsid w:val="00D269E9"/>
    <w:rsid w:val="00D26A71"/>
    <w:rsid w:val="00D26ADC"/>
    <w:rsid w:val="00D302B6"/>
    <w:rsid w:val="00D309D9"/>
    <w:rsid w:val="00D33F76"/>
    <w:rsid w:val="00D3539A"/>
    <w:rsid w:val="00D35BC6"/>
    <w:rsid w:val="00D366E8"/>
    <w:rsid w:val="00D3766E"/>
    <w:rsid w:val="00D40E1E"/>
    <w:rsid w:val="00D41500"/>
    <w:rsid w:val="00D42799"/>
    <w:rsid w:val="00D42B18"/>
    <w:rsid w:val="00D42CEC"/>
    <w:rsid w:val="00D44BF4"/>
    <w:rsid w:val="00D44EF2"/>
    <w:rsid w:val="00D46256"/>
    <w:rsid w:val="00D47A0B"/>
    <w:rsid w:val="00D52FC5"/>
    <w:rsid w:val="00D53EEE"/>
    <w:rsid w:val="00D54ECA"/>
    <w:rsid w:val="00D55B0C"/>
    <w:rsid w:val="00D56820"/>
    <w:rsid w:val="00D61465"/>
    <w:rsid w:val="00D61DBF"/>
    <w:rsid w:val="00D647E8"/>
    <w:rsid w:val="00D65C5D"/>
    <w:rsid w:val="00D6612C"/>
    <w:rsid w:val="00D66D82"/>
    <w:rsid w:val="00D67059"/>
    <w:rsid w:val="00D70E45"/>
    <w:rsid w:val="00D7164A"/>
    <w:rsid w:val="00D723F8"/>
    <w:rsid w:val="00D72937"/>
    <w:rsid w:val="00D747E8"/>
    <w:rsid w:val="00D750C8"/>
    <w:rsid w:val="00D75ABC"/>
    <w:rsid w:val="00D75D93"/>
    <w:rsid w:val="00D76825"/>
    <w:rsid w:val="00D81CBA"/>
    <w:rsid w:val="00D8365E"/>
    <w:rsid w:val="00D83F38"/>
    <w:rsid w:val="00D84279"/>
    <w:rsid w:val="00D86E26"/>
    <w:rsid w:val="00D86EC8"/>
    <w:rsid w:val="00D8723C"/>
    <w:rsid w:val="00D9124A"/>
    <w:rsid w:val="00D9199C"/>
    <w:rsid w:val="00D925B2"/>
    <w:rsid w:val="00D925B6"/>
    <w:rsid w:val="00D9361A"/>
    <w:rsid w:val="00D9400E"/>
    <w:rsid w:val="00D946B5"/>
    <w:rsid w:val="00D96C35"/>
    <w:rsid w:val="00D974B8"/>
    <w:rsid w:val="00D97947"/>
    <w:rsid w:val="00D97CB5"/>
    <w:rsid w:val="00DA01E7"/>
    <w:rsid w:val="00DA32B2"/>
    <w:rsid w:val="00DA48D1"/>
    <w:rsid w:val="00DA490B"/>
    <w:rsid w:val="00DA5689"/>
    <w:rsid w:val="00DA5F98"/>
    <w:rsid w:val="00DB0AD1"/>
    <w:rsid w:val="00DB2D91"/>
    <w:rsid w:val="00DB388A"/>
    <w:rsid w:val="00DB3DDD"/>
    <w:rsid w:val="00DB4E23"/>
    <w:rsid w:val="00DB58CF"/>
    <w:rsid w:val="00DB5E46"/>
    <w:rsid w:val="00DB6496"/>
    <w:rsid w:val="00DC31E0"/>
    <w:rsid w:val="00DC423C"/>
    <w:rsid w:val="00DC52A0"/>
    <w:rsid w:val="00DC530F"/>
    <w:rsid w:val="00DC624A"/>
    <w:rsid w:val="00DC64C8"/>
    <w:rsid w:val="00DC69D2"/>
    <w:rsid w:val="00DC6F0B"/>
    <w:rsid w:val="00DC72F4"/>
    <w:rsid w:val="00DD0994"/>
    <w:rsid w:val="00DD41A5"/>
    <w:rsid w:val="00DD518A"/>
    <w:rsid w:val="00DD5D3F"/>
    <w:rsid w:val="00DD6795"/>
    <w:rsid w:val="00DE1496"/>
    <w:rsid w:val="00DE285C"/>
    <w:rsid w:val="00DE2ED7"/>
    <w:rsid w:val="00DE4503"/>
    <w:rsid w:val="00DF0105"/>
    <w:rsid w:val="00DF1AD2"/>
    <w:rsid w:val="00DF3C3F"/>
    <w:rsid w:val="00DF46F5"/>
    <w:rsid w:val="00DF6443"/>
    <w:rsid w:val="00DF793C"/>
    <w:rsid w:val="00DF7D95"/>
    <w:rsid w:val="00DF7E53"/>
    <w:rsid w:val="00E0138E"/>
    <w:rsid w:val="00E02523"/>
    <w:rsid w:val="00E0288B"/>
    <w:rsid w:val="00E037F3"/>
    <w:rsid w:val="00E0519F"/>
    <w:rsid w:val="00E1019E"/>
    <w:rsid w:val="00E11E43"/>
    <w:rsid w:val="00E130B5"/>
    <w:rsid w:val="00E133F8"/>
    <w:rsid w:val="00E139F0"/>
    <w:rsid w:val="00E14AAB"/>
    <w:rsid w:val="00E153F5"/>
    <w:rsid w:val="00E154DA"/>
    <w:rsid w:val="00E15E99"/>
    <w:rsid w:val="00E220FE"/>
    <w:rsid w:val="00E228C0"/>
    <w:rsid w:val="00E23380"/>
    <w:rsid w:val="00E23971"/>
    <w:rsid w:val="00E24712"/>
    <w:rsid w:val="00E25DC8"/>
    <w:rsid w:val="00E25E47"/>
    <w:rsid w:val="00E27AB2"/>
    <w:rsid w:val="00E3260F"/>
    <w:rsid w:val="00E3367B"/>
    <w:rsid w:val="00E34FBF"/>
    <w:rsid w:val="00E37447"/>
    <w:rsid w:val="00E41717"/>
    <w:rsid w:val="00E43125"/>
    <w:rsid w:val="00E43457"/>
    <w:rsid w:val="00E4410D"/>
    <w:rsid w:val="00E44275"/>
    <w:rsid w:val="00E46EBD"/>
    <w:rsid w:val="00E475B9"/>
    <w:rsid w:val="00E47606"/>
    <w:rsid w:val="00E5019D"/>
    <w:rsid w:val="00E52D0A"/>
    <w:rsid w:val="00E5412E"/>
    <w:rsid w:val="00E541EF"/>
    <w:rsid w:val="00E55490"/>
    <w:rsid w:val="00E55C7A"/>
    <w:rsid w:val="00E62B78"/>
    <w:rsid w:val="00E62CDD"/>
    <w:rsid w:val="00E63872"/>
    <w:rsid w:val="00E63B11"/>
    <w:rsid w:val="00E645CA"/>
    <w:rsid w:val="00E65E95"/>
    <w:rsid w:val="00E706EE"/>
    <w:rsid w:val="00E74589"/>
    <w:rsid w:val="00E7471B"/>
    <w:rsid w:val="00E753E2"/>
    <w:rsid w:val="00E75AA9"/>
    <w:rsid w:val="00E75F0F"/>
    <w:rsid w:val="00E76CA3"/>
    <w:rsid w:val="00E8041B"/>
    <w:rsid w:val="00E804C1"/>
    <w:rsid w:val="00E815C8"/>
    <w:rsid w:val="00E8170A"/>
    <w:rsid w:val="00E81E4A"/>
    <w:rsid w:val="00E831D3"/>
    <w:rsid w:val="00E84ACD"/>
    <w:rsid w:val="00E84C04"/>
    <w:rsid w:val="00E857B2"/>
    <w:rsid w:val="00E86115"/>
    <w:rsid w:val="00E8756E"/>
    <w:rsid w:val="00E87596"/>
    <w:rsid w:val="00E9099E"/>
    <w:rsid w:val="00E92D13"/>
    <w:rsid w:val="00E93909"/>
    <w:rsid w:val="00E955D1"/>
    <w:rsid w:val="00E95CD1"/>
    <w:rsid w:val="00E97364"/>
    <w:rsid w:val="00E976B8"/>
    <w:rsid w:val="00EA0D69"/>
    <w:rsid w:val="00EA0FAE"/>
    <w:rsid w:val="00EA26FD"/>
    <w:rsid w:val="00EA3D1D"/>
    <w:rsid w:val="00EA5759"/>
    <w:rsid w:val="00EA62D7"/>
    <w:rsid w:val="00EB333A"/>
    <w:rsid w:val="00EB4B20"/>
    <w:rsid w:val="00EB70C0"/>
    <w:rsid w:val="00EC09E3"/>
    <w:rsid w:val="00EC39BE"/>
    <w:rsid w:val="00EC42D6"/>
    <w:rsid w:val="00EC6313"/>
    <w:rsid w:val="00EC7DA6"/>
    <w:rsid w:val="00ED02FD"/>
    <w:rsid w:val="00ED0C07"/>
    <w:rsid w:val="00ED1334"/>
    <w:rsid w:val="00ED14F9"/>
    <w:rsid w:val="00ED1689"/>
    <w:rsid w:val="00ED2A7A"/>
    <w:rsid w:val="00ED32FA"/>
    <w:rsid w:val="00ED400C"/>
    <w:rsid w:val="00ED474C"/>
    <w:rsid w:val="00ED5D7D"/>
    <w:rsid w:val="00ED6643"/>
    <w:rsid w:val="00ED7C0E"/>
    <w:rsid w:val="00EE1F6F"/>
    <w:rsid w:val="00EE2839"/>
    <w:rsid w:val="00EE30F6"/>
    <w:rsid w:val="00EE55EE"/>
    <w:rsid w:val="00EE5645"/>
    <w:rsid w:val="00EE7210"/>
    <w:rsid w:val="00EE7FF1"/>
    <w:rsid w:val="00EF0980"/>
    <w:rsid w:val="00EF2040"/>
    <w:rsid w:val="00EF42AF"/>
    <w:rsid w:val="00EF4544"/>
    <w:rsid w:val="00EF511B"/>
    <w:rsid w:val="00EF65CA"/>
    <w:rsid w:val="00EF759C"/>
    <w:rsid w:val="00F008F1"/>
    <w:rsid w:val="00F0185B"/>
    <w:rsid w:val="00F021AB"/>
    <w:rsid w:val="00F03DCC"/>
    <w:rsid w:val="00F050E5"/>
    <w:rsid w:val="00F0700A"/>
    <w:rsid w:val="00F07AF4"/>
    <w:rsid w:val="00F1037C"/>
    <w:rsid w:val="00F114CC"/>
    <w:rsid w:val="00F12044"/>
    <w:rsid w:val="00F128DC"/>
    <w:rsid w:val="00F13AB1"/>
    <w:rsid w:val="00F14D3A"/>
    <w:rsid w:val="00F20D2C"/>
    <w:rsid w:val="00F217C6"/>
    <w:rsid w:val="00F2198D"/>
    <w:rsid w:val="00F219A5"/>
    <w:rsid w:val="00F21E6F"/>
    <w:rsid w:val="00F22D0F"/>
    <w:rsid w:val="00F23174"/>
    <w:rsid w:val="00F2336D"/>
    <w:rsid w:val="00F2604B"/>
    <w:rsid w:val="00F26ECB"/>
    <w:rsid w:val="00F27F12"/>
    <w:rsid w:val="00F30373"/>
    <w:rsid w:val="00F312ED"/>
    <w:rsid w:val="00F331E0"/>
    <w:rsid w:val="00F335EF"/>
    <w:rsid w:val="00F3544F"/>
    <w:rsid w:val="00F36074"/>
    <w:rsid w:val="00F376B2"/>
    <w:rsid w:val="00F416AA"/>
    <w:rsid w:val="00F41F68"/>
    <w:rsid w:val="00F4282A"/>
    <w:rsid w:val="00F428BC"/>
    <w:rsid w:val="00F456B6"/>
    <w:rsid w:val="00F46187"/>
    <w:rsid w:val="00F467FE"/>
    <w:rsid w:val="00F47AC8"/>
    <w:rsid w:val="00F51440"/>
    <w:rsid w:val="00F52B74"/>
    <w:rsid w:val="00F52E32"/>
    <w:rsid w:val="00F53A4A"/>
    <w:rsid w:val="00F543E5"/>
    <w:rsid w:val="00F56BE2"/>
    <w:rsid w:val="00F57020"/>
    <w:rsid w:val="00F5773D"/>
    <w:rsid w:val="00F578D3"/>
    <w:rsid w:val="00F57C1A"/>
    <w:rsid w:val="00F60646"/>
    <w:rsid w:val="00F6298B"/>
    <w:rsid w:val="00F63510"/>
    <w:rsid w:val="00F637CF"/>
    <w:rsid w:val="00F63B32"/>
    <w:rsid w:val="00F64E11"/>
    <w:rsid w:val="00F6506F"/>
    <w:rsid w:val="00F6557D"/>
    <w:rsid w:val="00F655DE"/>
    <w:rsid w:val="00F67DC4"/>
    <w:rsid w:val="00F67DF6"/>
    <w:rsid w:val="00F70D6A"/>
    <w:rsid w:val="00F72086"/>
    <w:rsid w:val="00F721B2"/>
    <w:rsid w:val="00F729AA"/>
    <w:rsid w:val="00F73F06"/>
    <w:rsid w:val="00F74632"/>
    <w:rsid w:val="00F76896"/>
    <w:rsid w:val="00F770D5"/>
    <w:rsid w:val="00F8108C"/>
    <w:rsid w:val="00F814C5"/>
    <w:rsid w:val="00F81E88"/>
    <w:rsid w:val="00F82BD1"/>
    <w:rsid w:val="00F83722"/>
    <w:rsid w:val="00F8380E"/>
    <w:rsid w:val="00F83A52"/>
    <w:rsid w:val="00F86F20"/>
    <w:rsid w:val="00F873CE"/>
    <w:rsid w:val="00F876D6"/>
    <w:rsid w:val="00F90B94"/>
    <w:rsid w:val="00F915FE"/>
    <w:rsid w:val="00F91C2B"/>
    <w:rsid w:val="00F9442F"/>
    <w:rsid w:val="00F949F4"/>
    <w:rsid w:val="00F94FD7"/>
    <w:rsid w:val="00F95406"/>
    <w:rsid w:val="00F95947"/>
    <w:rsid w:val="00F96201"/>
    <w:rsid w:val="00F97DEB"/>
    <w:rsid w:val="00FA0265"/>
    <w:rsid w:val="00FA128E"/>
    <w:rsid w:val="00FA2476"/>
    <w:rsid w:val="00FA49DD"/>
    <w:rsid w:val="00FA4D6B"/>
    <w:rsid w:val="00FA62C8"/>
    <w:rsid w:val="00FA6437"/>
    <w:rsid w:val="00FA73FD"/>
    <w:rsid w:val="00FA7EB0"/>
    <w:rsid w:val="00FB0DC8"/>
    <w:rsid w:val="00FB2B2E"/>
    <w:rsid w:val="00FB374D"/>
    <w:rsid w:val="00FB68BA"/>
    <w:rsid w:val="00FB6D69"/>
    <w:rsid w:val="00FB79B4"/>
    <w:rsid w:val="00FC260D"/>
    <w:rsid w:val="00FC31A0"/>
    <w:rsid w:val="00FC5271"/>
    <w:rsid w:val="00FC627F"/>
    <w:rsid w:val="00FD1905"/>
    <w:rsid w:val="00FD2D04"/>
    <w:rsid w:val="00FD3871"/>
    <w:rsid w:val="00FD4A89"/>
    <w:rsid w:val="00FD5852"/>
    <w:rsid w:val="00FD7423"/>
    <w:rsid w:val="00FD7FE6"/>
    <w:rsid w:val="00FE1A0B"/>
    <w:rsid w:val="00FE21F9"/>
    <w:rsid w:val="00FE3618"/>
    <w:rsid w:val="00FE4143"/>
    <w:rsid w:val="00FE54C2"/>
    <w:rsid w:val="00FE63B8"/>
    <w:rsid w:val="00FE6A2D"/>
    <w:rsid w:val="00FE70CD"/>
    <w:rsid w:val="00FE7AFE"/>
    <w:rsid w:val="00FF05DB"/>
    <w:rsid w:val="00FF18EC"/>
    <w:rsid w:val="00FF2CAF"/>
    <w:rsid w:val="00FF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7505B"/>
  <w15:chartTrackingRefBased/>
  <w15:docId w15:val="{3505AAF5-C59B-F943-B81B-13F3DF92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E6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9AA"/>
    <w:pPr>
      <w:keepNext/>
      <w:keepLines/>
      <w:spacing w:before="120" w:after="120" w:line="259" w:lineRule="auto"/>
      <w:outlineLvl w:val="0"/>
    </w:pPr>
    <w:rPr>
      <w:rFonts w:ascii="Arial" w:eastAsia="Calibri" w:hAnsi="Arial" w:cs="Calibri"/>
      <w:b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E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1A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5C4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GB"/>
    </w:rPr>
  </w:style>
  <w:style w:type="paragraph" w:customStyle="1" w:styleId="EndNoteBibliographyTitle">
    <w:name w:val="EndNote Bibliography Title"/>
    <w:basedOn w:val="Normal"/>
    <w:link w:val="EndNoteBibliographyTitleChar"/>
    <w:rsid w:val="00890201"/>
    <w:pPr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90201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890201"/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90201"/>
    <w:rPr>
      <w:rFonts w:ascii="Calibri" w:hAnsi="Calibri" w:cs="Calibri"/>
    </w:rPr>
  </w:style>
  <w:style w:type="character" w:customStyle="1" w:styleId="apple-converted-space">
    <w:name w:val="apple-converted-space"/>
    <w:basedOn w:val="DefaultParagraphFont"/>
    <w:rsid w:val="00890201"/>
  </w:style>
  <w:style w:type="character" w:styleId="Strong">
    <w:name w:val="Strong"/>
    <w:basedOn w:val="DefaultParagraphFont"/>
    <w:uiPriority w:val="22"/>
    <w:qFormat/>
    <w:rsid w:val="0089020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A4D6B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0EE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816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16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162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6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622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6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622"/>
    <w:rPr>
      <w:rFonts w:ascii="Times New Roman" w:hAnsi="Times New Roman" w:cs="Times New Roman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420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0B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420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0BC"/>
    <w:rPr>
      <w:lang w:val="en-GB"/>
    </w:rPr>
  </w:style>
  <w:style w:type="table" w:styleId="GridTable3-Accent1">
    <w:name w:val="Grid Table 3 Accent 1"/>
    <w:basedOn w:val="TableNormal"/>
    <w:uiPriority w:val="48"/>
    <w:rsid w:val="008A709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C59AA"/>
    <w:rPr>
      <w:rFonts w:ascii="Arial" w:eastAsia="Calibri" w:hAnsi="Arial" w:cs="Calibri"/>
      <w:b/>
      <w:szCs w:val="48"/>
      <w:lang w:val="en-GB" w:eastAsia="en-GB"/>
    </w:rPr>
  </w:style>
  <w:style w:type="table" w:styleId="TableGrid">
    <w:name w:val="Table Grid"/>
    <w:basedOn w:val="TableNormal"/>
    <w:uiPriority w:val="39"/>
    <w:rsid w:val="008C59AA"/>
    <w:rPr>
      <w:rFonts w:ascii="Calibri" w:eastAsia="Calibri" w:hAnsi="Calibri" w:cs="Calibri"/>
      <w:sz w:val="22"/>
      <w:szCs w:val="22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C59A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C59A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59AA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C59AA"/>
    <w:pPr>
      <w:ind w:left="480"/>
    </w:pPr>
    <w:rPr>
      <w:rFonts w:cstheme="minorHAnsi"/>
      <w:i/>
      <w:i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C251E"/>
  </w:style>
  <w:style w:type="paragraph" w:styleId="TableofFigures">
    <w:name w:val="table of figures"/>
    <w:basedOn w:val="Normal"/>
    <w:next w:val="Normal"/>
    <w:uiPriority w:val="99"/>
    <w:semiHidden/>
    <w:unhideWhenUsed/>
    <w:rsid w:val="00CC251E"/>
  </w:style>
  <w:style w:type="paragraph" w:styleId="TOC4">
    <w:name w:val="toc 4"/>
    <w:basedOn w:val="Normal"/>
    <w:next w:val="Normal"/>
    <w:autoRedefine/>
    <w:uiPriority w:val="39"/>
    <w:semiHidden/>
    <w:unhideWhenUsed/>
    <w:rsid w:val="0071432F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432F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432F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432F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432F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432F"/>
    <w:pPr>
      <w:ind w:left="192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B02908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02908"/>
    <w:rPr>
      <w:rFonts w:eastAsiaTheme="minorEastAsia"/>
      <w:sz w:val="22"/>
      <w:szCs w:val="22"/>
      <w:lang w:eastAsia="zh-C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9579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A3809"/>
    <w:rPr>
      <w:color w:val="808080"/>
    </w:rPr>
  </w:style>
  <w:style w:type="character" w:customStyle="1" w:styleId="fontstyle01">
    <w:name w:val="fontstyle01"/>
    <w:basedOn w:val="DefaultParagraphFont"/>
    <w:rsid w:val="00C7388B"/>
    <w:rPr>
      <w:rFonts w:ascii="Times-Italic" w:hAnsi="Times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C7388B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C418EC"/>
  </w:style>
  <w:style w:type="character" w:styleId="UnresolvedMention">
    <w:name w:val="Unresolved Mention"/>
    <w:basedOn w:val="DefaultParagraphFont"/>
    <w:uiPriority w:val="99"/>
    <w:semiHidden/>
    <w:unhideWhenUsed/>
    <w:rsid w:val="00B65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6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1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7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2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137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2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8755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openxmlformats.org/officeDocument/2006/relationships/numbering" Target="numbering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Bro14</b:Tag>
    <b:SourceType>Book</b:SourceType>
    <b:Guid>{61E03686-43DF-4E2C-BB23-25634E40AA1C}</b:Guid>
    <b:Author>
      <b:Author>
        <b:NameList>
          <b:Person>
            <b:Last>Brooks</b:Last>
            <b:First>Chris</b:First>
          </b:Person>
        </b:NameList>
      </b:Author>
    </b:Author>
    <b:Title>Introductory Econometrics for Finance</b:Title>
    <b:Year>2014</b:Year>
    <b:City>New York</b:City>
    <b:Publisher>Cambridge University Press</b:Publisher>
    <b:Edition>3rd</b:Edition>
    <b:StateProvince>Cambridge</b:StateProvinc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454A61-3182-4057-BD14-BD662F522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4168</TotalTime>
  <Pages>11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Thuy Nguyen (s5220439)</dc:creator>
  <cp:keywords/>
  <dc:description/>
  <cp:lastModifiedBy>Nhàn Dương</cp:lastModifiedBy>
  <cp:revision>1779</cp:revision>
  <dcterms:created xsi:type="dcterms:W3CDTF">2020-05-09T13:15:00Z</dcterms:created>
  <dcterms:modified xsi:type="dcterms:W3CDTF">2022-06-21T21:55:00Z</dcterms:modified>
</cp:coreProperties>
</file>