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1A13" w14:textId="4AB3DA6C" w:rsidR="00A62DD1" w:rsidRDefault="00A62DD1" w:rsidP="00764F61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44C6F">
        <w:rPr>
          <w:rFonts w:ascii="Times New Roman" w:hAnsi="Times New Roman" w:cs="Times New Roman"/>
          <w:b/>
          <w:bCs/>
          <w:sz w:val="30"/>
          <w:szCs w:val="30"/>
        </w:rPr>
        <w:t>STOCK MARKET ANALYSIS</w:t>
      </w:r>
    </w:p>
    <w:p w14:paraId="70CF3081" w14:textId="5784CBCF" w:rsidR="002618E4" w:rsidRDefault="002618E4" w:rsidP="00764F61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8BA349" w14:textId="50005AB6" w:rsidR="002618E4" w:rsidRPr="0088700C" w:rsidRDefault="00D148AB" w:rsidP="00764F61">
      <w:pPr>
        <w:spacing w:line="360" w:lineRule="auto"/>
        <w:jc w:val="both"/>
        <w:rPr>
          <w:rFonts w:ascii="Times New Roman" w:hAnsi="Times New Roman" w:cs="Times New Roman"/>
        </w:rPr>
      </w:pPr>
      <w:r w:rsidRPr="0088700C">
        <w:rPr>
          <w:rFonts w:ascii="Times New Roman" w:hAnsi="Times New Roman" w:cs="Times New Roman"/>
        </w:rPr>
        <w:t>The data used in this paper if from the stock market (</w:t>
      </w:r>
      <w:proofErr w:type="spellStart"/>
      <w:proofErr w:type="gramStart"/>
      <w:r w:rsidRPr="0088700C">
        <w:rPr>
          <w:rFonts w:ascii="Times New Roman" w:hAnsi="Times New Roman" w:cs="Times New Roman"/>
        </w:rPr>
        <w:t>finance.yahoo</w:t>
      </w:r>
      <w:proofErr w:type="spellEnd"/>
      <w:proofErr w:type="gramEnd"/>
      <w:r w:rsidRPr="0088700C">
        <w:rPr>
          <w:rFonts w:ascii="Times New Roman" w:hAnsi="Times New Roman" w:cs="Times New Roman"/>
        </w:rPr>
        <w:t>)</w:t>
      </w:r>
      <w:r w:rsidR="003F284B" w:rsidRPr="0088700C">
        <w:rPr>
          <w:rFonts w:ascii="Times New Roman" w:hAnsi="Times New Roman" w:cs="Times New Roman"/>
        </w:rPr>
        <w:t xml:space="preserve">, including PG, AMZN, AAPL and F for the period from </w:t>
      </w:r>
      <w:r w:rsidR="00AA5067">
        <w:rPr>
          <w:rFonts w:ascii="Times New Roman" w:hAnsi="Times New Roman" w:cs="Times New Roman"/>
        </w:rPr>
        <w:t>0</w:t>
      </w:r>
      <w:r w:rsidR="003F284B" w:rsidRPr="0088700C">
        <w:rPr>
          <w:rFonts w:ascii="Times New Roman" w:hAnsi="Times New Roman" w:cs="Times New Roman"/>
        </w:rPr>
        <w:t>1/</w:t>
      </w:r>
      <w:r w:rsidR="00AA5067">
        <w:rPr>
          <w:rFonts w:ascii="Times New Roman" w:hAnsi="Times New Roman" w:cs="Times New Roman"/>
        </w:rPr>
        <w:t>0</w:t>
      </w:r>
      <w:r w:rsidR="003F284B" w:rsidRPr="0088700C">
        <w:rPr>
          <w:rFonts w:ascii="Times New Roman" w:hAnsi="Times New Roman" w:cs="Times New Roman"/>
        </w:rPr>
        <w:t>1/2020 to 31/05/2022</w:t>
      </w:r>
      <w:r w:rsidR="00E36A08" w:rsidRPr="0088700C">
        <w:rPr>
          <w:rFonts w:ascii="Times New Roman" w:hAnsi="Times New Roman" w:cs="Times New Roman"/>
        </w:rPr>
        <w:t xml:space="preserve">. </w:t>
      </w:r>
      <w:r w:rsidR="0088700C" w:rsidRPr="0088700C">
        <w:rPr>
          <w:rFonts w:ascii="Times New Roman" w:hAnsi="Times New Roman" w:cs="Times New Roman"/>
        </w:rPr>
        <w:t xml:space="preserve">We will learn how </w:t>
      </w:r>
      <w:r w:rsidR="00FF5F11">
        <w:rPr>
          <w:rFonts w:ascii="Times New Roman" w:hAnsi="Times New Roman" w:cs="Times New Roman"/>
        </w:rPr>
        <w:t>to</w:t>
      </w:r>
      <w:r w:rsidR="0088700C" w:rsidRPr="0088700C">
        <w:rPr>
          <w:rFonts w:ascii="Times New Roman" w:hAnsi="Times New Roman" w:cs="Times New Roman"/>
        </w:rPr>
        <w:t xml:space="preserve"> get stock information, visualize</w:t>
      </w:r>
      <w:r w:rsidR="00C72C85">
        <w:rPr>
          <w:rFonts w:ascii="Times New Roman" w:hAnsi="Times New Roman" w:cs="Times New Roman"/>
        </w:rPr>
        <w:t xml:space="preserve"> its</w:t>
      </w:r>
      <w:r w:rsidR="0088700C" w:rsidRPr="0088700C">
        <w:rPr>
          <w:rFonts w:ascii="Times New Roman" w:hAnsi="Times New Roman" w:cs="Times New Roman"/>
        </w:rPr>
        <w:t xml:space="preserve"> </w:t>
      </w:r>
      <w:r w:rsidR="00C72C85">
        <w:rPr>
          <w:rFonts w:ascii="Times New Roman" w:hAnsi="Times New Roman" w:cs="Times New Roman"/>
        </w:rPr>
        <w:t>various</w:t>
      </w:r>
      <w:r w:rsidR="0088700C" w:rsidRPr="0088700C">
        <w:rPr>
          <w:rFonts w:ascii="Times New Roman" w:hAnsi="Times New Roman" w:cs="Times New Roman"/>
        </w:rPr>
        <w:t xml:space="preserve"> aspects, and finally we will look at a few ways </w:t>
      </w:r>
      <w:r w:rsidR="00C72C85">
        <w:rPr>
          <w:rFonts w:ascii="Times New Roman" w:hAnsi="Times New Roman" w:cs="Times New Roman"/>
        </w:rPr>
        <w:t>to</w:t>
      </w:r>
      <w:r w:rsidR="0088700C" w:rsidRPr="0088700C">
        <w:rPr>
          <w:rFonts w:ascii="Times New Roman" w:hAnsi="Times New Roman" w:cs="Times New Roman"/>
        </w:rPr>
        <w:t xml:space="preserve"> analy</w:t>
      </w:r>
      <w:r w:rsidR="00C72C85">
        <w:rPr>
          <w:rFonts w:ascii="Times New Roman" w:hAnsi="Times New Roman" w:cs="Times New Roman"/>
        </w:rPr>
        <w:t>se</w:t>
      </w:r>
      <w:r w:rsidR="0088700C" w:rsidRPr="0088700C">
        <w:rPr>
          <w:rFonts w:ascii="Times New Roman" w:hAnsi="Times New Roman" w:cs="Times New Roman"/>
        </w:rPr>
        <w:t xml:space="preserve"> the risk of a stock, based on its previous performance history. </w:t>
      </w:r>
      <w:r w:rsidR="00800F91">
        <w:rPr>
          <w:rFonts w:ascii="Times New Roman" w:hAnsi="Times New Roman" w:cs="Times New Roman"/>
        </w:rPr>
        <w:t>The</w:t>
      </w:r>
      <w:r w:rsidR="00800F91" w:rsidRPr="00800F91">
        <w:rPr>
          <w:rFonts w:ascii="Times New Roman" w:hAnsi="Times New Roman" w:cs="Times New Roman"/>
        </w:rPr>
        <w:t xml:space="preserve"> Monte Carlo Simulation </w:t>
      </w:r>
      <w:r w:rsidR="00800F91">
        <w:rPr>
          <w:rFonts w:ascii="Times New Roman" w:hAnsi="Times New Roman" w:cs="Times New Roman"/>
        </w:rPr>
        <w:t xml:space="preserve">method </w:t>
      </w:r>
      <w:r w:rsidR="00C27436">
        <w:rPr>
          <w:rFonts w:ascii="Times New Roman" w:hAnsi="Times New Roman" w:cs="Times New Roman"/>
        </w:rPr>
        <w:t>was</w:t>
      </w:r>
      <w:r w:rsidR="00800F91">
        <w:rPr>
          <w:rFonts w:ascii="Times New Roman" w:hAnsi="Times New Roman" w:cs="Times New Roman"/>
        </w:rPr>
        <w:t xml:space="preserve"> used to </w:t>
      </w:r>
      <w:r w:rsidR="0088700C" w:rsidRPr="0088700C">
        <w:rPr>
          <w:rFonts w:ascii="Times New Roman" w:hAnsi="Times New Roman" w:cs="Times New Roman"/>
        </w:rPr>
        <w:t>predict future stock prices</w:t>
      </w:r>
      <w:r w:rsidR="00800F91">
        <w:rPr>
          <w:rFonts w:ascii="Times New Roman" w:hAnsi="Times New Roman" w:cs="Times New Roman"/>
        </w:rPr>
        <w:t>.</w:t>
      </w:r>
    </w:p>
    <w:p w14:paraId="63740C5D" w14:textId="760B3056" w:rsidR="006E4728" w:rsidRDefault="006E4728" w:rsidP="00764F61">
      <w:pPr>
        <w:spacing w:line="360" w:lineRule="auto"/>
        <w:jc w:val="center"/>
        <w:rPr>
          <w:rFonts w:ascii="Times New Roman" w:hAnsi="Times New Roman" w:cs="Times New Roman"/>
        </w:rPr>
      </w:pPr>
    </w:p>
    <w:p w14:paraId="7232A1AA" w14:textId="6B28735B" w:rsidR="00796620" w:rsidRPr="00EB7421" w:rsidRDefault="006E4728" w:rsidP="00764F61">
      <w:pPr>
        <w:spacing w:line="360" w:lineRule="auto"/>
        <w:rPr>
          <w:rFonts w:ascii="Times New Roman" w:hAnsi="Times New Roman" w:cs="Times New Roman"/>
          <w:b/>
          <w:bCs/>
        </w:rPr>
      </w:pPr>
      <w:r w:rsidRPr="00EB7421">
        <w:rPr>
          <w:rFonts w:ascii="Times New Roman" w:hAnsi="Times New Roman" w:cs="Times New Roman"/>
          <w:b/>
          <w:bCs/>
        </w:rPr>
        <w:t xml:space="preserve">1. </w:t>
      </w:r>
      <w:r w:rsidR="00EB7421" w:rsidRPr="00EB7421">
        <w:rPr>
          <w:rFonts w:ascii="Times New Roman" w:hAnsi="Times New Roman" w:cs="Times New Roman"/>
          <w:b/>
          <w:bCs/>
        </w:rPr>
        <w:t>The change in price of the stock overtime:</w:t>
      </w:r>
    </w:p>
    <w:p w14:paraId="0933DEA6" w14:textId="4E2000B6" w:rsidR="00EB7421" w:rsidRDefault="00796620" w:rsidP="00764F61">
      <w:pPr>
        <w:spacing w:line="36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828E1B" wp14:editId="3F1C6042">
            <wp:extent cx="5727700" cy="26727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1B5A" w14:textId="7FC05BE9" w:rsidR="00796620" w:rsidRDefault="00796620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927B24">
        <w:rPr>
          <w:rFonts w:ascii="Times New Roman" w:hAnsi="Times New Roman" w:cs="Times New Roman"/>
          <w:b/>
          <w:bCs/>
        </w:rPr>
        <w:t xml:space="preserve">Figure 1: Closing price from </w:t>
      </w:r>
      <w:r w:rsidR="00AA5067">
        <w:rPr>
          <w:rFonts w:ascii="Times New Roman" w:hAnsi="Times New Roman" w:cs="Times New Roman"/>
          <w:b/>
          <w:bCs/>
        </w:rPr>
        <w:t>0</w:t>
      </w:r>
      <w:r w:rsidRPr="00927B24">
        <w:rPr>
          <w:rFonts w:ascii="Times New Roman" w:hAnsi="Times New Roman" w:cs="Times New Roman"/>
          <w:b/>
          <w:bCs/>
        </w:rPr>
        <w:t>1/</w:t>
      </w:r>
      <w:r w:rsidR="00AA5067">
        <w:rPr>
          <w:rFonts w:ascii="Times New Roman" w:hAnsi="Times New Roman" w:cs="Times New Roman"/>
          <w:b/>
          <w:bCs/>
        </w:rPr>
        <w:t>0</w:t>
      </w:r>
      <w:r w:rsidRPr="00927B24">
        <w:rPr>
          <w:rFonts w:ascii="Times New Roman" w:hAnsi="Times New Roman" w:cs="Times New Roman"/>
          <w:b/>
          <w:bCs/>
        </w:rPr>
        <w:t>1/2020 – 31/05/2022</w:t>
      </w:r>
    </w:p>
    <w:p w14:paraId="00A3C9BC" w14:textId="2F112142" w:rsidR="003D5DD8" w:rsidRDefault="00764F61" w:rsidP="0094220A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1 shows the trend of the closing prices of four companies for the </w:t>
      </w:r>
      <w:r w:rsidR="00AA5067">
        <w:rPr>
          <w:rFonts w:ascii="Times New Roman" w:hAnsi="Times New Roman" w:cs="Times New Roman"/>
        </w:rPr>
        <w:t>period from 01/01/2020 to 31/05/2022.</w:t>
      </w:r>
      <w:r w:rsidR="003B7FC5">
        <w:rPr>
          <w:rFonts w:ascii="Times New Roman" w:hAnsi="Times New Roman" w:cs="Times New Roman"/>
        </w:rPr>
        <w:t xml:space="preserve"> The prices of F were the lowest and pretty stable during the study time. Besides, the prices of AAPL and PG </w:t>
      </w:r>
      <w:r w:rsidR="00FD2F1A">
        <w:rPr>
          <w:rFonts w:ascii="Times New Roman" w:hAnsi="Times New Roman" w:cs="Times New Roman"/>
        </w:rPr>
        <w:t xml:space="preserve">increased, from 73.7859 USD to </w:t>
      </w:r>
      <w:r w:rsidR="00D53E9C">
        <w:rPr>
          <w:rFonts w:ascii="Times New Roman" w:hAnsi="Times New Roman" w:cs="Times New Roman"/>
        </w:rPr>
        <w:t>148.84 USD</w:t>
      </w:r>
      <w:r w:rsidR="00FD2F1A">
        <w:rPr>
          <w:rFonts w:ascii="Times New Roman" w:hAnsi="Times New Roman" w:cs="Times New Roman"/>
        </w:rPr>
        <w:t>, 116.198 USD to</w:t>
      </w:r>
      <w:r w:rsidR="00D53E9C">
        <w:rPr>
          <w:rFonts w:ascii="Times New Roman" w:hAnsi="Times New Roman" w:cs="Times New Roman"/>
        </w:rPr>
        <w:t xml:space="preserve"> 147.88 USD</w:t>
      </w:r>
      <w:r w:rsidR="00FD2F1A">
        <w:rPr>
          <w:rFonts w:ascii="Times New Roman" w:hAnsi="Times New Roman" w:cs="Times New Roman"/>
        </w:rPr>
        <w:t>, respectively.</w:t>
      </w:r>
    </w:p>
    <w:p w14:paraId="3F35B173" w14:textId="77777777" w:rsidR="0094220A" w:rsidRDefault="0094220A" w:rsidP="0094220A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EE78295" w14:textId="55BF8C19" w:rsidR="003D5DD8" w:rsidRDefault="00815296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3D5DD8" w:rsidRPr="003D5DD8">
        <w:rPr>
          <w:rFonts w:ascii="Times New Roman" w:hAnsi="Times New Roman" w:cs="Times New Roman"/>
          <w:b/>
          <w:bCs/>
        </w:rPr>
        <w:t>Summary statistic of 4 companies</w:t>
      </w:r>
      <w:r w:rsidR="006A03E7">
        <w:rPr>
          <w:rFonts w:ascii="Times New Roman" w:hAnsi="Times New Roman" w:cs="Times New Roman"/>
          <w:b/>
          <w:bCs/>
        </w:rPr>
        <w:t>:</w:t>
      </w:r>
    </w:p>
    <w:p w14:paraId="56CA97AA" w14:textId="63F72A2B" w:rsidR="003D5DD8" w:rsidRPr="00DF00D3" w:rsidRDefault="00DF00D3" w:rsidP="00DF00D3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 w:rsidRPr="00DF00D3">
        <w:rPr>
          <w:rFonts w:ascii="Times New Roman" w:hAnsi="Times New Roman" w:cs="Times New Roman"/>
        </w:rPr>
        <w:t xml:space="preserve">Table 1 presents our calculations on the </w:t>
      </w:r>
      <w:r>
        <w:rPr>
          <w:rFonts w:ascii="Times New Roman" w:hAnsi="Times New Roman" w:cs="Times New Roman"/>
        </w:rPr>
        <w:t>statistic</w:t>
      </w:r>
      <w:r w:rsidRPr="00DF00D3">
        <w:rPr>
          <w:rFonts w:ascii="Times New Roman" w:hAnsi="Times New Roman" w:cs="Times New Roman"/>
        </w:rPr>
        <w:t xml:space="preserve"> of each </w:t>
      </w:r>
      <w:r w:rsidR="009E5ED9">
        <w:rPr>
          <w:rFonts w:ascii="Times New Roman" w:hAnsi="Times New Roman" w:cs="Times New Roman"/>
        </w:rPr>
        <w:t>company</w:t>
      </w:r>
      <w:r w:rsidRPr="00DF00D3">
        <w:rPr>
          <w:rFonts w:ascii="Times New Roman" w:hAnsi="Times New Roman" w:cs="Times New Roman"/>
        </w:rPr>
        <w:t>.</w:t>
      </w:r>
    </w:p>
    <w:p w14:paraId="3A5CCFBA" w14:textId="4F58DAF7" w:rsidR="003D5DD8" w:rsidRDefault="003D5DD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F36B749" wp14:editId="7BA34264">
            <wp:extent cx="3895352" cy="23134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352" cy="23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03A7" w14:textId="2445DF90" w:rsidR="006A03E7" w:rsidRDefault="006A03E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Table 1: Summary statistic </w:t>
      </w:r>
    </w:p>
    <w:p w14:paraId="5EC0AC5A" w14:textId="119B6401" w:rsidR="006A03E7" w:rsidRDefault="00A74EE0" w:rsidP="0046771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Looking at the detail, </w:t>
      </w:r>
      <w:r w:rsidR="009E5ED9">
        <w:rPr>
          <w:rFonts w:ascii="Times New Roman" w:hAnsi="Times New Roman" w:cs="Times New Roman"/>
        </w:rPr>
        <w:t xml:space="preserve">the standard deviation of AMZN was 25.068115 and AAPL was 32.403554. They were larger </w:t>
      </w:r>
      <w:r w:rsidR="00BA572B">
        <w:rPr>
          <w:rFonts w:ascii="Times New Roman" w:hAnsi="Times New Roman" w:cs="Times New Roman"/>
        </w:rPr>
        <w:t>than PG (15.078136) and F (4.762043) that means there were a lot riskier with the stock of AMZN and AAPL than PG and F.</w:t>
      </w:r>
    </w:p>
    <w:p w14:paraId="7DA76885" w14:textId="77777777" w:rsidR="00066B59" w:rsidRPr="00467711" w:rsidRDefault="00066B59" w:rsidP="0046771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5623D325" w14:textId="0EFE786E" w:rsidR="006A03E7" w:rsidRDefault="006A03E7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BD0B9F">
        <w:rPr>
          <w:rFonts w:ascii="Times New Roman" w:hAnsi="Times New Roman" w:cs="Times New Roman"/>
          <w:b/>
          <w:bCs/>
        </w:rPr>
        <w:t>Moving average of the stocks:</w:t>
      </w:r>
    </w:p>
    <w:p w14:paraId="535EDD04" w14:textId="02100A7B" w:rsidR="008D1804" w:rsidRPr="008D1804" w:rsidRDefault="008C77C4" w:rsidP="008C77C4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figures below show the moving average</w:t>
      </w:r>
      <w:r w:rsidR="00F05DD5">
        <w:rPr>
          <w:rFonts w:ascii="Times New Roman" w:hAnsi="Times New Roman" w:cs="Times New Roman"/>
        </w:rPr>
        <w:t xml:space="preserve"> (MA)</w:t>
      </w:r>
      <w:r>
        <w:rPr>
          <w:rFonts w:ascii="Times New Roman" w:hAnsi="Times New Roman" w:cs="Times New Roman"/>
        </w:rPr>
        <w:t xml:space="preserve"> of the four companies in 10 days and 50 days. </w:t>
      </w:r>
    </w:p>
    <w:p w14:paraId="6EFEAD44" w14:textId="5C751240" w:rsidR="0093439A" w:rsidRDefault="001038B8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4A03DC" wp14:editId="70A2FBB8">
            <wp:extent cx="5727700" cy="267271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4906" w14:textId="4C776691" w:rsidR="00BD0B9F" w:rsidRDefault="00700C8E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2: Moving average of AAPL</w:t>
      </w:r>
      <w:r w:rsidR="006A7E5B">
        <w:rPr>
          <w:rFonts w:ascii="Times New Roman" w:hAnsi="Times New Roman" w:cs="Times New Roman"/>
          <w:b/>
          <w:bCs/>
        </w:rPr>
        <w:t xml:space="preserve"> in 10 and 50 days</w:t>
      </w:r>
    </w:p>
    <w:p w14:paraId="3211A637" w14:textId="5962363E" w:rsidR="002D58BC" w:rsidRPr="002D58BC" w:rsidRDefault="00F05DD5" w:rsidP="002D58BC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 indicates that most of time, the price of AAPL was above M</w:t>
      </w:r>
      <w:r w:rsidR="00440E14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and MA in 10 days stayed above MA in 50 days, therefore, there was an uptrend. It is said that we should buy stocks of AAPL.</w:t>
      </w:r>
    </w:p>
    <w:p w14:paraId="3CF42C81" w14:textId="3A743780" w:rsidR="00BD0B9F" w:rsidRDefault="001038B8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781F39B" wp14:editId="6F433E1B">
            <wp:extent cx="5727700" cy="2672715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49E8" w14:textId="72AE8AFD" w:rsidR="00700C8E" w:rsidRDefault="00700C8E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3: Moving average of AMZN</w:t>
      </w:r>
      <w:r w:rsidR="0033234B">
        <w:rPr>
          <w:rFonts w:ascii="Times New Roman" w:hAnsi="Times New Roman" w:cs="Times New Roman"/>
          <w:b/>
          <w:bCs/>
        </w:rPr>
        <w:t xml:space="preserve"> </w:t>
      </w:r>
      <w:r w:rsidR="0033234B">
        <w:rPr>
          <w:rFonts w:ascii="Times New Roman" w:hAnsi="Times New Roman" w:cs="Times New Roman"/>
          <w:b/>
          <w:bCs/>
        </w:rPr>
        <w:t>in 10 and 50 days</w:t>
      </w:r>
    </w:p>
    <w:p w14:paraId="5851F491" w14:textId="1CE8E3C7" w:rsidR="000346D5" w:rsidRDefault="000346D5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However, for AMZN, the trend was unstable. </w:t>
      </w:r>
      <w:r w:rsidR="00440E14">
        <w:rPr>
          <w:rFonts w:ascii="Times New Roman" w:hAnsi="Times New Roman" w:cs="Times New Roman"/>
        </w:rPr>
        <w:t>For the period from 01/2020 to 10/2020, there was an uptrend. Then there was a downtrend at the end of the study time when price was belove Mas and MA in 10 days stayed below MA in 50 days.</w:t>
      </w:r>
    </w:p>
    <w:p w14:paraId="4141B7C3" w14:textId="21A19042" w:rsidR="0093439A" w:rsidRDefault="001038B8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2806D9" wp14:editId="5EC87002">
            <wp:extent cx="5727700" cy="267271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7469" w14:textId="689761F0" w:rsidR="00700C8E" w:rsidRDefault="00700C8E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4: Moving average of F</w:t>
      </w:r>
      <w:r w:rsidR="0033234B">
        <w:rPr>
          <w:rFonts w:ascii="Times New Roman" w:hAnsi="Times New Roman" w:cs="Times New Roman"/>
          <w:b/>
          <w:bCs/>
        </w:rPr>
        <w:t xml:space="preserve"> </w:t>
      </w:r>
      <w:r w:rsidR="0033234B">
        <w:rPr>
          <w:rFonts w:ascii="Times New Roman" w:hAnsi="Times New Roman" w:cs="Times New Roman"/>
          <w:b/>
          <w:bCs/>
        </w:rPr>
        <w:t>in 10 and 50 days</w:t>
      </w:r>
    </w:p>
    <w:p w14:paraId="4A9B5263" w14:textId="316F51EC" w:rsidR="00700C8E" w:rsidRPr="005A1876" w:rsidRDefault="00893A3B" w:rsidP="005A1876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 shows the uptrend of F for the period from 01/2020 to 01/2022. Then there was a downtrend for the first 5 months of 2022 when MA in 50 days was above price and MA in 10 days. </w:t>
      </w:r>
    </w:p>
    <w:p w14:paraId="1D14AE93" w14:textId="3C4AFCB4" w:rsidR="0093439A" w:rsidRDefault="001038B8" w:rsidP="00764F61">
      <w:pPr>
        <w:tabs>
          <w:tab w:val="left" w:pos="262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3CD51AB" wp14:editId="59778514">
            <wp:extent cx="5727700" cy="2672715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D072" w14:textId="7DD476DB" w:rsidR="00700C8E" w:rsidRDefault="00700C8E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5: Moving average of PG</w:t>
      </w:r>
      <w:r w:rsidR="0033234B">
        <w:rPr>
          <w:rFonts w:ascii="Times New Roman" w:hAnsi="Times New Roman" w:cs="Times New Roman"/>
          <w:b/>
          <w:bCs/>
        </w:rPr>
        <w:t xml:space="preserve"> </w:t>
      </w:r>
      <w:r w:rsidR="0033234B">
        <w:rPr>
          <w:rFonts w:ascii="Times New Roman" w:hAnsi="Times New Roman" w:cs="Times New Roman"/>
          <w:b/>
          <w:bCs/>
        </w:rPr>
        <w:t>in 10 and 50 days</w:t>
      </w:r>
    </w:p>
    <w:p w14:paraId="0935446E" w14:textId="5265681F" w:rsidR="00BD1C59" w:rsidRDefault="00D30F62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general, </w:t>
      </w:r>
      <w:r w:rsidR="00D05F40">
        <w:rPr>
          <w:rFonts w:ascii="Times New Roman" w:hAnsi="Times New Roman" w:cs="Times New Roman"/>
        </w:rPr>
        <w:t>it is time to buy stock of PG cos there was an uptrend when MA in 10 days stayed about MA in 50 days and price was above MAs.</w:t>
      </w:r>
    </w:p>
    <w:p w14:paraId="4871E3A4" w14:textId="77777777" w:rsidR="00D30F62" w:rsidRPr="00D30F62" w:rsidRDefault="00D30F62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6EB4C81" w14:textId="30DF6995" w:rsidR="00BD1C59" w:rsidRDefault="00BD1C59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</w:t>
      </w:r>
      <w:r w:rsidR="00136005">
        <w:rPr>
          <w:rFonts w:ascii="Times New Roman" w:hAnsi="Times New Roman" w:cs="Times New Roman"/>
          <w:b/>
          <w:bCs/>
        </w:rPr>
        <w:t>Daily return of the stock:</w:t>
      </w:r>
    </w:p>
    <w:p w14:paraId="05E25897" w14:textId="1FD261E0" w:rsidR="00415EBD" w:rsidRPr="00415EBD" w:rsidRDefault="00415EBD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daily returns of the stocks were presented by plot and histogram. As we can see from the figure 6</w:t>
      </w:r>
      <w:r w:rsidR="0015356A">
        <w:rPr>
          <w:rFonts w:ascii="Times New Roman" w:hAnsi="Times New Roman" w:cs="Times New Roman"/>
        </w:rPr>
        <w:t xml:space="preserve">, F and AMZN had higher positive and negative daily returns than PG and AAPL, hence F and AMZN were typically </w:t>
      </w:r>
      <w:proofErr w:type="gramStart"/>
      <w:r w:rsidR="0015356A">
        <w:rPr>
          <w:rFonts w:ascii="Times New Roman" w:hAnsi="Times New Roman" w:cs="Times New Roman"/>
        </w:rPr>
        <w:t>more risky</w:t>
      </w:r>
      <w:proofErr w:type="gramEnd"/>
      <w:r w:rsidR="0015356A">
        <w:rPr>
          <w:rFonts w:ascii="Times New Roman" w:hAnsi="Times New Roman" w:cs="Times New Roman"/>
        </w:rPr>
        <w:t xml:space="preserve"> than PG and AAPL</w:t>
      </w:r>
      <w:r w:rsidR="002F0B8A">
        <w:rPr>
          <w:rFonts w:ascii="Times New Roman" w:hAnsi="Times New Roman" w:cs="Times New Roman"/>
        </w:rPr>
        <w:t xml:space="preserve">, which create smaller swings in value. </w:t>
      </w:r>
    </w:p>
    <w:p w14:paraId="372F74E0" w14:textId="44056D54" w:rsidR="00136005" w:rsidRDefault="00136005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401A24" wp14:editId="14FEE185">
            <wp:extent cx="5727700" cy="26727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F235" w14:textId="086BFCF3" w:rsidR="00700C8E" w:rsidRDefault="00136005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6: Daily return of the stock</w:t>
      </w:r>
    </w:p>
    <w:p w14:paraId="31D3B512" w14:textId="21D62F42" w:rsidR="002B5ABB" w:rsidRDefault="002B5AB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DFC7E6" w14:textId="77777777" w:rsidR="002B5ABB" w:rsidRDefault="002B5AB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46ECD7D" w14:textId="6B2222F1" w:rsidR="00136005" w:rsidRDefault="00136005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7A36480" w14:textId="48432908" w:rsidR="00136005" w:rsidRDefault="003E0758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*) </w:t>
      </w:r>
      <w:r w:rsidR="00136005">
        <w:rPr>
          <w:rFonts w:ascii="Times New Roman" w:hAnsi="Times New Roman" w:cs="Times New Roman"/>
          <w:b/>
          <w:bCs/>
        </w:rPr>
        <w:t>Using histogram to get an overall look at the daily return:</w:t>
      </w:r>
    </w:p>
    <w:p w14:paraId="41E2D4F7" w14:textId="1701B554" w:rsidR="00136005" w:rsidRDefault="00136005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AA785C" wp14:editId="31F6FBAE">
            <wp:extent cx="5485714" cy="365714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15A2" w14:textId="22403907" w:rsidR="006B75C0" w:rsidRDefault="006B75C0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7: Daily return of AAPL</w:t>
      </w:r>
    </w:p>
    <w:p w14:paraId="3A3BC6A3" w14:textId="77777777" w:rsidR="006B75C0" w:rsidRDefault="006B75C0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4498583" w14:textId="26D2DB0F" w:rsidR="006B75C0" w:rsidRDefault="006B75C0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93C8C1" wp14:editId="61BB013C">
            <wp:extent cx="5485714" cy="3657143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A228" w14:textId="3CD83DCB" w:rsidR="006B75C0" w:rsidRDefault="006B75C0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Figure </w:t>
      </w:r>
      <w:r w:rsidR="00FD3418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: Daily return of AMZN</w:t>
      </w:r>
    </w:p>
    <w:p w14:paraId="4EC7599B" w14:textId="50C56660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FF54D43" w14:textId="7D4EAEA3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14E5011" wp14:editId="3550895F">
            <wp:extent cx="5485714" cy="3657143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AA1C" w14:textId="75BDFA44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9: Daily return of F</w:t>
      </w:r>
    </w:p>
    <w:p w14:paraId="6562375A" w14:textId="03F2720F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70E4E51" w14:textId="70E6D346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441CB0" wp14:editId="5853B729">
            <wp:extent cx="5485714" cy="3657143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32E" w14:textId="2ADF9A60" w:rsidR="00FD3418" w:rsidRDefault="00FD3418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10: Daily return of PG</w:t>
      </w:r>
    </w:p>
    <w:p w14:paraId="5F32172F" w14:textId="1404A2FE" w:rsidR="0065221E" w:rsidRDefault="0065221E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0ED94FC" w14:textId="77777777" w:rsidR="002B5ABB" w:rsidRDefault="002B5AB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DE632A" w14:textId="77777777" w:rsidR="00E4140B" w:rsidRDefault="003E0758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*) </w:t>
      </w:r>
      <w:r w:rsidR="0065221E">
        <w:rPr>
          <w:rFonts w:ascii="Times New Roman" w:hAnsi="Times New Roman" w:cs="Times New Roman"/>
          <w:b/>
          <w:bCs/>
        </w:rPr>
        <w:t>Return of a portfolio</w:t>
      </w:r>
      <w:r w:rsidR="00E4140B">
        <w:rPr>
          <w:rFonts w:ascii="Times New Roman" w:hAnsi="Times New Roman" w:cs="Times New Roman"/>
          <w:b/>
          <w:bCs/>
        </w:rPr>
        <w:t>:</w:t>
      </w:r>
    </w:p>
    <w:p w14:paraId="19CAB91B" w14:textId="4170E00A" w:rsidR="0065221E" w:rsidRDefault="00E4140B" w:rsidP="000F1127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 w:rsidRPr="00E4140B">
        <w:rPr>
          <w:rFonts w:ascii="Times New Roman" w:hAnsi="Times New Roman" w:cs="Times New Roman"/>
        </w:rPr>
        <w:t xml:space="preserve">In case the weights of the </w:t>
      </w:r>
      <w:r w:rsidRPr="00E4140B">
        <w:rPr>
          <w:rFonts w:ascii="Times New Roman" w:hAnsi="Times New Roman" w:cs="Times New Roman"/>
        </w:rPr>
        <w:t>[PG, AMZN, AAPL, F]</w:t>
      </w:r>
      <w:r>
        <w:rPr>
          <w:rFonts w:ascii="Times New Roman" w:hAnsi="Times New Roman" w:cs="Times New Roman"/>
        </w:rPr>
        <w:t xml:space="preserve"> are </w:t>
      </w:r>
      <w:r w:rsidRPr="00E4140B">
        <w:rPr>
          <w:rFonts w:ascii="Times New Roman" w:hAnsi="Times New Roman" w:cs="Times New Roman"/>
        </w:rPr>
        <w:t>[0.15,0.2,0.25,0.4]</w:t>
      </w:r>
      <w:r>
        <w:rPr>
          <w:rFonts w:ascii="Times New Roman" w:hAnsi="Times New Roman" w:cs="Times New Roman"/>
        </w:rPr>
        <w:t xml:space="preserve"> respectively is </w:t>
      </w:r>
      <w:r w:rsidR="003412DF" w:rsidRPr="003412DF">
        <w:rPr>
          <w:rFonts w:ascii="Times New Roman" w:hAnsi="Times New Roman" w:cs="Times New Roman"/>
        </w:rPr>
        <w:t>0.001033581891293048</w:t>
      </w:r>
      <w:r w:rsidR="003412DF">
        <w:rPr>
          <w:rFonts w:ascii="Times New Roman" w:hAnsi="Times New Roman" w:cs="Times New Roman"/>
        </w:rPr>
        <w:t xml:space="preserve">. </w:t>
      </w:r>
    </w:p>
    <w:p w14:paraId="224FA791" w14:textId="77777777" w:rsidR="000F1127" w:rsidRDefault="000F1127" w:rsidP="000F1127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27D55B1" w14:textId="3F1DE3ED" w:rsidR="0065221E" w:rsidRDefault="0065221E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5. </w:t>
      </w:r>
      <w:r w:rsidR="000F1127">
        <w:rPr>
          <w:rFonts w:ascii="Times New Roman" w:hAnsi="Times New Roman" w:cs="Times New Roman"/>
          <w:b/>
          <w:bCs/>
        </w:rPr>
        <w:t>Covariance matrix</w:t>
      </w:r>
      <w:r w:rsidR="001E42A2">
        <w:rPr>
          <w:rFonts w:ascii="Times New Roman" w:hAnsi="Times New Roman" w:cs="Times New Roman"/>
          <w:b/>
          <w:bCs/>
        </w:rPr>
        <w:t>:</w:t>
      </w:r>
    </w:p>
    <w:p w14:paraId="33C3A813" w14:textId="7413AC0D" w:rsidR="001E42A2" w:rsidRDefault="001E42A2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31BC760B" w14:textId="50A6A94F" w:rsidR="001E42A2" w:rsidRDefault="001E42A2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BA2546" wp14:editId="5BFB41E0">
            <wp:extent cx="3328423" cy="149047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23" cy="14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DBA7" w14:textId="77777777" w:rsidR="00B61166" w:rsidRDefault="00B61166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365050C" w14:textId="35F202B0" w:rsidR="00FD3418" w:rsidRDefault="001E42A2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2: Cov</w:t>
      </w:r>
      <w:r w:rsidR="00B76624">
        <w:rPr>
          <w:rFonts w:ascii="Times New Roman" w:hAnsi="Times New Roman" w:cs="Times New Roman"/>
          <w:b/>
          <w:bCs/>
        </w:rPr>
        <w:t>ariance</w:t>
      </w:r>
      <w:r w:rsidR="003356FC">
        <w:rPr>
          <w:rFonts w:ascii="Times New Roman" w:hAnsi="Times New Roman" w:cs="Times New Roman"/>
          <w:b/>
          <w:bCs/>
        </w:rPr>
        <w:t xml:space="preserve"> matric</w:t>
      </w:r>
    </w:p>
    <w:p w14:paraId="043739CC" w14:textId="71D31AFF" w:rsidR="006B3A77" w:rsidRDefault="00D93546" w:rsidP="00E45A7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all we see from table 2, the covariances are positive between stocks of 2 companies. It means that the two stocks move in the same direction. </w:t>
      </w:r>
      <w:r w:rsidRPr="00D93546">
        <w:rPr>
          <w:rFonts w:ascii="Times New Roman" w:hAnsi="Times New Roman" w:cs="Times New Roman"/>
        </w:rPr>
        <w:t>When one stock has a positive return, the other tends to have a positive return as wel</w:t>
      </w:r>
      <w:r>
        <w:rPr>
          <w:rFonts w:ascii="Times New Roman" w:hAnsi="Times New Roman" w:cs="Times New Roman"/>
        </w:rPr>
        <w:t xml:space="preserve">l. </w:t>
      </w:r>
    </w:p>
    <w:p w14:paraId="65733C3D" w14:textId="77777777" w:rsidR="00D93546" w:rsidRPr="00E45A70" w:rsidRDefault="00D93546" w:rsidP="00E45A7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175FF13" w14:textId="030086D0" w:rsidR="006B3A77" w:rsidRDefault="006B3A77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The efficient frontier:</w:t>
      </w:r>
    </w:p>
    <w:p w14:paraId="63C0C9B2" w14:textId="795E2944" w:rsidR="006B3A77" w:rsidRDefault="006B3A77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621336" wp14:editId="58E69019">
            <wp:extent cx="5727700" cy="34359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432C" w14:textId="0913E440" w:rsidR="006B75C0" w:rsidRDefault="006B3A7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11: The efficient frontier</w:t>
      </w:r>
    </w:p>
    <w:p w14:paraId="5B2831FB" w14:textId="02C334AB" w:rsidR="002E0417" w:rsidRDefault="00487E68" w:rsidP="00487E68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figure 11 shows the efficient frontier of the portfolio</w:t>
      </w:r>
      <w:r w:rsidR="002C3F35">
        <w:rPr>
          <w:rFonts w:ascii="Times New Roman" w:hAnsi="Times New Roman" w:cs="Times New Roman"/>
        </w:rPr>
        <w:t xml:space="preserve">. </w:t>
      </w:r>
      <w:r w:rsidR="00310C75">
        <w:rPr>
          <w:rFonts w:ascii="Times New Roman" w:hAnsi="Times New Roman" w:cs="Times New Roman"/>
        </w:rPr>
        <w:t>Based on the efficient portfolio, the investor can make the decision to invest in a port</w:t>
      </w:r>
      <w:r w:rsidR="00B352E2">
        <w:rPr>
          <w:rFonts w:ascii="Times New Roman" w:hAnsi="Times New Roman" w:cs="Times New Roman"/>
        </w:rPr>
        <w:t>f</w:t>
      </w:r>
      <w:r w:rsidR="00310C75">
        <w:rPr>
          <w:rFonts w:ascii="Times New Roman" w:hAnsi="Times New Roman" w:cs="Times New Roman"/>
        </w:rPr>
        <w:t>olio.</w:t>
      </w:r>
    </w:p>
    <w:p w14:paraId="5F8031B1" w14:textId="77777777" w:rsidR="00310C75" w:rsidRPr="00487E68" w:rsidRDefault="00310C75" w:rsidP="00487E68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4A7A4CD0" w14:textId="2177C57F" w:rsidR="002E0417" w:rsidRDefault="002E0417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7. </w:t>
      </w:r>
      <w:r w:rsidR="003C3EB2">
        <w:rPr>
          <w:rFonts w:ascii="Times New Roman" w:hAnsi="Times New Roman" w:cs="Times New Roman"/>
          <w:b/>
          <w:bCs/>
        </w:rPr>
        <w:t xml:space="preserve">The </w:t>
      </w:r>
      <w:r w:rsidR="00C816B7">
        <w:rPr>
          <w:rFonts w:ascii="Times New Roman" w:hAnsi="Times New Roman" w:cs="Times New Roman"/>
          <w:b/>
          <w:bCs/>
        </w:rPr>
        <w:t>S</w:t>
      </w:r>
      <w:r w:rsidR="003C3EB2">
        <w:rPr>
          <w:rFonts w:ascii="Times New Roman" w:hAnsi="Times New Roman" w:cs="Times New Roman"/>
          <w:b/>
          <w:bCs/>
        </w:rPr>
        <w:t>harpe ratio:</w:t>
      </w:r>
    </w:p>
    <w:p w14:paraId="7D568647" w14:textId="5CADF4C3" w:rsidR="003C3EB2" w:rsidRDefault="008C62BF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C816B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harpe ratio of the portfolio is </w:t>
      </w:r>
      <w:r w:rsidRPr="008C62BF">
        <w:rPr>
          <w:rFonts w:ascii="Times New Roman" w:hAnsi="Times New Roman" w:cs="Times New Roman"/>
        </w:rPr>
        <w:t>-0.8019717293013592</w:t>
      </w:r>
      <w:r w:rsidR="002E547C">
        <w:rPr>
          <w:rFonts w:ascii="Times New Roman" w:hAnsi="Times New Roman" w:cs="Times New Roman"/>
        </w:rPr>
        <w:t xml:space="preserve"> that is difficult to evaluate. Therefore, we cannot use this ratio to assess the portfolio.</w:t>
      </w:r>
    </w:p>
    <w:p w14:paraId="76961A66" w14:textId="77777777" w:rsidR="00B352E2" w:rsidRPr="00B352E2" w:rsidRDefault="00B352E2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5911B26" w14:textId="300DD7E7" w:rsidR="003C3EB2" w:rsidRDefault="003C3EB2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8. Predicting stock price with a </w:t>
      </w:r>
      <w:r w:rsidRPr="003C3EB2">
        <w:rPr>
          <w:rFonts w:ascii="Times New Roman" w:hAnsi="Times New Roman" w:cs="Times New Roman"/>
          <w:b/>
          <w:bCs/>
        </w:rPr>
        <w:t>Monte Carlo Simulation:</w:t>
      </w:r>
    </w:p>
    <w:p w14:paraId="1E207CBB" w14:textId="3449FF7B" w:rsidR="00E60807" w:rsidRPr="008E4E46" w:rsidRDefault="008E4E46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Monte Carlo Simulation method was used to predict the stock prices after 100days since 31/05/2022. </w:t>
      </w:r>
    </w:p>
    <w:p w14:paraId="2DA16557" w14:textId="1E9259A2" w:rsidR="00E60807" w:rsidRDefault="00E60807" w:rsidP="00764F6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9B5741E" wp14:editId="651CD7DE">
            <wp:extent cx="5485714" cy="3657143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6A99" w14:textId="3C97A9B4" w:rsidR="00E60807" w:rsidRDefault="00E6080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12: Stock prices AAPL after 100 days</w:t>
      </w:r>
    </w:p>
    <w:p w14:paraId="215641AC" w14:textId="0F42A247" w:rsidR="00E60807" w:rsidRPr="00514CF1" w:rsidRDefault="00527F2C" w:rsidP="00514CF1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price at day 0 of AAPL was </w:t>
      </w:r>
      <w:r w:rsidRPr="00527F2C">
        <w:rPr>
          <w:rFonts w:ascii="Times New Roman" w:hAnsi="Times New Roman" w:cs="Times New Roman"/>
        </w:rPr>
        <w:t>148.83999633789062</w:t>
      </w:r>
      <w:r>
        <w:rPr>
          <w:rFonts w:ascii="Times New Roman" w:hAnsi="Times New Roman" w:cs="Times New Roman"/>
        </w:rPr>
        <w:t xml:space="preserve"> USD, the </w:t>
      </w:r>
      <w:r w:rsidR="0052464C">
        <w:rPr>
          <w:rFonts w:ascii="Times New Roman" w:hAnsi="Times New Roman" w:cs="Times New Roman"/>
        </w:rPr>
        <w:t xml:space="preserve">simulated price at day 100 will gain is </w:t>
      </w:r>
      <w:r w:rsidR="0052464C" w:rsidRPr="0052464C">
        <w:rPr>
          <w:rFonts w:ascii="Times New Roman" w:hAnsi="Times New Roman" w:cs="Times New Roman"/>
        </w:rPr>
        <w:t>7.458794118163382</w:t>
      </w:r>
      <w:r w:rsidR="0052464C">
        <w:rPr>
          <w:rFonts w:ascii="Times New Roman" w:hAnsi="Times New Roman" w:cs="Times New Roman"/>
        </w:rPr>
        <w:t xml:space="preserve"> USD.</w:t>
      </w:r>
      <w:r w:rsidR="00AA3A19">
        <w:rPr>
          <w:rFonts w:ascii="Times New Roman" w:hAnsi="Times New Roman" w:cs="Times New Roman"/>
        </w:rPr>
        <w:t xml:space="preserve"> </w:t>
      </w:r>
    </w:p>
    <w:p w14:paraId="0BB7606D" w14:textId="509D0FF3" w:rsidR="00E60807" w:rsidRDefault="00A93FA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4134BBE" wp14:editId="262EA0DE">
            <wp:extent cx="5485714" cy="3657143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A53C" w14:textId="330B592F" w:rsidR="00A93FA7" w:rsidRDefault="00A93FA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13: Stock prices AMZN after 100 days</w:t>
      </w:r>
    </w:p>
    <w:p w14:paraId="55693677" w14:textId="21B63FD4" w:rsidR="00A93FA7" w:rsidRPr="00527F2C" w:rsidRDefault="00527F2C" w:rsidP="00527F2C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at day 0</w:t>
      </w:r>
      <w:r w:rsidR="00B1655A">
        <w:rPr>
          <w:rFonts w:ascii="Times New Roman" w:hAnsi="Times New Roman" w:cs="Times New Roman"/>
        </w:rPr>
        <w:t xml:space="preserve"> of AMZN</w:t>
      </w:r>
      <w:r>
        <w:rPr>
          <w:rFonts w:ascii="Times New Roman" w:hAnsi="Times New Roman" w:cs="Times New Roman"/>
        </w:rPr>
        <w:t xml:space="preserve"> was </w:t>
      </w:r>
      <w:r w:rsidRPr="00527F2C">
        <w:rPr>
          <w:rFonts w:ascii="Times New Roman" w:hAnsi="Times New Roman" w:cs="Times New Roman"/>
        </w:rPr>
        <w:t>120.20950317382812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USD,</w:t>
      </w:r>
      <w:r w:rsidR="00B1655A" w:rsidRPr="00B1655A">
        <w:rPr>
          <w:rFonts w:ascii="Times New Roman" w:hAnsi="Times New Roman" w:cs="Times New Roman"/>
        </w:rPr>
        <w:t xml:space="preserve"> </w:t>
      </w:r>
      <w:r w:rsidR="00B1655A">
        <w:rPr>
          <w:rFonts w:ascii="Times New Roman" w:hAnsi="Times New Roman" w:cs="Times New Roman"/>
        </w:rPr>
        <w:t xml:space="preserve">the simulated price at day 100 will gain is </w:t>
      </w:r>
      <w:r w:rsidR="00B1655A" w:rsidRPr="00B1655A">
        <w:rPr>
          <w:rFonts w:ascii="Times New Roman" w:hAnsi="Times New Roman" w:cs="Times New Roman"/>
        </w:rPr>
        <w:t>2.3315628527392676</w:t>
      </w:r>
      <w:r w:rsidR="00B1655A">
        <w:rPr>
          <w:rFonts w:ascii="Times New Roman" w:hAnsi="Times New Roman" w:cs="Times New Roman"/>
        </w:rPr>
        <w:t xml:space="preserve"> </w:t>
      </w:r>
      <w:r w:rsidR="00B1655A">
        <w:rPr>
          <w:rFonts w:ascii="Times New Roman" w:hAnsi="Times New Roman" w:cs="Times New Roman"/>
        </w:rPr>
        <w:t>USD</w:t>
      </w:r>
      <w:r w:rsidR="00B1655A">
        <w:rPr>
          <w:rFonts w:ascii="Times New Roman" w:hAnsi="Times New Roman" w:cs="Times New Roman"/>
        </w:rPr>
        <w:t>.</w:t>
      </w:r>
    </w:p>
    <w:p w14:paraId="0C23C0A2" w14:textId="22E309C4" w:rsidR="00A93FA7" w:rsidRDefault="00A93FA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FA64F0" wp14:editId="05C135D6">
            <wp:extent cx="5485714" cy="3657143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4272" w14:textId="1A12075A" w:rsidR="002D273B" w:rsidRDefault="002D273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14: Stock prices F after 100 days</w:t>
      </w:r>
    </w:p>
    <w:p w14:paraId="4E54B207" w14:textId="3AD48305" w:rsidR="007B14D0" w:rsidRPr="00527F2C" w:rsidRDefault="00527F2C" w:rsidP="007B14D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price at day 0</w:t>
      </w:r>
      <w:r w:rsidR="007B14D0">
        <w:rPr>
          <w:rFonts w:ascii="Times New Roman" w:hAnsi="Times New Roman" w:cs="Times New Roman"/>
        </w:rPr>
        <w:t xml:space="preserve"> of F</w:t>
      </w:r>
      <w:r>
        <w:rPr>
          <w:rFonts w:ascii="Times New Roman" w:hAnsi="Times New Roman" w:cs="Times New Roman"/>
        </w:rPr>
        <w:t xml:space="preserve"> was </w:t>
      </w:r>
      <w:r w:rsidRPr="00527F2C">
        <w:rPr>
          <w:rFonts w:ascii="Times New Roman" w:hAnsi="Times New Roman" w:cs="Times New Roman"/>
        </w:rPr>
        <w:t>13.680000305175781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USD,</w:t>
      </w:r>
      <w:r w:rsidR="007B14D0">
        <w:rPr>
          <w:rFonts w:ascii="Times New Roman" w:hAnsi="Times New Roman" w:cs="Times New Roman"/>
        </w:rPr>
        <w:t xml:space="preserve"> </w:t>
      </w:r>
      <w:r w:rsidR="007B14D0">
        <w:rPr>
          <w:rFonts w:ascii="Times New Roman" w:hAnsi="Times New Roman" w:cs="Times New Roman"/>
        </w:rPr>
        <w:t xml:space="preserve">the simulated price at day 100 will gain is </w:t>
      </w:r>
      <w:r w:rsidR="007B14D0" w:rsidRPr="007B14D0">
        <w:rPr>
          <w:rFonts w:ascii="Times New Roman" w:hAnsi="Times New Roman" w:cs="Times New Roman"/>
        </w:rPr>
        <w:t>0.47448845305234144</w:t>
      </w:r>
      <w:r w:rsidR="007B14D0">
        <w:rPr>
          <w:rFonts w:ascii="Times New Roman" w:hAnsi="Times New Roman" w:cs="Times New Roman"/>
        </w:rPr>
        <w:t xml:space="preserve"> </w:t>
      </w:r>
      <w:r w:rsidR="007B14D0">
        <w:rPr>
          <w:rFonts w:ascii="Times New Roman" w:hAnsi="Times New Roman" w:cs="Times New Roman"/>
        </w:rPr>
        <w:t>USD.</w:t>
      </w:r>
    </w:p>
    <w:p w14:paraId="7CF59A54" w14:textId="5052518D" w:rsidR="002D273B" w:rsidRDefault="002D273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BEAA3A1" wp14:editId="3CD20714">
            <wp:extent cx="5485714" cy="3657143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64CB" w14:textId="6E432CE4" w:rsidR="002D273B" w:rsidRDefault="002D273B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15: Stock prices PG after 100 days</w:t>
      </w:r>
    </w:p>
    <w:p w14:paraId="4C13741E" w14:textId="0A58479A" w:rsidR="007B14D0" w:rsidRDefault="00527F2C" w:rsidP="007B14D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price at day 0</w:t>
      </w:r>
      <w:r w:rsidR="007B14D0">
        <w:rPr>
          <w:rFonts w:ascii="Times New Roman" w:hAnsi="Times New Roman" w:cs="Times New Roman"/>
        </w:rPr>
        <w:t xml:space="preserve"> of PG</w:t>
      </w:r>
      <w:r>
        <w:rPr>
          <w:rFonts w:ascii="Times New Roman" w:hAnsi="Times New Roman" w:cs="Times New Roman"/>
        </w:rPr>
        <w:t xml:space="preserve"> was </w:t>
      </w:r>
      <w:r w:rsidRPr="00527F2C">
        <w:rPr>
          <w:rFonts w:ascii="Times New Roman" w:hAnsi="Times New Roman" w:cs="Times New Roman"/>
        </w:rPr>
        <w:t>147.8800048828125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USD,</w:t>
      </w:r>
      <w:r w:rsidR="007B14D0">
        <w:rPr>
          <w:rFonts w:ascii="Times New Roman" w:hAnsi="Times New Roman" w:cs="Times New Roman"/>
        </w:rPr>
        <w:t xml:space="preserve"> </w:t>
      </w:r>
      <w:r w:rsidR="007B14D0">
        <w:rPr>
          <w:rFonts w:ascii="Times New Roman" w:hAnsi="Times New Roman" w:cs="Times New Roman"/>
        </w:rPr>
        <w:t xml:space="preserve">the simulated price at day 100 will gain is </w:t>
      </w:r>
      <w:r w:rsidR="007B14D0" w:rsidRPr="007B14D0">
        <w:rPr>
          <w:rFonts w:ascii="Times New Roman" w:hAnsi="Times New Roman" w:cs="Times New Roman"/>
        </w:rPr>
        <w:t>2.702965639846127</w:t>
      </w:r>
      <w:r w:rsidR="007B14D0">
        <w:rPr>
          <w:rFonts w:ascii="Times New Roman" w:hAnsi="Times New Roman" w:cs="Times New Roman"/>
        </w:rPr>
        <w:t xml:space="preserve"> </w:t>
      </w:r>
      <w:r w:rsidR="007B14D0">
        <w:rPr>
          <w:rFonts w:ascii="Times New Roman" w:hAnsi="Times New Roman" w:cs="Times New Roman"/>
        </w:rPr>
        <w:t>USD.</w:t>
      </w:r>
    </w:p>
    <w:p w14:paraId="77BF8F32" w14:textId="0AE57079" w:rsidR="00AA3A19" w:rsidRDefault="00AA3A19" w:rsidP="007B14D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F187673" w14:textId="32415D86" w:rsidR="00AA3A19" w:rsidRPr="00527F2C" w:rsidRDefault="00AA3A19" w:rsidP="007B14D0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conclusion, after 100 days, both four companies will gain in prices. However, AAPL will gain the highest price and F will gain the least.</w:t>
      </w:r>
    </w:p>
    <w:p w14:paraId="26B1B331" w14:textId="215A7AA4" w:rsidR="00527F2C" w:rsidRPr="00514CF1" w:rsidRDefault="00527F2C" w:rsidP="00527F2C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10F8031" w14:textId="77777777" w:rsidR="002D273B" w:rsidRPr="00527F2C" w:rsidRDefault="002D273B" w:rsidP="00527F2C">
      <w:pPr>
        <w:tabs>
          <w:tab w:val="left" w:pos="2620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3479BACA" w14:textId="77777777" w:rsidR="00A93FA7" w:rsidRPr="003D5DD8" w:rsidRDefault="00A93FA7" w:rsidP="00764F61">
      <w:pPr>
        <w:tabs>
          <w:tab w:val="left" w:pos="2620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sectPr w:rsidR="00A93FA7" w:rsidRPr="003D5DD8" w:rsidSect="001858CD">
      <w:footerReference w:type="even" r:id="rId26"/>
      <w:footerReference w:type="default" r:id="rId27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C5C1B" w14:textId="77777777" w:rsidR="00FD155D" w:rsidRDefault="00FD155D" w:rsidP="002420BC">
      <w:r>
        <w:separator/>
      </w:r>
    </w:p>
  </w:endnote>
  <w:endnote w:type="continuationSeparator" w:id="0">
    <w:p w14:paraId="43F42E8D" w14:textId="77777777" w:rsidR="00FD155D" w:rsidRDefault="00FD155D" w:rsidP="0024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04333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CEF070" w14:textId="5CF49E37" w:rsidR="0095453D" w:rsidRDefault="0095453D" w:rsidP="009545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EBC419" w14:textId="77777777" w:rsidR="0095453D" w:rsidRDefault="0095453D" w:rsidP="00CC25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46494305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93EBE78" w14:textId="2B19EF6D" w:rsidR="0095453D" w:rsidRPr="005323F6" w:rsidRDefault="0095453D" w:rsidP="0095453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323F6">
          <w:rPr>
            <w:rStyle w:val="PageNumber"/>
            <w:rFonts w:ascii="Times New Roman" w:hAnsi="Times New Roman" w:cs="Times New Roman"/>
          </w:rPr>
          <w:fldChar w:fldCharType="begin"/>
        </w:r>
        <w:r w:rsidRPr="005323F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323F6">
          <w:rPr>
            <w:rStyle w:val="PageNumber"/>
            <w:rFonts w:ascii="Times New Roman" w:hAnsi="Times New Roman" w:cs="Times New Roman"/>
          </w:rPr>
          <w:fldChar w:fldCharType="separate"/>
        </w:r>
        <w:r w:rsidR="00280941">
          <w:rPr>
            <w:rStyle w:val="PageNumber"/>
            <w:rFonts w:ascii="Times New Roman" w:hAnsi="Times New Roman" w:cs="Times New Roman"/>
            <w:noProof/>
          </w:rPr>
          <w:t>13</w:t>
        </w:r>
        <w:r w:rsidRPr="005323F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2F2D769" w14:textId="77777777" w:rsidR="0095453D" w:rsidRDefault="0095453D" w:rsidP="00CC25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7E62" w14:textId="77777777" w:rsidR="00FD155D" w:rsidRDefault="00FD155D" w:rsidP="002420BC">
      <w:r>
        <w:separator/>
      </w:r>
    </w:p>
  </w:footnote>
  <w:footnote w:type="continuationSeparator" w:id="0">
    <w:p w14:paraId="4EB32B21" w14:textId="77777777" w:rsidR="00FD155D" w:rsidRDefault="00FD155D" w:rsidP="0024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F27"/>
    <w:multiLevelType w:val="hybridMultilevel"/>
    <w:tmpl w:val="2C028FDE"/>
    <w:lvl w:ilvl="0" w:tplc="FC3ADD24">
      <w:start w:val="1"/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02D2FCC"/>
    <w:multiLevelType w:val="hybridMultilevel"/>
    <w:tmpl w:val="E190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67BB1"/>
    <w:multiLevelType w:val="hybridMultilevel"/>
    <w:tmpl w:val="1DB869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1089D"/>
    <w:multiLevelType w:val="hybridMultilevel"/>
    <w:tmpl w:val="3DF07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D62"/>
    <w:multiLevelType w:val="hybridMultilevel"/>
    <w:tmpl w:val="BB64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30BE4"/>
    <w:multiLevelType w:val="hybridMultilevel"/>
    <w:tmpl w:val="C558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B7480"/>
    <w:multiLevelType w:val="hybridMultilevel"/>
    <w:tmpl w:val="54862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060012"/>
    <w:multiLevelType w:val="hybridMultilevel"/>
    <w:tmpl w:val="92FC7A66"/>
    <w:lvl w:ilvl="0" w:tplc="98301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F11DB3"/>
    <w:multiLevelType w:val="multilevel"/>
    <w:tmpl w:val="DFD6D7F6"/>
    <w:lvl w:ilvl="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(BourneU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9E404B"/>
    <w:rsid w:val="00005939"/>
    <w:rsid w:val="00005C2D"/>
    <w:rsid w:val="0000611A"/>
    <w:rsid w:val="00006308"/>
    <w:rsid w:val="0001263D"/>
    <w:rsid w:val="00024077"/>
    <w:rsid w:val="000269E7"/>
    <w:rsid w:val="000346D5"/>
    <w:rsid w:val="000355B0"/>
    <w:rsid w:val="0004392F"/>
    <w:rsid w:val="0004659A"/>
    <w:rsid w:val="00051655"/>
    <w:rsid w:val="000565F4"/>
    <w:rsid w:val="00066B59"/>
    <w:rsid w:val="000706CC"/>
    <w:rsid w:val="0007180A"/>
    <w:rsid w:val="00071D5E"/>
    <w:rsid w:val="00075074"/>
    <w:rsid w:val="00090151"/>
    <w:rsid w:val="000941BF"/>
    <w:rsid w:val="00097E3D"/>
    <w:rsid w:val="000B2B1D"/>
    <w:rsid w:val="000B546D"/>
    <w:rsid w:val="000B6CB2"/>
    <w:rsid w:val="000D066B"/>
    <w:rsid w:val="000D0B18"/>
    <w:rsid w:val="000D0B78"/>
    <w:rsid w:val="000D3B81"/>
    <w:rsid w:val="000E0410"/>
    <w:rsid w:val="000E4933"/>
    <w:rsid w:val="000E57F6"/>
    <w:rsid w:val="000F1127"/>
    <w:rsid w:val="000F2309"/>
    <w:rsid w:val="000F5D25"/>
    <w:rsid w:val="0010297A"/>
    <w:rsid w:val="001038B8"/>
    <w:rsid w:val="00107CA8"/>
    <w:rsid w:val="001157EE"/>
    <w:rsid w:val="00115C1D"/>
    <w:rsid w:val="00116D98"/>
    <w:rsid w:val="00123DEA"/>
    <w:rsid w:val="00130EB3"/>
    <w:rsid w:val="001335B7"/>
    <w:rsid w:val="00134949"/>
    <w:rsid w:val="00136005"/>
    <w:rsid w:val="00136258"/>
    <w:rsid w:val="001400C5"/>
    <w:rsid w:val="00141ADE"/>
    <w:rsid w:val="001439DD"/>
    <w:rsid w:val="001467C7"/>
    <w:rsid w:val="001501C4"/>
    <w:rsid w:val="0015356A"/>
    <w:rsid w:val="00154130"/>
    <w:rsid w:val="00163B9B"/>
    <w:rsid w:val="001712BB"/>
    <w:rsid w:val="00184528"/>
    <w:rsid w:val="001858CD"/>
    <w:rsid w:val="00185D00"/>
    <w:rsid w:val="001911B8"/>
    <w:rsid w:val="00194911"/>
    <w:rsid w:val="001A3847"/>
    <w:rsid w:val="001A4F2A"/>
    <w:rsid w:val="001B5606"/>
    <w:rsid w:val="001C2480"/>
    <w:rsid w:val="001D2ED5"/>
    <w:rsid w:val="001D3A07"/>
    <w:rsid w:val="001D614C"/>
    <w:rsid w:val="001D7845"/>
    <w:rsid w:val="001E1F59"/>
    <w:rsid w:val="001E37D0"/>
    <w:rsid w:val="001E42A2"/>
    <w:rsid w:val="001F0D5C"/>
    <w:rsid w:val="001F30F6"/>
    <w:rsid w:val="001F3FBD"/>
    <w:rsid w:val="00201B8B"/>
    <w:rsid w:val="00215E44"/>
    <w:rsid w:val="00217916"/>
    <w:rsid w:val="00231A0E"/>
    <w:rsid w:val="00234B32"/>
    <w:rsid w:val="00241119"/>
    <w:rsid w:val="002420BC"/>
    <w:rsid w:val="002439D4"/>
    <w:rsid w:val="00245267"/>
    <w:rsid w:val="00246342"/>
    <w:rsid w:val="002514D9"/>
    <w:rsid w:val="00251DA1"/>
    <w:rsid w:val="00261321"/>
    <w:rsid w:val="002618E4"/>
    <w:rsid w:val="0026200A"/>
    <w:rsid w:val="00267F8C"/>
    <w:rsid w:val="00274599"/>
    <w:rsid w:val="00276DFC"/>
    <w:rsid w:val="00280941"/>
    <w:rsid w:val="00283B28"/>
    <w:rsid w:val="002852BF"/>
    <w:rsid w:val="002950F2"/>
    <w:rsid w:val="002B5ABB"/>
    <w:rsid w:val="002B75DB"/>
    <w:rsid w:val="002C231C"/>
    <w:rsid w:val="002C3F35"/>
    <w:rsid w:val="002D12DD"/>
    <w:rsid w:val="002D273B"/>
    <w:rsid w:val="002D41A2"/>
    <w:rsid w:val="002D58BC"/>
    <w:rsid w:val="002E0417"/>
    <w:rsid w:val="002E0ADD"/>
    <w:rsid w:val="002E1F51"/>
    <w:rsid w:val="002E52A7"/>
    <w:rsid w:val="002E547C"/>
    <w:rsid w:val="002F0B8A"/>
    <w:rsid w:val="002F47F7"/>
    <w:rsid w:val="002F7A4E"/>
    <w:rsid w:val="00310C75"/>
    <w:rsid w:val="00310E58"/>
    <w:rsid w:val="0031324D"/>
    <w:rsid w:val="003161C2"/>
    <w:rsid w:val="0032162C"/>
    <w:rsid w:val="003235CC"/>
    <w:rsid w:val="00327D7B"/>
    <w:rsid w:val="0033234B"/>
    <w:rsid w:val="003356FC"/>
    <w:rsid w:val="003412DF"/>
    <w:rsid w:val="00341B62"/>
    <w:rsid w:val="00352764"/>
    <w:rsid w:val="00357721"/>
    <w:rsid w:val="00375DB5"/>
    <w:rsid w:val="00380CAB"/>
    <w:rsid w:val="00393880"/>
    <w:rsid w:val="00394104"/>
    <w:rsid w:val="003A5036"/>
    <w:rsid w:val="003A7854"/>
    <w:rsid w:val="003B1966"/>
    <w:rsid w:val="003B7FC5"/>
    <w:rsid w:val="003C02F2"/>
    <w:rsid w:val="003C10CF"/>
    <w:rsid w:val="003C3EB2"/>
    <w:rsid w:val="003C45A8"/>
    <w:rsid w:val="003D0560"/>
    <w:rsid w:val="003D5DD8"/>
    <w:rsid w:val="003E0758"/>
    <w:rsid w:val="003F284B"/>
    <w:rsid w:val="004010F0"/>
    <w:rsid w:val="00401717"/>
    <w:rsid w:val="00402FA0"/>
    <w:rsid w:val="0040534F"/>
    <w:rsid w:val="00410B71"/>
    <w:rsid w:val="00413D19"/>
    <w:rsid w:val="00415EBD"/>
    <w:rsid w:val="00416BD3"/>
    <w:rsid w:val="0042148E"/>
    <w:rsid w:val="00422F85"/>
    <w:rsid w:val="00424F7B"/>
    <w:rsid w:val="00425154"/>
    <w:rsid w:val="00440E14"/>
    <w:rsid w:val="004432A1"/>
    <w:rsid w:val="0045566D"/>
    <w:rsid w:val="0046083C"/>
    <w:rsid w:val="0046203D"/>
    <w:rsid w:val="00463316"/>
    <w:rsid w:val="0046566D"/>
    <w:rsid w:val="00465EF6"/>
    <w:rsid w:val="00467711"/>
    <w:rsid w:val="004679C9"/>
    <w:rsid w:val="00470B6E"/>
    <w:rsid w:val="0048285B"/>
    <w:rsid w:val="00483639"/>
    <w:rsid w:val="00487E68"/>
    <w:rsid w:val="00490654"/>
    <w:rsid w:val="00491EC9"/>
    <w:rsid w:val="00493288"/>
    <w:rsid w:val="0049567F"/>
    <w:rsid w:val="004A497B"/>
    <w:rsid w:val="004B1164"/>
    <w:rsid w:val="004B2D47"/>
    <w:rsid w:val="004E3A50"/>
    <w:rsid w:val="004F1EED"/>
    <w:rsid w:val="004F2271"/>
    <w:rsid w:val="00500318"/>
    <w:rsid w:val="00513BF3"/>
    <w:rsid w:val="00514CF1"/>
    <w:rsid w:val="00521710"/>
    <w:rsid w:val="0052464C"/>
    <w:rsid w:val="00527F2C"/>
    <w:rsid w:val="00530B1B"/>
    <w:rsid w:val="005323F6"/>
    <w:rsid w:val="005338F6"/>
    <w:rsid w:val="005408B8"/>
    <w:rsid w:val="00544E69"/>
    <w:rsid w:val="0054540F"/>
    <w:rsid w:val="00547B72"/>
    <w:rsid w:val="0056337F"/>
    <w:rsid w:val="00563667"/>
    <w:rsid w:val="00576EDC"/>
    <w:rsid w:val="00581065"/>
    <w:rsid w:val="005828E9"/>
    <w:rsid w:val="005875DA"/>
    <w:rsid w:val="0059297F"/>
    <w:rsid w:val="0059756B"/>
    <w:rsid w:val="005A1876"/>
    <w:rsid w:val="005A73A3"/>
    <w:rsid w:val="005A7A5C"/>
    <w:rsid w:val="005D4A40"/>
    <w:rsid w:val="005E11F5"/>
    <w:rsid w:val="00614239"/>
    <w:rsid w:val="00614B20"/>
    <w:rsid w:val="00623648"/>
    <w:rsid w:val="00626A3D"/>
    <w:rsid w:val="00630491"/>
    <w:rsid w:val="00637B69"/>
    <w:rsid w:val="006403FC"/>
    <w:rsid w:val="00647D13"/>
    <w:rsid w:val="0065221E"/>
    <w:rsid w:val="00653F76"/>
    <w:rsid w:val="00653FEE"/>
    <w:rsid w:val="00656BC9"/>
    <w:rsid w:val="00662178"/>
    <w:rsid w:val="0066318A"/>
    <w:rsid w:val="0067165B"/>
    <w:rsid w:val="00680AE2"/>
    <w:rsid w:val="00682C65"/>
    <w:rsid w:val="0068706D"/>
    <w:rsid w:val="0069138E"/>
    <w:rsid w:val="00691D2C"/>
    <w:rsid w:val="00696308"/>
    <w:rsid w:val="006A03E7"/>
    <w:rsid w:val="006A7E5B"/>
    <w:rsid w:val="006B3A77"/>
    <w:rsid w:val="006B75C0"/>
    <w:rsid w:val="006B7D37"/>
    <w:rsid w:val="006C55C6"/>
    <w:rsid w:val="006C7AEF"/>
    <w:rsid w:val="006D54B3"/>
    <w:rsid w:val="006E4728"/>
    <w:rsid w:val="006F33CC"/>
    <w:rsid w:val="006F4B73"/>
    <w:rsid w:val="00700C8E"/>
    <w:rsid w:val="00703E00"/>
    <w:rsid w:val="0071070D"/>
    <w:rsid w:val="0071432F"/>
    <w:rsid w:val="00716981"/>
    <w:rsid w:val="00744B06"/>
    <w:rsid w:val="007566BA"/>
    <w:rsid w:val="00757E67"/>
    <w:rsid w:val="00763813"/>
    <w:rsid w:val="00764F61"/>
    <w:rsid w:val="007702D5"/>
    <w:rsid w:val="007767E3"/>
    <w:rsid w:val="00785C4E"/>
    <w:rsid w:val="00787AEC"/>
    <w:rsid w:val="00796620"/>
    <w:rsid w:val="007A066D"/>
    <w:rsid w:val="007A7266"/>
    <w:rsid w:val="007A7293"/>
    <w:rsid w:val="007B11B9"/>
    <w:rsid w:val="007B14D0"/>
    <w:rsid w:val="007B4229"/>
    <w:rsid w:val="00800F91"/>
    <w:rsid w:val="008013BF"/>
    <w:rsid w:val="00815296"/>
    <w:rsid w:val="00821EB2"/>
    <w:rsid w:val="00824086"/>
    <w:rsid w:val="008371F4"/>
    <w:rsid w:val="0084712C"/>
    <w:rsid w:val="00850520"/>
    <w:rsid w:val="00850EE0"/>
    <w:rsid w:val="00852507"/>
    <w:rsid w:val="008674F0"/>
    <w:rsid w:val="00885E59"/>
    <w:rsid w:val="0088700C"/>
    <w:rsid w:val="00890201"/>
    <w:rsid w:val="00893A3B"/>
    <w:rsid w:val="00894E6C"/>
    <w:rsid w:val="008A0C0F"/>
    <w:rsid w:val="008A3F18"/>
    <w:rsid w:val="008A7097"/>
    <w:rsid w:val="008C59AA"/>
    <w:rsid w:val="008C62BF"/>
    <w:rsid w:val="008C77C4"/>
    <w:rsid w:val="008D036A"/>
    <w:rsid w:val="008D1804"/>
    <w:rsid w:val="008D1CF1"/>
    <w:rsid w:val="008D2809"/>
    <w:rsid w:val="008E48D4"/>
    <w:rsid w:val="008E4E46"/>
    <w:rsid w:val="008F1B2E"/>
    <w:rsid w:val="009075C8"/>
    <w:rsid w:val="009078F5"/>
    <w:rsid w:val="009119A3"/>
    <w:rsid w:val="00917489"/>
    <w:rsid w:val="009247BF"/>
    <w:rsid w:val="00927B24"/>
    <w:rsid w:val="0093439A"/>
    <w:rsid w:val="00936250"/>
    <w:rsid w:val="00940665"/>
    <w:rsid w:val="0094220A"/>
    <w:rsid w:val="009466AE"/>
    <w:rsid w:val="00947631"/>
    <w:rsid w:val="00951C8F"/>
    <w:rsid w:val="0095453D"/>
    <w:rsid w:val="00963852"/>
    <w:rsid w:val="009649DE"/>
    <w:rsid w:val="00971E8F"/>
    <w:rsid w:val="00982705"/>
    <w:rsid w:val="0098336E"/>
    <w:rsid w:val="00984CAC"/>
    <w:rsid w:val="00987B4F"/>
    <w:rsid w:val="00995BBC"/>
    <w:rsid w:val="009A4B6C"/>
    <w:rsid w:val="009C21C2"/>
    <w:rsid w:val="009C4896"/>
    <w:rsid w:val="009C4E5E"/>
    <w:rsid w:val="009D6119"/>
    <w:rsid w:val="009E404B"/>
    <w:rsid w:val="009E5B4D"/>
    <w:rsid w:val="009E5ED9"/>
    <w:rsid w:val="009E6ADD"/>
    <w:rsid w:val="009F2F65"/>
    <w:rsid w:val="00A03C9B"/>
    <w:rsid w:val="00A12EB6"/>
    <w:rsid w:val="00A17D65"/>
    <w:rsid w:val="00A20DEB"/>
    <w:rsid w:val="00A3032E"/>
    <w:rsid w:val="00A3100A"/>
    <w:rsid w:val="00A33E63"/>
    <w:rsid w:val="00A3459C"/>
    <w:rsid w:val="00A347F9"/>
    <w:rsid w:val="00A34A79"/>
    <w:rsid w:val="00A46E59"/>
    <w:rsid w:val="00A526E2"/>
    <w:rsid w:val="00A52857"/>
    <w:rsid w:val="00A533C7"/>
    <w:rsid w:val="00A5684E"/>
    <w:rsid w:val="00A62DD1"/>
    <w:rsid w:val="00A65659"/>
    <w:rsid w:val="00A66385"/>
    <w:rsid w:val="00A6668C"/>
    <w:rsid w:val="00A74EE0"/>
    <w:rsid w:val="00A77B99"/>
    <w:rsid w:val="00A902C5"/>
    <w:rsid w:val="00A93142"/>
    <w:rsid w:val="00A93FA7"/>
    <w:rsid w:val="00A946FE"/>
    <w:rsid w:val="00AA110D"/>
    <w:rsid w:val="00AA1EB7"/>
    <w:rsid w:val="00AA3A19"/>
    <w:rsid w:val="00AA4774"/>
    <w:rsid w:val="00AA5067"/>
    <w:rsid w:val="00AA5A40"/>
    <w:rsid w:val="00AB2F96"/>
    <w:rsid w:val="00AC41D5"/>
    <w:rsid w:val="00AC7C87"/>
    <w:rsid w:val="00AD0C85"/>
    <w:rsid w:val="00AD6446"/>
    <w:rsid w:val="00AE0629"/>
    <w:rsid w:val="00AF2DC8"/>
    <w:rsid w:val="00AF3EAE"/>
    <w:rsid w:val="00B02908"/>
    <w:rsid w:val="00B062D9"/>
    <w:rsid w:val="00B06465"/>
    <w:rsid w:val="00B1134C"/>
    <w:rsid w:val="00B1655A"/>
    <w:rsid w:val="00B20E90"/>
    <w:rsid w:val="00B217FD"/>
    <w:rsid w:val="00B264EB"/>
    <w:rsid w:val="00B350BB"/>
    <w:rsid w:val="00B352E2"/>
    <w:rsid w:val="00B414A3"/>
    <w:rsid w:val="00B47B54"/>
    <w:rsid w:val="00B50B85"/>
    <w:rsid w:val="00B525EE"/>
    <w:rsid w:val="00B57708"/>
    <w:rsid w:val="00B61166"/>
    <w:rsid w:val="00B7129C"/>
    <w:rsid w:val="00B76624"/>
    <w:rsid w:val="00B77F22"/>
    <w:rsid w:val="00B81622"/>
    <w:rsid w:val="00B81A0C"/>
    <w:rsid w:val="00B85925"/>
    <w:rsid w:val="00B909B5"/>
    <w:rsid w:val="00B95793"/>
    <w:rsid w:val="00BA572B"/>
    <w:rsid w:val="00BB4FFC"/>
    <w:rsid w:val="00BB69AA"/>
    <w:rsid w:val="00BC2E9F"/>
    <w:rsid w:val="00BC48C5"/>
    <w:rsid w:val="00BC53B6"/>
    <w:rsid w:val="00BD0B9F"/>
    <w:rsid w:val="00BD0C01"/>
    <w:rsid w:val="00BD1C59"/>
    <w:rsid w:val="00BD2EE6"/>
    <w:rsid w:val="00BD374D"/>
    <w:rsid w:val="00BD5660"/>
    <w:rsid w:val="00BF3BE7"/>
    <w:rsid w:val="00BF5042"/>
    <w:rsid w:val="00C01EF8"/>
    <w:rsid w:val="00C02CC4"/>
    <w:rsid w:val="00C0308C"/>
    <w:rsid w:val="00C064D3"/>
    <w:rsid w:val="00C10D2A"/>
    <w:rsid w:val="00C15F64"/>
    <w:rsid w:val="00C27436"/>
    <w:rsid w:val="00C30DCE"/>
    <w:rsid w:val="00C31012"/>
    <w:rsid w:val="00C31DDE"/>
    <w:rsid w:val="00C35240"/>
    <w:rsid w:val="00C3685B"/>
    <w:rsid w:val="00C447D4"/>
    <w:rsid w:val="00C468CD"/>
    <w:rsid w:val="00C566D4"/>
    <w:rsid w:val="00C5715F"/>
    <w:rsid w:val="00C626EB"/>
    <w:rsid w:val="00C62C62"/>
    <w:rsid w:val="00C6741D"/>
    <w:rsid w:val="00C72C85"/>
    <w:rsid w:val="00C74F57"/>
    <w:rsid w:val="00C752ED"/>
    <w:rsid w:val="00C816B7"/>
    <w:rsid w:val="00C85342"/>
    <w:rsid w:val="00C94434"/>
    <w:rsid w:val="00CA009F"/>
    <w:rsid w:val="00CB2ACD"/>
    <w:rsid w:val="00CB4E8C"/>
    <w:rsid w:val="00CC046B"/>
    <w:rsid w:val="00CC251E"/>
    <w:rsid w:val="00CC491A"/>
    <w:rsid w:val="00CD35A9"/>
    <w:rsid w:val="00CD5B0E"/>
    <w:rsid w:val="00CF0959"/>
    <w:rsid w:val="00D0508F"/>
    <w:rsid w:val="00D05442"/>
    <w:rsid w:val="00D0588E"/>
    <w:rsid w:val="00D05F40"/>
    <w:rsid w:val="00D10CF1"/>
    <w:rsid w:val="00D148AB"/>
    <w:rsid w:val="00D15035"/>
    <w:rsid w:val="00D23A89"/>
    <w:rsid w:val="00D302B6"/>
    <w:rsid w:val="00D30F62"/>
    <w:rsid w:val="00D3766E"/>
    <w:rsid w:val="00D44C6F"/>
    <w:rsid w:val="00D52FC5"/>
    <w:rsid w:val="00D5382E"/>
    <w:rsid w:val="00D53E9C"/>
    <w:rsid w:val="00D54ECA"/>
    <w:rsid w:val="00D61DBF"/>
    <w:rsid w:val="00D65C5D"/>
    <w:rsid w:val="00D70E45"/>
    <w:rsid w:val="00D747E8"/>
    <w:rsid w:val="00D75D93"/>
    <w:rsid w:val="00D76825"/>
    <w:rsid w:val="00D8723C"/>
    <w:rsid w:val="00D9199C"/>
    <w:rsid w:val="00D93546"/>
    <w:rsid w:val="00DA01E7"/>
    <w:rsid w:val="00DA5689"/>
    <w:rsid w:val="00DB764A"/>
    <w:rsid w:val="00DC64C8"/>
    <w:rsid w:val="00DC72F4"/>
    <w:rsid w:val="00DD6795"/>
    <w:rsid w:val="00DE4503"/>
    <w:rsid w:val="00DF00D3"/>
    <w:rsid w:val="00DF1AD2"/>
    <w:rsid w:val="00DF46F5"/>
    <w:rsid w:val="00E14AAB"/>
    <w:rsid w:val="00E153F5"/>
    <w:rsid w:val="00E15E99"/>
    <w:rsid w:val="00E3260F"/>
    <w:rsid w:val="00E3367B"/>
    <w:rsid w:val="00E36A08"/>
    <w:rsid w:val="00E4140B"/>
    <w:rsid w:val="00E41D35"/>
    <w:rsid w:val="00E43457"/>
    <w:rsid w:val="00E45A70"/>
    <w:rsid w:val="00E46EBD"/>
    <w:rsid w:val="00E50FC6"/>
    <w:rsid w:val="00E60807"/>
    <w:rsid w:val="00E63B11"/>
    <w:rsid w:val="00E8041B"/>
    <w:rsid w:val="00E831D3"/>
    <w:rsid w:val="00E8756E"/>
    <w:rsid w:val="00E92D13"/>
    <w:rsid w:val="00EA0FAE"/>
    <w:rsid w:val="00EA23DD"/>
    <w:rsid w:val="00EA26FD"/>
    <w:rsid w:val="00EA5759"/>
    <w:rsid w:val="00EB7421"/>
    <w:rsid w:val="00ED2A7A"/>
    <w:rsid w:val="00ED6643"/>
    <w:rsid w:val="00EF2040"/>
    <w:rsid w:val="00EF3FBE"/>
    <w:rsid w:val="00F008F1"/>
    <w:rsid w:val="00F03DCC"/>
    <w:rsid w:val="00F05DD5"/>
    <w:rsid w:val="00F26C80"/>
    <w:rsid w:val="00F26ECB"/>
    <w:rsid w:val="00F3544F"/>
    <w:rsid w:val="00F36074"/>
    <w:rsid w:val="00F456B6"/>
    <w:rsid w:val="00F46187"/>
    <w:rsid w:val="00F52B74"/>
    <w:rsid w:val="00F56BE2"/>
    <w:rsid w:val="00F57020"/>
    <w:rsid w:val="00F5773D"/>
    <w:rsid w:val="00F60646"/>
    <w:rsid w:val="00F63510"/>
    <w:rsid w:val="00F63B32"/>
    <w:rsid w:val="00F6557D"/>
    <w:rsid w:val="00F655DE"/>
    <w:rsid w:val="00F67DC4"/>
    <w:rsid w:val="00F72086"/>
    <w:rsid w:val="00F74632"/>
    <w:rsid w:val="00F76896"/>
    <w:rsid w:val="00F81E88"/>
    <w:rsid w:val="00F876D6"/>
    <w:rsid w:val="00F87F73"/>
    <w:rsid w:val="00F90B94"/>
    <w:rsid w:val="00FA4D6B"/>
    <w:rsid w:val="00FA62C8"/>
    <w:rsid w:val="00FB2B2E"/>
    <w:rsid w:val="00FB79B4"/>
    <w:rsid w:val="00FC5271"/>
    <w:rsid w:val="00FD155D"/>
    <w:rsid w:val="00FD2F1A"/>
    <w:rsid w:val="00FD3418"/>
    <w:rsid w:val="00FD3871"/>
    <w:rsid w:val="00FE4143"/>
    <w:rsid w:val="00FE6A2D"/>
    <w:rsid w:val="00FF05DB"/>
    <w:rsid w:val="00FF2CAF"/>
    <w:rsid w:val="00FF30A3"/>
    <w:rsid w:val="00FF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7505B"/>
  <w15:chartTrackingRefBased/>
  <w15:docId w15:val="{3505AAF5-C59B-F943-B81B-13F3DF9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9AA"/>
    <w:pPr>
      <w:keepNext/>
      <w:keepLines/>
      <w:spacing w:before="120" w:after="120" w:line="259" w:lineRule="auto"/>
      <w:outlineLvl w:val="0"/>
    </w:pPr>
    <w:rPr>
      <w:rFonts w:ascii="Arial" w:eastAsia="Calibri" w:hAnsi="Arial" w:cs="Calibri"/>
      <w:b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E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1A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5C4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890201"/>
    <w:pPr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90201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890201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90201"/>
    <w:rPr>
      <w:rFonts w:ascii="Calibri" w:hAnsi="Calibri" w:cs="Calibri"/>
    </w:rPr>
  </w:style>
  <w:style w:type="character" w:customStyle="1" w:styleId="apple-converted-space">
    <w:name w:val="apple-converted-space"/>
    <w:basedOn w:val="DefaultParagraphFont"/>
    <w:rsid w:val="00890201"/>
  </w:style>
  <w:style w:type="character" w:styleId="Strong">
    <w:name w:val="Strong"/>
    <w:basedOn w:val="DefaultParagraphFont"/>
    <w:uiPriority w:val="22"/>
    <w:qFormat/>
    <w:rsid w:val="0089020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4D6B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0EE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16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6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62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6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622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62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622"/>
    <w:rPr>
      <w:rFonts w:ascii="Times New Roman" w:hAnsi="Times New Roman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20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0B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20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0BC"/>
    <w:rPr>
      <w:lang w:val="en-GB"/>
    </w:rPr>
  </w:style>
  <w:style w:type="table" w:styleId="GridTable3-Accent1">
    <w:name w:val="Grid Table 3 Accent 1"/>
    <w:basedOn w:val="TableNormal"/>
    <w:uiPriority w:val="48"/>
    <w:rsid w:val="008A709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59AA"/>
    <w:rPr>
      <w:rFonts w:ascii="Arial" w:eastAsia="Calibri" w:hAnsi="Arial" w:cs="Calibri"/>
      <w:b/>
      <w:szCs w:val="48"/>
      <w:lang w:val="en-GB" w:eastAsia="en-GB"/>
    </w:rPr>
  </w:style>
  <w:style w:type="table" w:styleId="TableGrid">
    <w:name w:val="Table Grid"/>
    <w:basedOn w:val="TableNormal"/>
    <w:uiPriority w:val="39"/>
    <w:rsid w:val="008C59AA"/>
    <w:rPr>
      <w:rFonts w:ascii="Calibri" w:eastAsia="Calibri" w:hAnsi="Calibri" w:cs="Calibri"/>
      <w:sz w:val="22"/>
      <w:szCs w:val="22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C59A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59A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59AA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C59AA"/>
    <w:pPr>
      <w:ind w:left="480"/>
    </w:pPr>
    <w:rPr>
      <w:rFonts w:cstheme="minorHAnsi"/>
      <w:i/>
      <w:i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C251E"/>
  </w:style>
  <w:style w:type="paragraph" w:styleId="TableofFigures">
    <w:name w:val="table of figures"/>
    <w:basedOn w:val="Normal"/>
    <w:next w:val="Normal"/>
    <w:uiPriority w:val="99"/>
    <w:semiHidden/>
    <w:unhideWhenUsed/>
    <w:rsid w:val="00CC251E"/>
  </w:style>
  <w:style w:type="paragraph" w:styleId="TOC4">
    <w:name w:val="toc 4"/>
    <w:basedOn w:val="Normal"/>
    <w:next w:val="Normal"/>
    <w:autoRedefine/>
    <w:uiPriority w:val="39"/>
    <w:semiHidden/>
    <w:unhideWhenUsed/>
    <w:rsid w:val="0071432F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432F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432F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432F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432F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432F"/>
    <w:pPr>
      <w:ind w:left="192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B02908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02908"/>
    <w:rPr>
      <w:rFonts w:eastAsiaTheme="minorEastAsia"/>
      <w:sz w:val="22"/>
      <w:szCs w:val="22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B95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1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DD44E-BCDE-43E1-A8F2-9BB3C6A2A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2247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Thuy Nguyen (s5220439)</dc:creator>
  <cp:keywords/>
  <dc:description/>
  <cp:lastModifiedBy>Nhàn Dương</cp:lastModifiedBy>
  <cp:revision>501</cp:revision>
  <dcterms:created xsi:type="dcterms:W3CDTF">2020-05-09T13:15:00Z</dcterms:created>
  <dcterms:modified xsi:type="dcterms:W3CDTF">2022-06-22T16:38:00Z</dcterms:modified>
</cp:coreProperties>
</file>