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8444C5" w:rsidP="00775CD6">
      <w:pPr>
        <w:ind w:firstLine="0"/>
      </w:pPr>
      <w:r w:rsidRPr="00AE3D90">
        <w:t xml:space="preserve">IDE </w:t>
      </w:r>
      <w:r>
        <w:t>–</w:t>
      </w:r>
      <w:r w:rsidRPr="00AE3D90">
        <w:t xml:space="preserve"> Inte</w:t>
      </w:r>
      <w:r>
        <w:t>rgrated Development Environment</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extent cx="3503171" cy="2443891"/>
                <wp:effectExtent l="0" t="0" r="21590" b="13970"/>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3503171" cy="2443891"/>
                          <a:chOff x="5638796" y="2360613"/>
                          <a:chExt cx="1133" cy="626"/>
                        </a:xfrm>
                      </wpg:grpSpPr>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151" y="2360613"/>
                            <a:ext cx="414"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24"/>
                            <a:ext cx="408"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796" y="2361025"/>
                            <a:ext cx="453"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SpPr>
                          <a:spLocks noChangeShapeType="1"/>
                        </wps:cNvSpPr>
                        <wps:spPr bwMode="auto">
                          <a:xfrm flipV="1">
                            <a:off x="5639014" y="2360810"/>
                            <a:ext cx="195" cy="230"/>
                          </a:xfrm>
                          <a:prstGeom prst="line">
                            <a:avLst/>
                          </a:prstGeom>
                          <a:noFill/>
                          <a:ln w="38100">
                            <a:solidFill>
                              <a:schemeClr val="tx1"/>
                            </a:solidFill>
                            <a:round/>
                            <a:headEnd/>
                            <a:tailEnd type="triangle" w="med" len="med"/>
                          </a:ln>
                        </wps:spPr>
                        <wps:txbx>
                          <w:txbxContent>
                            <w:p w:rsidR="008A18CF" w:rsidRDefault="008A18CF" w:rsidP="008A18CF">
                              <w:pPr>
                                <w:rPr>
                                  <w:rFonts w:eastAsia="Times New Roman"/>
                                </w:rPr>
                              </w:pPr>
                            </w:p>
                          </w:txbxContent>
                        </wps:txbx>
                        <wps:bodyPr/>
                      </wps:wsp>
                      <wps:wsp>
                        <wps:cNvPr id="53" name="Line 9"/>
                        <wps:cNvSpPr>
                          <a:spLocks noChangeShapeType="1"/>
                        </wps:cNvSpPr>
                        <wps:spPr bwMode="auto">
                          <a:xfrm flipH="1" flipV="1">
                            <a:off x="5639365" y="2360810"/>
                            <a:ext cx="214" cy="230"/>
                          </a:xfrm>
                          <a:prstGeom prst="line">
                            <a:avLst/>
                          </a:prstGeom>
                          <a:noFill/>
                          <a:ln w="38100">
                            <a:solidFill>
                              <a:schemeClr val="tx1"/>
                            </a:solidFill>
                            <a:round/>
                            <a:headEnd/>
                            <a:tailEnd type="triangle" w="med" len="med"/>
                          </a:ln>
                        </wps:spPr>
                        <wps:txbx>
                          <w:txbxContent>
                            <w:p w:rsidR="008A18CF" w:rsidRDefault="008A18CF" w:rsidP="008A18CF">
                              <w:pPr>
                                <w:rPr>
                                  <w:rFonts w:eastAsia="Times New Roman"/>
                                </w:rPr>
                              </w:pPr>
                            </w:p>
                          </w:txbxContent>
                        </wps:txbx>
                        <wps:bodyPr/>
                      </wps:wsp>
                      <wps:wsp>
                        <wps:cNvPr id="54" name="Line 10"/>
                        <wps:cNvSpPr>
                          <a:spLocks noChangeShapeType="1"/>
                        </wps:cNvSpPr>
                        <wps:spPr bwMode="auto">
                          <a:xfrm>
                            <a:off x="5639092" y="2361139"/>
                            <a:ext cx="429" cy="0"/>
                          </a:xfrm>
                          <a:prstGeom prst="line">
                            <a:avLst/>
                          </a:prstGeom>
                          <a:noFill/>
                          <a:ln w="38100">
                            <a:solidFill>
                              <a:schemeClr val="tx1"/>
                            </a:solidFill>
                            <a:round/>
                            <a:headEnd type="triangle" w="med" len="med"/>
                            <a:tailEnd type="triangle" w="med" len="med"/>
                          </a:ln>
                        </wps:spPr>
                        <wps:txbx>
                          <w:txbxContent>
                            <w:p w:rsidR="008A18CF" w:rsidRDefault="008A18CF" w:rsidP="008A18CF">
                              <w:pPr>
                                <w:rPr>
                                  <w:rFonts w:eastAsia="Times New Roman"/>
                                </w:rPr>
                              </w:pPr>
                            </w:p>
                          </w:txbxContent>
                        </wps:txbx>
                        <wps:bodyPr/>
                      </wps:wsp>
                      <wps:wsp>
                        <wps:cNvPr id="55" name="Text Box 11"/>
                        <wps:cNvSpPr txBox="1">
                          <a:spLocks noChangeArrowheads="1"/>
                        </wps:cNvSpPr>
                        <wps:spPr bwMode="auto">
                          <a:xfrm>
                            <a:off x="5638960" y="2360868"/>
                            <a:ext cx="145" cy="66"/>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wps:txbx>
                        <wps:bodyPr lIns="0" tIns="0" rIns="0" bIns="0">
                          <a:spAutoFit/>
                        </wps:bodyPr>
                      </wps:wsp>
                      <wps:wsp>
                        <wps:cNvPr id="56" name="Text Box 12"/>
                        <wps:cNvSpPr txBox="1">
                          <a:spLocks noChangeArrowheads="1"/>
                        </wps:cNvSpPr>
                        <wps:spPr bwMode="auto">
                          <a:xfrm>
                            <a:off x="5639505" y="2360868"/>
                            <a:ext cx="234" cy="66"/>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wps:txbx>
                        <wps:bodyPr wrap="none" lIns="0" tIns="0" rIns="0" bIns="0">
                          <a:spAutoFit/>
                        </wps:bodyPr>
                      </wps:wsp>
                    </wpg:wgp>
                  </a:graphicData>
                </a:graphic>
              </wp:inline>
            </w:drawing>
          </mc:Choice>
          <mc:Fallback>
            <w:pict>
              <v:group id="Group 4" o:spid="_x0000_s1026" style="width:275.85pt;height:192.45pt;mso-position-horizontal-relative:char;mso-position-vertical-relative:line" coordorigin="56387,23606" coordsize="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GkXAQAAPwWAAAOAAAAZHJzL2Uyb0RvYy54bWzkWNtu2zgQfV+g/0DofWNdLMUW4hS9JbtA&#10;egGa3XdaoixhJVIgmcj5+w6HlKwocTebtk678YNBStSQc3hm5pAnL7dNTa6ZVJXgKy848j3CeCby&#10;im9W3l+XZ78vPKI05TmtBWcr74Yp7+Xpi99OujZloShFnTNJwAhXadeuvFLrNp3NVFayhqoj0TIO&#10;LwshG6qhKzezXNIOrDf1LPT9ZNYJmbdSZEwpePrWvvRO0X5RsEx/LArFNKlXHqxN47/E/7X5n52e&#10;0HQjaVtWmVsGfcQqGlpxmHQw9ZZqSq5kdcdUU2VSKFHoo0w0M1EUVcbQB/Am8CfenEtx1aIvm7Tb&#10;tANMAO0Ep0ebzT5cf5KkymHvAo9w2sAe4bRkbrDp2k0KQ85l+7n9JN2Dje2Rdfde5DCeXmmBzm8L&#10;2RgQwC2yRYxvBozZVpMMHkaxHwXHMFcG78L5PFosA7sLWQlbZb6Lk2hxvEw8YkZEiZ8EUT/inbMS&#10;BFFkTSRhYl7OaGpnn5kluxWa9QOt1A459W3IfS5py3BDlIHFIRcf98hdGi9fiy2xKzazwzADHdFb&#10;eA4oI1CqvRDZP4pw8aakfMNeSSm6ktEc1odogBfDp9YLZYz8G+KA3DKMwx65AChlkevRD8O5hS0I&#10;l7dgo2krlT5noiGmsfIkhA6ulV5fKG0R7oeYPVairvKzqq6xY8KVvakluaYQaOuNdWIyquakW3nL&#10;OIzRMBfmc7BM06bSkAXqqll5C9/87KoNIu94jkM0rWrbhq2uOey4gcigYvHR2/UWBpqHa5HfAFgd&#10;RPXK45B2PFL/yQFakwD6huwba9dAP9pXwOWzCv3dmXKTAZEOxKg5ZE0bix8BUAJd55pjk13rj+NQ&#10;EEOATqOv59A8cBwKoQHrGkLvDodYXVetMgFD00fQiGYZ4/ohVPoaGfX2XguQWh2z/ivLbLbsd+Qe&#10;slGelQJqTKYl4mOIdDjuxMDyEXege1juxOHAncCHdAOz03Tgjg/Mxsz/jLkT9jvy83Fn0ACYdyAL&#10;HJQ746oP3Ikn3IldyX/OeQeV0K4y3SpyT5x3QHbYvHNRcUYeUrJQTl3etKAhbY42jg0lznT2qx5S&#10;QG35uxdUTnEa/eOb8uRq12Kqf4Jl7PJPhHlxf+2qwYmvFa6RerG6JoLJfPzie1cjohEiLSvQijWo&#10;GVBRDctB1TA4c5mWrcJ7VBHWK6fme3FkPjhwWYLgHdED1eet7QaxOFHF30yPPww99hIlSoAL+4hi&#10;cowtVM+MKJh0zcbY4vQERAHgR0SxEfwDmWLkyTh9LHfHpyBCmo7kC5yakBU/d/J4UMKgqTtSPWj0&#10;/kMXphc8gz8payCWLWt2Z/CpejnYGXyxTECE96klwVK4I1EwdzUouX1zcef49CsewZENx71sdAL3&#10;Fzt9x3D1NOXSoNkPfp8T+6MyNeVSGLky9b/l0qAj7zksfT9e4a0hXLHibYa7DjZ3uOM+SqbdpfXp&#10;FwAAAP//AwBQSwMEFAAGAAgAAAAhALD+qibeAAAABQEAAA8AAABkcnMvZG93bnJldi54bWxMj0FL&#10;w0AQhe9C/8Mygje7SWvaGrMppainItgK4m2anSah2dmQ3Sbpv3f1opeBx3u89022Hk0jeupcbVlB&#10;PI1AEBdW11wq+Di83K9AOI+ssbFMCq7kYJ1PbjJMtR34nfq9L0UoYZeigsr7NpXSFRUZdFPbEgfv&#10;ZDuDPsiulLrDIZSbRs6iaCEN1hwWKmxpW1Fx3l+MgtcBh808fu5359P2+nVI3j53MSl1dztunkB4&#10;Gv1fGH7wAzrkgeloL6ydaBSER/zvDV6SxEsQRwXz1cMjyDyT/+nzbwAAAP//AwBQSwECLQAUAAYA&#10;CAAAACEAtoM4kv4AAADhAQAAEwAAAAAAAAAAAAAAAAAAAAAAW0NvbnRlbnRfVHlwZXNdLnhtbFBL&#10;AQItABQABgAIAAAAIQA4/SH/1gAAAJQBAAALAAAAAAAAAAAAAAAAAC8BAABfcmVscy8ucmVsc1BL&#10;AQItABQABgAIAAAAIQBtaYGkXAQAAPwWAAAOAAAAAAAAAAAAAAAAAC4CAABkcnMvZTJvRG9jLnht&#10;bFBLAQItABQABgAIAAAAIQCw/qom3gAAAAUBAAAPAAAAAAAAAAAAAAAAALYGAABkcnMvZG93bnJl&#10;di54bWxQSwUGAAAAAAQABADzAAAAwQcAAAAA&#10;">
                <v:shapetype id="_x0000_t202" coordsize="21600,21600" o:spt="202" path="m,l,21600r21600,l21600,xe">
                  <v:stroke joinstyle="miter"/>
                  <v:path gradientshapeok="t" o:connecttype="rect"/>
                </v:shapetype>
                <v:shape id="Text Box 13" o:spid="_x0000_s1027"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28"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29"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0" style="position:absolute;left:56387;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1" style="position:absolute;flip:y;visibility:visible;mso-wrap-style:square;v-text-anchor:top" from="56390,23608" to="56392,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7E8QA&#10;AADbAAAADwAAAGRycy9kb3ducmV2LnhtbESPT2sCMRTE7wW/Q3hCbzXrQotsjSLSgqUIrdaDt8fm&#10;mV3cvCxJ3D/f3hQKPQ4z8xtmuR5sIzryoXasYD7LQBCXTtdsFPwc358WIEJE1tg4JgUjBVivJg9L&#10;LLTr+Zu6QzQiQTgUqKCKsS2kDGVFFsPMtcTJuzhvMSbpjdQe+wS3jcyz7EVarDktVNjStqLyerhZ&#10;Bcb0Xx+jX4xv8/HTXM/5ad+5k1KP02HzCiLSEP/Df+2dVvCcw++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uxPEAAAA2wAAAA8AAAAAAAAAAAAAAAAAmAIAAGRycy9k&#10;b3ducmV2LnhtbFBLBQYAAAAABAAEAPUAAACJAwAAAAA=&#10;" strokecolor="black [3213]" strokeweight="3pt">
                  <v:stroke endarrow="block"/>
                  <v:textbox>
                    <w:txbxContent>
                      <w:p w:rsidR="008A18CF" w:rsidRDefault="008A18CF" w:rsidP="008A18CF">
                        <w:pPr>
                          <w:rPr>
                            <w:rFonts w:eastAsia="Times New Roman"/>
                          </w:rPr>
                        </w:pPr>
                      </w:p>
                    </w:txbxContent>
                  </v:textbox>
                </v:line>
                <v:line id="Line 9" o:spid="_x0000_s1032" style="position:absolute;flip:x y;visibility:visible;mso-wrap-style:square;v-text-anchor:top" from="56393,23608" to="56395,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H+sIA&#10;AADbAAAADwAAAGRycy9kb3ducmV2LnhtbESPQWvCQBSE7wX/w/KE3uqmKdYaXaUEiu3RKPX6yD6T&#10;pdm3YXej8d93hUKPw8x8w6y3o+3EhXwwjhU8zzIQxLXThhsFx8PH0xuIEJE1do5JwY0CbDeThzUW&#10;2l15T5cqNiJBOBSooI2xL6QMdUsWw8z1xMk7O28xJukbqT1eE9x2Ms+yV2nRcFposaeypfqnGqwC&#10;uVvupFnczOC+9jqWmH+XJ6vU43R8X4GINMb/8F/7UyuYv8D9S/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4f6wgAAANsAAAAPAAAAAAAAAAAAAAAAAJgCAABkcnMvZG93&#10;bnJldi54bWxQSwUGAAAAAAQABAD1AAAAhwMAAAAA&#10;" strokecolor="black [3213]" strokeweight="3pt">
                  <v:stroke endarrow="block"/>
                  <v:textbox>
                    <w:txbxContent>
                      <w:p w:rsidR="008A18CF" w:rsidRDefault="008A18CF" w:rsidP="008A18CF">
                        <w:pPr>
                          <w:rPr>
                            <w:rFonts w:eastAsia="Times New Roman"/>
                          </w:rPr>
                        </w:pPr>
                      </w:p>
                    </w:txbxContent>
                  </v:textbox>
                </v:line>
                <v:line id="Line 10" o:spid="_x0000_s1033" style="position:absolute;visibility:visible;mso-wrap-style:square;v-text-anchor:top" from="56390,23611" to="56395,2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wMUA&#10;AADbAAAADwAAAGRycy9kb3ducmV2LnhtbESPT2vCQBTE74LfYXmCN92obdXoKrGl0EMu/kE8PrLP&#10;JCb7NmS3mn77bkHocZiZ3zDrbWdqcafWlZYVTMYRCOLM6pJzBafj52gBwnlkjbVlUvBDDrabfm+N&#10;sbYP3tP94HMRIOxiVFB438RSuqwgg25sG+LgXW1r0AfZ5lK3+AhwU8tpFL1JgyWHhQIbei8oqw7f&#10;RsFHgmmVzs+32T7jZbVLzstLOlVqOOiSFQhPnf8PP9tfWsHr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gGHAxQAAANsAAAAPAAAAAAAAAAAAAAAAAJgCAABkcnMv&#10;ZG93bnJldi54bWxQSwUGAAAAAAQABAD1AAAAigMAAAAA&#10;" strokecolor="black [3213]" strokeweight="3pt">
                  <v:stroke startarrow="block" endarrow="block"/>
                  <v:textbox>
                    <w:txbxContent>
                      <w:p w:rsidR="008A18CF" w:rsidRDefault="008A18CF" w:rsidP="008A18CF">
                        <w:pPr>
                          <w:rPr>
                            <w:rFonts w:eastAsia="Times New Roman"/>
                          </w:rPr>
                        </w:pPr>
                      </w:p>
                    </w:txbxContent>
                  </v:textbox>
                </v:line>
                <v:shape id="Text Box 11" o:spid="_x0000_s1034" type="#_x0000_t202" style="position:absolute;left:56389;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v:textbox>
                </v:shape>
                <v:shape id="Text Box 12" o:spid="_x0000_s1035" type="#_x0000_t202" style="position:absolute;left:56395;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bookmarkStart w:id="12" w:name="_GoBack"/>
      <w:bookmarkEnd w:id="12"/>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Pr="0077274F">
        <w:t>&gt; &lt;portType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E94B5F" w:rsidP="00B537D4">
      <w:pPr>
        <w:pStyle w:val="Heading4"/>
        <w:numPr>
          <w:ilvl w:val="3"/>
          <w:numId w:val="32"/>
        </w:numPr>
      </w:pPr>
      <w:r>
        <w:rPr>
          <w:noProof/>
        </w:rPr>
        <mc:AlternateContent>
          <mc:Choice Requires="wps">
            <w:drawing>
              <wp:anchor distT="0" distB="0" distL="114300" distR="114300" simplePos="0" relativeHeight="251658240" behindDoc="0" locked="0" layoutInCell="1" allowOverlap="1" wp14:anchorId="321618FF" wp14:editId="14C9C93A">
                <wp:simplePos x="0" y="0"/>
                <wp:positionH relativeFrom="column">
                  <wp:posOffset>1056005</wp:posOffset>
                </wp:positionH>
                <wp:positionV relativeFrom="paragraph">
                  <wp:posOffset>916305</wp:posOffset>
                </wp:positionV>
                <wp:extent cx="4333240" cy="3474720"/>
                <wp:effectExtent l="0" t="0" r="10160" b="11430"/>
                <wp:wrapTopAndBottom/>
                <wp:docPr id="9" name="Rectangle 9"/>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left:0;text-align:left;margin-left:83.15pt;margin-top:72.15pt;width:341.2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cShQIAAFcFAAAOAAAAZHJzL2Uyb0RvYy54bWysVE1v2zAMvQ/YfxB0X52vfgVxiiBFhwFF&#10;W7QdelZkKTYgixqlxM5+/SjZcYu22GFYDo4kko/i46MWV21t2F6hr8DmfHwy4kxZCUVltzn/+Xzz&#10;7YIzH4QthAGrcn5Qnl8tv35ZNG6uJlCCKRQyArF+3riclyG4eZZ5Wapa+BNwypJRA9Yi0Ba3WYGi&#10;IfTaZJPR6CxrAAuHIJX3dHrdGfky4WutZLjX2qvATM7pbiF9MX038ZstF2K+ReHKSvbXEP9wi1pU&#10;lpIOUNciCLbD6gNUXUkEDzqcSKgz0LqSKtVA1YxH76p5KoVTqRYix7uBJv//YOXd/gFZVeT8kjMr&#10;amrRI5Em7NYodhnpaZyfk9eTe8B+52kZa2011vGfqmBtovQwUKrawCQdzqbT6WRGzEuyTWfns/NJ&#10;Ij17DXfow3cFNYuLnCOlT1SK/a0PlJJcjy4xm4Wbyph4Hm/W3SWtwsGo6GDso9JUEmWfJKAkJrU2&#10;yPaCZCCkVDaMO1MpCtUdn47oFwumfENE2iXAiKwp8YDdA0ShfsTuYHr/GKqSFofg0d8u1gUPESkz&#10;2DAE15UF/AzAUFV95s7/SFJHTWQptJs2tfvs2NsNFAeSAEI3G97Jm4oacSt8eBBIw0DNowEP9/TR&#10;BpqcQ7/irAT8/dl59CeNkpWzhoYr5/7XTqDizPywpN7L8SxqIqTN7DRqguFby+atxe7qNVDjxvSU&#10;OJmW0T+Y41Ij1C/0DqxiVjIJKyl3zmXA42YduqGnl0Sq1Sq50QQ6EW7tk5MRPPIchfbcvgh0vRoD&#10;CfkOjoMo5u9E2fnGSAurXQBdJcVGpjte+w7Q9CYp9S9NfB7e7pPX63u4/AMAAP//AwBQSwMEFAAG&#10;AAgAAAAhAL6eD2jiAAAACwEAAA8AAABkcnMvZG93bnJldi54bWxMj1FLwzAUhd8F/0O4gm8urXZZ&#10;rU1HJwjiQFg3RN+y5q4tNkltsq3+e69P+nYO9+Pcc/LlZHp2wtF3zkqIZxEwtLXTnW0k7LZPNykw&#10;H5TVqncWJXyjh2VxeZGrTLuz3eCpCg2jEOszJaENYcg493WLRvmZG9DS7eBGowLZseF6VGcKNz2/&#10;jSLBjeosfWjVgI8t1p/V0Uh428wPuFqJHX/9KL/KuHqe1i/vUl5fTeUDsIBT+IPhtz5Vh4I67d3R&#10;as968kLcEUoiSUgQkSbpAthegriP58CLnP/fUPwAAAD//wMAUEsBAi0AFAAGAAgAAAAhALaDOJL+&#10;AAAA4QEAABMAAAAAAAAAAAAAAAAAAAAAAFtDb250ZW50X1R5cGVzXS54bWxQSwECLQAUAAYACAAA&#10;ACEAOP0h/9YAAACUAQAACwAAAAAAAAAAAAAAAAAvAQAAX3JlbHMvLnJlbHNQSwECLQAUAAYACAAA&#10;ACEAwolXEoUCAABXBQAADgAAAAAAAAAAAAAAAAAuAgAAZHJzL2Uyb0RvYy54bWxQSwECLQAUAAYA&#10;CAAAACEAvp4PaOIAAAALAQAADwAAAAAAAAAAAAAAAADfBAAAZHJzL2Rvd25yZXYueG1sUEsFBgAA&#10;AAAEAAQA8wAAAO4FAAAAAA==&#10;" filled="f" strokecolor="#1f4d78 [1604]" strokeweight="1pt">
                <v:textbo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v:textbox>
                <w10:wrap type="topAndBottom"/>
              </v:rect>
            </w:pict>
          </mc:Fallback>
        </mc:AlternateContent>
      </w:r>
      <w:r w:rsidR="00B537D4">
        <w:t>Cấu trúc của một tiến trình</w:t>
      </w:r>
    </w:p>
    <w:p w:rsidR="00BB549B" w:rsidRDefault="009243DD" w:rsidP="009243DD">
      <w:r>
        <w:t>Một tiến trình BPEL là một mô tả d</w:t>
      </w:r>
      <w:r w:rsidR="0088780A">
        <w:t>ư</w:t>
      </w:r>
      <w:r>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Pr="004F04FF">
        <w:t>là các Activity có cấu trúc, nó có thể chứa được các Activity khác bê</w:t>
      </w:r>
      <w:r>
        <w:t>nh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Các Activity điều khiển và có cấu trúc</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Các Activity dùng để quản lý lỗi và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services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 xml:space="preserve">Nền tảng </w:t>
      </w:r>
      <w:r w:rsidR="00B13880">
        <w:t>Eclipse</w:t>
      </w:r>
    </w:p>
    <w:p w:rsidR="00991FC9" w:rsidRDefault="00FA6966" w:rsidP="00FA6966">
      <w:pPr>
        <w:pStyle w:val="Heading3"/>
      </w:pPr>
      <w:r>
        <w:t xml:space="preserve">2.1.1 </w:t>
      </w:r>
      <w:r w:rsidR="00991FC9">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Default="00FA6966" w:rsidP="00FA6966">
      <w:pPr>
        <w:pStyle w:val="Heading3"/>
      </w:pPr>
      <w:r>
        <w:lastRenderedPageBreak/>
        <w:t xml:space="preserve">2.1.2 </w:t>
      </w:r>
      <w:r w:rsidR="00991FC9">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 xml:space="preserve">JavaDevelopment Toolkit (JDT) </w:t>
      </w:r>
    </w:p>
    <w:p w:rsidR="00740F38" w:rsidRDefault="003A244E" w:rsidP="00740F38">
      <w:pPr>
        <w:pStyle w:val="List"/>
      </w:pPr>
      <w:r>
        <w:t>Plug-in</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p>
    <w:p w:rsidR="00823DFC" w:rsidRDefault="003A244E" w:rsidP="006B1EE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p>
    <w:p w:rsidR="006B1EE0" w:rsidRDefault="006B1EE0" w:rsidP="006B1EE0">
      <w:r>
        <w:t>Extension point là một cơ chế cho phép một plug-in có thể thêm các chức năng từ mộ</w:t>
      </w:r>
      <w:r w:rsidR="00041832">
        <w:t>t plug-in khác.</w:t>
      </w:r>
    </w:p>
    <w:p w:rsidR="00ED056C" w:rsidRDefault="00ED056C" w:rsidP="006B1EE0">
      <w:r>
        <w:t>Tất cả các plug-in được tích hợp vào Eclipse sẽ nằm trong thư mục plugins của Eclipse, tên các thư mục con tương ứng với tên các plug-in và version của nó.</w:t>
      </w:r>
    </w:p>
    <w:p w:rsidR="0027315D" w:rsidRDefault="0027315D" w:rsidP="0027315D">
      <w:r>
        <w:t>Plug-in với tên org.eclipse.ant.core được tích hợp trong Eclipse như là một Ant Builder. Trong mỗi thư mục chứa plug-in đều có 1 file plugin.xml,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27315D" w:rsidP="00F852AC">
      <w:pPr>
        <w:pStyle w:val="List"/>
      </w:pPr>
      <w:r>
        <w:t>plugin.xml – Mô tả plug in</w:t>
      </w:r>
    </w:p>
    <w:p w:rsidR="0027315D" w:rsidRDefault="0027315D" w:rsidP="00F852AC">
      <w:pPr>
        <w:pStyle w:val="List"/>
      </w:pPr>
      <w:r>
        <w:t>plugin.properties – Chứa đựng các thông số hay thuộc tính được tham chiếu bởi plugin.xml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823DFC" w:rsidRPr="0015628A" w:rsidRDefault="00823DFC" w:rsidP="0015628A"/>
    <w:p w:rsidR="00991FC9" w:rsidRDefault="00FA6966" w:rsidP="00FA6966">
      <w:pPr>
        <w:pStyle w:val="Heading3"/>
      </w:pPr>
      <w:r>
        <w:lastRenderedPageBreak/>
        <w:t>2.</w:t>
      </w:r>
      <w:r w:rsidR="005575A7">
        <w:t>2</w:t>
      </w:r>
      <w:r>
        <w:t xml:space="preserve">.2 </w:t>
      </w:r>
      <w:r w:rsidR="00991FC9">
        <w:t>Tuỳ biến với dịch vụ Web</w:t>
      </w:r>
    </w:p>
    <w:p w:rsidR="00991FC9" w:rsidRDefault="00FA6966" w:rsidP="00FA6966">
      <w:pPr>
        <w:pStyle w:val="Heading3"/>
      </w:pPr>
      <w:r>
        <w:t>2.</w:t>
      </w:r>
      <w:r w:rsidR="005575A7">
        <w:t>2</w:t>
      </w:r>
      <w:r>
        <w:t xml:space="preserve">.3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756" w:rsidRDefault="00035756" w:rsidP="00BA4D6B">
      <w:pPr>
        <w:spacing w:before="0" w:after="0" w:line="240" w:lineRule="auto"/>
      </w:pPr>
      <w:r>
        <w:separator/>
      </w:r>
    </w:p>
  </w:endnote>
  <w:endnote w:type="continuationSeparator" w:id="0">
    <w:p w:rsidR="00035756" w:rsidRDefault="00035756"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756" w:rsidRDefault="00035756" w:rsidP="00BA4D6B">
      <w:pPr>
        <w:spacing w:before="0" w:after="0" w:line="240" w:lineRule="auto"/>
      </w:pPr>
      <w:r>
        <w:separator/>
      </w:r>
    </w:p>
  </w:footnote>
  <w:footnote w:type="continuationSeparator" w:id="0">
    <w:p w:rsidR="00035756" w:rsidRDefault="00035756"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4"/>
  </w:num>
  <w:num w:numId="3">
    <w:abstractNumId w:val="9"/>
  </w:num>
  <w:num w:numId="4">
    <w:abstractNumId w:val="5"/>
  </w:num>
  <w:num w:numId="5">
    <w:abstractNumId w:val="22"/>
  </w:num>
  <w:num w:numId="6">
    <w:abstractNumId w:val="1"/>
  </w:num>
  <w:num w:numId="7">
    <w:abstractNumId w:val="0"/>
  </w:num>
  <w:num w:numId="8">
    <w:abstractNumId w:val="10"/>
  </w:num>
  <w:num w:numId="9">
    <w:abstractNumId w:val="23"/>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8"/>
  </w:num>
  <w:num w:numId="15">
    <w:abstractNumId w:val="21"/>
  </w:num>
  <w:num w:numId="16">
    <w:abstractNumId w:val="17"/>
  </w:num>
  <w:num w:numId="17">
    <w:abstractNumId w:val="6"/>
  </w:num>
  <w:num w:numId="18">
    <w:abstractNumId w:val="25"/>
  </w:num>
  <w:num w:numId="19">
    <w:abstractNumId w:val="10"/>
  </w:num>
  <w:num w:numId="20">
    <w:abstractNumId w:val="10"/>
  </w:num>
  <w:num w:numId="21">
    <w:abstractNumId w:val="10"/>
  </w:num>
  <w:num w:numId="22">
    <w:abstractNumId w:val="10"/>
  </w:num>
  <w:num w:numId="23">
    <w:abstractNumId w:val="3"/>
  </w:num>
  <w:num w:numId="24">
    <w:abstractNumId w:val="15"/>
  </w:num>
  <w:num w:numId="25">
    <w:abstractNumId w:val="20"/>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9"/>
  </w:num>
  <w:num w:numId="33">
    <w:abstractNumId w:val="11"/>
  </w:num>
  <w:num w:numId="34">
    <w:abstractNumId w:val="16"/>
  </w:num>
  <w:num w:numId="35">
    <w:abstractNumId w:val="10"/>
  </w:num>
  <w:num w:numId="36">
    <w:abstractNumId w:val="1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594D"/>
    <w:rsid w:val="00027C33"/>
    <w:rsid w:val="00027C4D"/>
    <w:rsid w:val="00031DEA"/>
    <w:rsid w:val="00035756"/>
    <w:rsid w:val="0004182F"/>
    <w:rsid w:val="00041832"/>
    <w:rsid w:val="00041EA5"/>
    <w:rsid w:val="000421ED"/>
    <w:rsid w:val="00042221"/>
    <w:rsid w:val="000561D3"/>
    <w:rsid w:val="000563A7"/>
    <w:rsid w:val="0006064A"/>
    <w:rsid w:val="00060D20"/>
    <w:rsid w:val="00062885"/>
    <w:rsid w:val="00063E9D"/>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4501D"/>
    <w:rsid w:val="00151E8A"/>
    <w:rsid w:val="001533EE"/>
    <w:rsid w:val="0015628A"/>
    <w:rsid w:val="0016213D"/>
    <w:rsid w:val="00166146"/>
    <w:rsid w:val="00167925"/>
    <w:rsid w:val="00170418"/>
    <w:rsid w:val="00170673"/>
    <w:rsid w:val="00181F50"/>
    <w:rsid w:val="00185007"/>
    <w:rsid w:val="00191993"/>
    <w:rsid w:val="00191A29"/>
    <w:rsid w:val="00192860"/>
    <w:rsid w:val="00192C0C"/>
    <w:rsid w:val="00194DE8"/>
    <w:rsid w:val="00195056"/>
    <w:rsid w:val="001A016B"/>
    <w:rsid w:val="001A046D"/>
    <w:rsid w:val="001A422A"/>
    <w:rsid w:val="001A6E7F"/>
    <w:rsid w:val="001A7E5A"/>
    <w:rsid w:val="001B09E7"/>
    <w:rsid w:val="001B3746"/>
    <w:rsid w:val="001C0D10"/>
    <w:rsid w:val="001C0D13"/>
    <w:rsid w:val="001C2376"/>
    <w:rsid w:val="001C348A"/>
    <w:rsid w:val="001D2573"/>
    <w:rsid w:val="001D2AA6"/>
    <w:rsid w:val="001D3CFF"/>
    <w:rsid w:val="001D4E3A"/>
    <w:rsid w:val="001D5DD3"/>
    <w:rsid w:val="001E0FB4"/>
    <w:rsid w:val="001E3392"/>
    <w:rsid w:val="001E75BC"/>
    <w:rsid w:val="001F1D32"/>
    <w:rsid w:val="001F2801"/>
    <w:rsid w:val="001F5551"/>
    <w:rsid w:val="001F68D2"/>
    <w:rsid w:val="001F7105"/>
    <w:rsid w:val="00204F45"/>
    <w:rsid w:val="00207BD3"/>
    <w:rsid w:val="00210D97"/>
    <w:rsid w:val="00216145"/>
    <w:rsid w:val="00217AD7"/>
    <w:rsid w:val="00220F69"/>
    <w:rsid w:val="00223CDA"/>
    <w:rsid w:val="00225A9A"/>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77EA"/>
    <w:rsid w:val="002B29FF"/>
    <w:rsid w:val="002B5AC6"/>
    <w:rsid w:val="002B61B0"/>
    <w:rsid w:val="002B6580"/>
    <w:rsid w:val="002B7AB4"/>
    <w:rsid w:val="002C2D0C"/>
    <w:rsid w:val="002C3E0D"/>
    <w:rsid w:val="002C4869"/>
    <w:rsid w:val="002D2DB5"/>
    <w:rsid w:val="002D38DE"/>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A22"/>
    <w:rsid w:val="00322C52"/>
    <w:rsid w:val="003249BC"/>
    <w:rsid w:val="00330FCE"/>
    <w:rsid w:val="003335CD"/>
    <w:rsid w:val="003360CE"/>
    <w:rsid w:val="0033685D"/>
    <w:rsid w:val="003371CB"/>
    <w:rsid w:val="003402EE"/>
    <w:rsid w:val="00343062"/>
    <w:rsid w:val="00346873"/>
    <w:rsid w:val="00352DA2"/>
    <w:rsid w:val="00355EE9"/>
    <w:rsid w:val="00356B2F"/>
    <w:rsid w:val="00361075"/>
    <w:rsid w:val="00363023"/>
    <w:rsid w:val="00370D4C"/>
    <w:rsid w:val="00370D9B"/>
    <w:rsid w:val="0037121A"/>
    <w:rsid w:val="00371CCA"/>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3E20"/>
    <w:rsid w:val="003C5DF1"/>
    <w:rsid w:val="003C63B7"/>
    <w:rsid w:val="003E0615"/>
    <w:rsid w:val="003E5523"/>
    <w:rsid w:val="003E5878"/>
    <w:rsid w:val="003E7CBC"/>
    <w:rsid w:val="003F0148"/>
    <w:rsid w:val="003F1356"/>
    <w:rsid w:val="003F139B"/>
    <w:rsid w:val="003F1AA1"/>
    <w:rsid w:val="003F283B"/>
    <w:rsid w:val="003F2BF5"/>
    <w:rsid w:val="003F30D2"/>
    <w:rsid w:val="003F4B70"/>
    <w:rsid w:val="003F4D6E"/>
    <w:rsid w:val="003F680A"/>
    <w:rsid w:val="004018B8"/>
    <w:rsid w:val="00405178"/>
    <w:rsid w:val="00406BE5"/>
    <w:rsid w:val="00411EF1"/>
    <w:rsid w:val="0041344A"/>
    <w:rsid w:val="00420395"/>
    <w:rsid w:val="00422F2D"/>
    <w:rsid w:val="00423FF9"/>
    <w:rsid w:val="00426BDD"/>
    <w:rsid w:val="00436A72"/>
    <w:rsid w:val="0044000B"/>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475"/>
    <w:rsid w:val="004A7CE7"/>
    <w:rsid w:val="004A7E81"/>
    <w:rsid w:val="004A7EC5"/>
    <w:rsid w:val="004B2AC2"/>
    <w:rsid w:val="004B5BAE"/>
    <w:rsid w:val="004B6013"/>
    <w:rsid w:val="004D41A9"/>
    <w:rsid w:val="004D753A"/>
    <w:rsid w:val="004E40B5"/>
    <w:rsid w:val="004E7E6E"/>
    <w:rsid w:val="004F420C"/>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2CAD"/>
    <w:rsid w:val="005554B5"/>
    <w:rsid w:val="00556CB9"/>
    <w:rsid w:val="005575A7"/>
    <w:rsid w:val="00561138"/>
    <w:rsid w:val="0056306E"/>
    <w:rsid w:val="00570F01"/>
    <w:rsid w:val="00571616"/>
    <w:rsid w:val="005755C6"/>
    <w:rsid w:val="005838BF"/>
    <w:rsid w:val="00583CF2"/>
    <w:rsid w:val="00587E2A"/>
    <w:rsid w:val="00591FAD"/>
    <w:rsid w:val="005A20E6"/>
    <w:rsid w:val="005A2A7C"/>
    <w:rsid w:val="005A3207"/>
    <w:rsid w:val="005A409C"/>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CDB"/>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777BB"/>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167D"/>
    <w:rsid w:val="006B1EE0"/>
    <w:rsid w:val="006B2E4C"/>
    <w:rsid w:val="006B7AFD"/>
    <w:rsid w:val="006C0667"/>
    <w:rsid w:val="006C0966"/>
    <w:rsid w:val="006C387A"/>
    <w:rsid w:val="006D49CB"/>
    <w:rsid w:val="006D547D"/>
    <w:rsid w:val="006E1236"/>
    <w:rsid w:val="006E127C"/>
    <w:rsid w:val="006E1888"/>
    <w:rsid w:val="006E2902"/>
    <w:rsid w:val="006E3164"/>
    <w:rsid w:val="006F37E3"/>
    <w:rsid w:val="006F4EE2"/>
    <w:rsid w:val="006F6B42"/>
    <w:rsid w:val="00705BCD"/>
    <w:rsid w:val="00711156"/>
    <w:rsid w:val="00713A70"/>
    <w:rsid w:val="00714EB5"/>
    <w:rsid w:val="00721C14"/>
    <w:rsid w:val="00727593"/>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9A3"/>
    <w:rsid w:val="007D0B8E"/>
    <w:rsid w:val="007D1EBA"/>
    <w:rsid w:val="007D2876"/>
    <w:rsid w:val="007D4E39"/>
    <w:rsid w:val="007E1C35"/>
    <w:rsid w:val="007F08B8"/>
    <w:rsid w:val="007F3186"/>
    <w:rsid w:val="007F46B3"/>
    <w:rsid w:val="007F6B7B"/>
    <w:rsid w:val="00803F82"/>
    <w:rsid w:val="008109A3"/>
    <w:rsid w:val="00815A57"/>
    <w:rsid w:val="008217E3"/>
    <w:rsid w:val="00822E71"/>
    <w:rsid w:val="00823DFC"/>
    <w:rsid w:val="00832C73"/>
    <w:rsid w:val="0083386F"/>
    <w:rsid w:val="008354D2"/>
    <w:rsid w:val="00840CE1"/>
    <w:rsid w:val="00841531"/>
    <w:rsid w:val="00843A15"/>
    <w:rsid w:val="008444C5"/>
    <w:rsid w:val="00853500"/>
    <w:rsid w:val="008742DC"/>
    <w:rsid w:val="0087703E"/>
    <w:rsid w:val="0088780A"/>
    <w:rsid w:val="00891E5B"/>
    <w:rsid w:val="00893292"/>
    <w:rsid w:val="00895564"/>
    <w:rsid w:val="00896749"/>
    <w:rsid w:val="008A18CF"/>
    <w:rsid w:val="008A5D4B"/>
    <w:rsid w:val="008B105E"/>
    <w:rsid w:val="008B3462"/>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079F4"/>
    <w:rsid w:val="00907F36"/>
    <w:rsid w:val="00912AD8"/>
    <w:rsid w:val="00912BC5"/>
    <w:rsid w:val="00912E22"/>
    <w:rsid w:val="00914334"/>
    <w:rsid w:val="009150CB"/>
    <w:rsid w:val="00915824"/>
    <w:rsid w:val="00922D7D"/>
    <w:rsid w:val="009243DD"/>
    <w:rsid w:val="00924BAA"/>
    <w:rsid w:val="00925B0D"/>
    <w:rsid w:val="0092684C"/>
    <w:rsid w:val="00926C6B"/>
    <w:rsid w:val="00932DE7"/>
    <w:rsid w:val="00933581"/>
    <w:rsid w:val="0093647C"/>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4AD"/>
    <w:rsid w:val="009A36C2"/>
    <w:rsid w:val="009A47FB"/>
    <w:rsid w:val="009B06A9"/>
    <w:rsid w:val="009B3067"/>
    <w:rsid w:val="009B6207"/>
    <w:rsid w:val="009C0549"/>
    <w:rsid w:val="009C1758"/>
    <w:rsid w:val="009C1DF3"/>
    <w:rsid w:val="009C34E1"/>
    <w:rsid w:val="009C3ACC"/>
    <w:rsid w:val="009C5871"/>
    <w:rsid w:val="009C65E0"/>
    <w:rsid w:val="009D212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21EB"/>
    <w:rsid w:val="00A42AE8"/>
    <w:rsid w:val="00A451C3"/>
    <w:rsid w:val="00A509E5"/>
    <w:rsid w:val="00A5419E"/>
    <w:rsid w:val="00A55773"/>
    <w:rsid w:val="00A5735F"/>
    <w:rsid w:val="00A620F7"/>
    <w:rsid w:val="00A72C24"/>
    <w:rsid w:val="00A72DA6"/>
    <w:rsid w:val="00A740B6"/>
    <w:rsid w:val="00A756E2"/>
    <w:rsid w:val="00A84770"/>
    <w:rsid w:val="00A865FA"/>
    <w:rsid w:val="00A87DE0"/>
    <w:rsid w:val="00A91EDE"/>
    <w:rsid w:val="00A92608"/>
    <w:rsid w:val="00A9555B"/>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1ED5"/>
    <w:rsid w:val="00AF2824"/>
    <w:rsid w:val="00B003A6"/>
    <w:rsid w:val="00B13880"/>
    <w:rsid w:val="00B15681"/>
    <w:rsid w:val="00B200C1"/>
    <w:rsid w:val="00B3148E"/>
    <w:rsid w:val="00B32AE4"/>
    <w:rsid w:val="00B4173F"/>
    <w:rsid w:val="00B448F9"/>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7568"/>
    <w:rsid w:val="00BA7EFE"/>
    <w:rsid w:val="00BB13B6"/>
    <w:rsid w:val="00BB3DA1"/>
    <w:rsid w:val="00BB549B"/>
    <w:rsid w:val="00BC63B7"/>
    <w:rsid w:val="00BC6B19"/>
    <w:rsid w:val="00BC7ABE"/>
    <w:rsid w:val="00BD4C48"/>
    <w:rsid w:val="00BE1533"/>
    <w:rsid w:val="00BE1984"/>
    <w:rsid w:val="00BE37E9"/>
    <w:rsid w:val="00BE572F"/>
    <w:rsid w:val="00BE66F3"/>
    <w:rsid w:val="00BF24DC"/>
    <w:rsid w:val="00BF6562"/>
    <w:rsid w:val="00C006E8"/>
    <w:rsid w:val="00C05256"/>
    <w:rsid w:val="00C07FAA"/>
    <w:rsid w:val="00C10B46"/>
    <w:rsid w:val="00C134FA"/>
    <w:rsid w:val="00C15B99"/>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81AB8"/>
    <w:rsid w:val="00C81D36"/>
    <w:rsid w:val="00C8406F"/>
    <w:rsid w:val="00C84EC8"/>
    <w:rsid w:val="00C86561"/>
    <w:rsid w:val="00C86C83"/>
    <w:rsid w:val="00C92A16"/>
    <w:rsid w:val="00CA0F74"/>
    <w:rsid w:val="00CA1915"/>
    <w:rsid w:val="00CA22F4"/>
    <w:rsid w:val="00CC0D7A"/>
    <w:rsid w:val="00CC298C"/>
    <w:rsid w:val="00CC3BAE"/>
    <w:rsid w:val="00CC75DF"/>
    <w:rsid w:val="00CD3650"/>
    <w:rsid w:val="00CD6A1D"/>
    <w:rsid w:val="00CE2E31"/>
    <w:rsid w:val="00CE548F"/>
    <w:rsid w:val="00CE61FE"/>
    <w:rsid w:val="00CF7EF9"/>
    <w:rsid w:val="00D024FD"/>
    <w:rsid w:val="00D045A6"/>
    <w:rsid w:val="00D10315"/>
    <w:rsid w:val="00D11B45"/>
    <w:rsid w:val="00D12679"/>
    <w:rsid w:val="00D14498"/>
    <w:rsid w:val="00D1518D"/>
    <w:rsid w:val="00D15763"/>
    <w:rsid w:val="00D22456"/>
    <w:rsid w:val="00D22A89"/>
    <w:rsid w:val="00D24DBF"/>
    <w:rsid w:val="00D25AA8"/>
    <w:rsid w:val="00D3515A"/>
    <w:rsid w:val="00D3653B"/>
    <w:rsid w:val="00D407E6"/>
    <w:rsid w:val="00D46819"/>
    <w:rsid w:val="00D4729D"/>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E95"/>
    <w:rsid w:val="00DA63AC"/>
    <w:rsid w:val="00DA75DA"/>
    <w:rsid w:val="00DA7F00"/>
    <w:rsid w:val="00DB02D4"/>
    <w:rsid w:val="00DB29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1F7C"/>
    <w:rsid w:val="00E32A69"/>
    <w:rsid w:val="00E3530A"/>
    <w:rsid w:val="00E35A84"/>
    <w:rsid w:val="00E41D94"/>
    <w:rsid w:val="00E43080"/>
    <w:rsid w:val="00E451D7"/>
    <w:rsid w:val="00E459CE"/>
    <w:rsid w:val="00E459E9"/>
    <w:rsid w:val="00E465A5"/>
    <w:rsid w:val="00E51C5F"/>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32C2"/>
    <w:rsid w:val="00EA52CE"/>
    <w:rsid w:val="00EA705F"/>
    <w:rsid w:val="00EB4070"/>
    <w:rsid w:val="00EB4515"/>
    <w:rsid w:val="00EB455F"/>
    <w:rsid w:val="00ED056C"/>
    <w:rsid w:val="00ED5EE1"/>
    <w:rsid w:val="00ED6924"/>
    <w:rsid w:val="00EE5B1F"/>
    <w:rsid w:val="00EF301B"/>
    <w:rsid w:val="00EF48C2"/>
    <w:rsid w:val="00EF68FC"/>
    <w:rsid w:val="00F04485"/>
    <w:rsid w:val="00F05FFD"/>
    <w:rsid w:val="00F0683F"/>
    <w:rsid w:val="00F076F4"/>
    <w:rsid w:val="00F106FC"/>
    <w:rsid w:val="00F12BC5"/>
    <w:rsid w:val="00F17DFD"/>
    <w:rsid w:val="00F20467"/>
    <w:rsid w:val="00F2246E"/>
    <w:rsid w:val="00F24CCD"/>
    <w:rsid w:val="00F25FB9"/>
    <w:rsid w:val="00F34379"/>
    <w:rsid w:val="00F35326"/>
    <w:rsid w:val="00F36B06"/>
    <w:rsid w:val="00F36BBE"/>
    <w:rsid w:val="00F42156"/>
    <w:rsid w:val="00F4317A"/>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91EF8"/>
    <w:rsid w:val="00F947BE"/>
    <w:rsid w:val="00F97466"/>
    <w:rsid w:val="00FA24B4"/>
    <w:rsid w:val="00FA2E0D"/>
    <w:rsid w:val="00FA6966"/>
    <w:rsid w:val="00FA6E73"/>
    <w:rsid w:val="00FA6F4B"/>
    <w:rsid w:val="00FB2D91"/>
    <w:rsid w:val="00FB49A5"/>
    <w:rsid w:val="00FB5F0E"/>
    <w:rsid w:val="00FB67FA"/>
    <w:rsid w:val="00FB7D10"/>
    <w:rsid w:val="00FC53E7"/>
    <w:rsid w:val="00FC632E"/>
    <w:rsid w:val="00FC6E12"/>
    <w:rsid w:val="00FD1E16"/>
    <w:rsid w:val="00FD4AC0"/>
    <w:rsid w:val="00FD51FE"/>
    <w:rsid w:val="00FE18C7"/>
    <w:rsid w:val="00FE4F8F"/>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9ADB5-520E-447E-8412-C3841D22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59</Pages>
  <Words>11571</Words>
  <Characters>65960</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1188</cp:revision>
  <dcterms:created xsi:type="dcterms:W3CDTF">2015-10-12T01:59:00Z</dcterms:created>
  <dcterms:modified xsi:type="dcterms:W3CDTF">2016-01-04T16:59:00Z</dcterms:modified>
</cp:coreProperties>
</file>