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5rnzj0q9uikf" w:id="0"/>
      <w:bookmarkEnd w:id="0"/>
      <w:r w:rsidDel="00000000" w:rsidR="00000000" w:rsidRPr="00000000">
        <w:rPr>
          <w:b w:val="1"/>
          <w:bCs w:val="1"/>
          <w:color w:val="000000"/>
          <w:sz w:val="26"/>
          <w:szCs w:val="26"/>
          <w:rtl w:val="0"/>
        </w:rPr>
        <w:t xml:space="preserve">Báo cáo Mô hình Dự báo Doanh thu &amp; COGS</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Tổng quan &amp; Kiến trúc Mô hình (Problem &amp; Approach)</w:t>
      </w:r>
    </w:p>
    <w:p w:rsidR="00000000" w:rsidDel="00000000" w:rsidP="00000000" w:rsidRDefault="00000000" w:rsidRPr="00000000" w14:paraId="00000003">
      <w:pPr>
        <w:spacing w:after="240" w:lineRule="auto"/>
        <w:rPr/>
      </w:pPr>
      <w:r w:rsidDel="00000000" w:rsidR="00000000" w:rsidRPr="00000000">
        <w:rPr>
          <w:rtl w:val="0"/>
        </w:rPr>
        <w:t xml:space="preserve">Mục tiêu của dự án là dự báo doanh thu (Revenue) và giá vốn hàng bán (COGS) hàng ngày cho một doanh nghiệp thương mại điện tử thời trang, tuân thủ nghiêm ngặt ràng buộc: $0 \le COGS &lt; Revenue$. Hệ thống sử dụng kiến trúc Hybrid Prophet-Aware Stacking, xử lý trọn vẹn 10 năm dữ liệu lịch sử (2012-2022) mà không gặp rủi ro rò rỉ:</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Dự báo Doanh thu (Revenue):</w:t>
      </w:r>
      <w:r w:rsidDel="00000000" w:rsidR="00000000" w:rsidRPr="00000000">
        <w:rPr>
          <w:rtl w:val="0"/>
        </w:rPr>
        <w:t xml:space="preserve"> Phân tách chuỗi thời gian thành 2 tầng. Tầng cơ sở dùng Prophet để bắt xu hướng dài hạn và chu kỳ mùa vụ. Tầng tiếp theo sử dụng 3 mô hình Gradient Boosting (XGBoost, LightGBM, CatBoost) để học phần dư (residuals), sau đó tổng hợp qua HuberRegressor nhằm kháng nhiễu điểm ngoại lai. Kết quả đánh giá cho thấy CatBoost vượt trội trong việc bắt biến động doanh thu (được HuberRegressor gán trọng số cao nhất 0.6254).</w:t>
      </w:r>
    </w:p>
    <w:p w:rsidR="00000000" w:rsidDel="00000000" w:rsidP="00000000" w:rsidRDefault="00000000" w:rsidRPr="00000000" w14:paraId="00000005">
      <w:pPr>
        <w:numPr>
          <w:ilvl w:val="0"/>
          <w:numId w:val="4"/>
        </w:numPr>
        <w:spacing w:after="240" w:lineRule="auto"/>
        <w:ind w:left="720" w:hanging="360"/>
      </w:pPr>
      <w:r w:rsidDel="00000000" w:rsidR="00000000" w:rsidRPr="00000000">
        <w:rPr>
          <w:b w:val="1"/>
          <w:bCs w:val="1"/>
          <w:rtl w:val="0"/>
        </w:rPr>
        <w:t xml:space="preserve">Dự báo Chi phí (COGS):</w:t>
      </w:r>
      <w:r w:rsidDel="00000000" w:rsidR="00000000" w:rsidRPr="00000000">
        <w:rPr>
          <w:rtl w:val="0"/>
        </w:rPr>
        <w:t xml:space="preserve"> Áp dụng chiến lược Mô hình Kép (Dual-Model Strategy). Mô hình A dự báo trực tiếp $log(COGS)$ (đại diện cho ngân sách nhập hàng cố định), mô hình B dự báo $COGS\_Ratio$ (biên lợi nhuận), trong đó LightGBM thể hiện sự ổn định tuyệt đối (nhận trọng số &gt; 1.0 từ HuberRegressor). Kết quả được pha trộn linh hoạt với hệ số $\alpha$ để tối ưu MAE.</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2. Kỹ thuật Đặc trưng (Feature Engineering)</w:t>
      </w:r>
    </w:p>
    <w:p w:rsidR="00000000" w:rsidDel="00000000" w:rsidP="00000000" w:rsidRDefault="00000000" w:rsidRPr="00000000" w14:paraId="00000007">
      <w:pPr>
        <w:spacing w:after="240" w:lineRule="auto"/>
        <w:rPr/>
      </w:pPr>
      <w:r w:rsidDel="00000000" w:rsidR="00000000" w:rsidRPr="00000000">
        <w:rPr>
          <w:rtl w:val="0"/>
        </w:rPr>
        <w:t xml:space="preserve">Quá trình tạo đặc trưng tuân thủ nguyên tắc không sử dụng biến trễ (no lag/rolling) để chặn đứng rò rỉ dữ liệu, thiết kế thành công 35 tính năng. Các cụm đặc trưng cốt lõi bao gồm:</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Hành vi Nhận lương (Payday Effect):</w:t>
      </w:r>
      <w:r w:rsidDel="00000000" w:rsidR="00000000" w:rsidRPr="00000000">
        <w:rPr>
          <w:rtl w:val="0"/>
        </w:rPr>
        <w:t xml:space="preserve"> Mô phỏng "Hiệu ứng hưng phấn sau kỳ lương" theo chu kỳ lương Việt Nam. Hàm suy giảm $y = e^{-x/3}$ (với $x$ là số ngày cách kỳ lương) được sử dụng để lượng hóa sức mua. Mẫu số $3$ đại diện cho "chu kỳ bán rã" ví tiền: sức mua đạt đỉnh (1.0) vào ngày nhận lương và xẹp xuống chỉ còn $\approx 36\%$ ($e^{-1}$) sau 3 ngày, bám sát tâm lý thắt chặt chi tiêu nhanh chóng của người tiêu dùng thực tế.</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Tín hiệu Khuyến mãi (Peak/Sale Signals):</w:t>
      </w:r>
      <w:r w:rsidDel="00000000" w:rsidR="00000000" w:rsidRPr="00000000">
        <w:rPr>
          <w:rtl w:val="0"/>
        </w:rPr>
        <w:t xml:space="preserve"> Lượng hóa sự chờ đợi của khách hàng trước thềm sự kiện (anticipation_signal) và trạng thái bão hòa sau sự kiện (hangover_signal) bằng hàm suy giảm $e^{-\text{days}/14}$.</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Tích hợp Prophet:</w:t>
      </w:r>
      <w:r w:rsidDel="00000000" w:rsidR="00000000" w:rsidRPr="00000000">
        <w:rPr>
          <w:rtl w:val="0"/>
        </w:rPr>
        <w:t xml:space="preserve"> Các thành phần từ Prophet (trend, weekly, yearly) và đặc biệt là khoảng tin cậy prophet_uncert được đưa vào Boosting, giúp mô hình tự nhận thức rủi ro thị trường.</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3. Quy trình Huấn luyện &amp; Tối ưu hóa (Training Pipeline)</w:t>
      </w:r>
    </w:p>
    <w:p w:rsidR="00000000" w:rsidDel="00000000" w:rsidP="00000000" w:rsidRDefault="00000000" w:rsidRPr="00000000" w14:paraId="0000000C">
      <w:pPr>
        <w:spacing w:after="240" w:lineRule="auto"/>
        <w:rPr/>
      </w:pPr>
      <w:r w:rsidDel="00000000" w:rsidR="00000000" w:rsidRPr="00000000">
        <w:rPr>
          <w:rtl w:val="0"/>
        </w:rPr>
        <w:t xml:space="preserve">Quy trình được thiết kế khép kín nhằm đảm bảo tính hợp lệ theo tiêu chuẩn Datathon:</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Walk-Forward CV 4 Fold (2019 - 2022):</w:t>
      </w:r>
      <w:r w:rsidDel="00000000" w:rsidR="00000000" w:rsidRPr="00000000">
        <w:rPr>
          <w:rtl w:val="0"/>
        </w:rPr>
        <w:t xml:space="preserve"> Dữ liệu huấn luyện trải dài từ 04/07/2012. Mô hình Prophet được huấn luyện khép kín hoàn toàn trên tập Train của từng Fold (ví dụ Fold 4 học từ 2012 đến hết 2021), đảm bảo không "nhìn thấy" dữ liệu kiểm chứng, giải quyết triệt để vấn đề Concept Drift.</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Tối ưu Siêu tham số (Hyperparameter Tuning):</w:t>
      </w:r>
      <w:r w:rsidDel="00000000" w:rsidR="00000000" w:rsidRPr="00000000">
        <w:rPr>
          <w:rtl w:val="0"/>
        </w:rPr>
        <w:t xml:space="preserve"> Optuna thực hiện 30 trials/mô hình để tìm cấu hình tối ưu nhất (VD: XGBoost đạt MAE tốt nhất tại $lr=0.0392, depth=5$; LightGBM tại $lr=0.0762, depth=6$).</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Đánh trọng số Mẫu thích ứng (Adaptive Sample Weighting):</w:t>
      </w:r>
      <w:r w:rsidDel="00000000" w:rsidR="00000000" w:rsidRPr="00000000">
        <w:rPr>
          <w:rtl w:val="0"/>
        </w:rPr>
        <w:t xml:space="preserve"> Mô hình được tối ưu hóa trực tiếp trên hàm mục tiêu MAE. Đánh giá OOF MAE cho thấy năm 2019 có sai số cao bất thường (801,641) so với giai đoạn 2020-2022 (quanh 530,000 - 550,000). Hệ thống tự động áp dụng công thức $w = \text{clip}((MAE_{yr} / \mu_{MAE})^{0.5}, 0.5, 2.0)$ để phạt năm nhiễu (Weight 2019 = 1.153) và ổn định các năm sau (Weight 2020-2022 $\approx$ 0.94), ngăn mô hình thiên lệch (bias) vào quá khứ.</w:t>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b w:val="1"/>
          <w:bCs w:val="1"/>
          <w:rtl w:val="0"/>
        </w:rPr>
        <w:t xml:space="preserve">Tối ưu COGS Blend:</w:t>
      </w:r>
      <w:r w:rsidDel="00000000" w:rsidR="00000000" w:rsidRPr="00000000">
        <w:rPr>
          <w:rtl w:val="0"/>
        </w:rPr>
        <w:t xml:space="preserve"> Hệ số $\alpha = 0.2480$ được tìm tự động qua </w:t>
      </w:r>
      <w:r w:rsidDel="00000000" w:rsidR="00000000" w:rsidRPr="00000000">
        <w:rPr>
          <w:color w:val="188038"/>
          <w:rtl w:val="0"/>
        </w:rPr>
        <w:t xml:space="preserve">scipy</w:t>
      </w:r>
      <w:r w:rsidDel="00000000" w:rsidR="00000000" w:rsidRPr="00000000">
        <w:rPr>
          <w:rtl w:val="0"/>
        </w:rPr>
        <w:t xml:space="preserve">. Việc kết hợp hai mô hình tỷ lệ và độc lập đã giúp giảm sai số COGS MAE xuống còn </w:t>
      </w:r>
      <w:r w:rsidDel="00000000" w:rsidR="00000000" w:rsidRPr="00000000">
        <w:rPr>
          <w:b w:val="1"/>
          <w:bCs w:val="1"/>
          <w:rtl w:val="0"/>
        </w:rPr>
        <w:t xml:space="preserve">511,079</w:t>
      </w:r>
      <w:r w:rsidDel="00000000" w:rsidR="00000000" w:rsidRPr="00000000">
        <w:rPr>
          <w:rtl w:val="0"/>
        </w:rPr>
        <w:t xml:space="preserve">, cải thiện hơn 21% so với dự báo log-COGS đơn thuần (649,661) và 5.4% so với dự báo Ratio đơn thuần (540,628). Đồng thời, một chốt chặn nghiệp vụ (hard-clip guardrail) ở mức 99% được kích hoạt để đảm bảo an toàn tuyệt đối trước các điểm nhiễu xả kho sâu, tuân thủ ràng buộc $COGS &lt; Revenue$.</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4. Giải thích Mô hình Doanh thu (Phân tích SHAP)</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Động lực Chu kỳ Chủ đạo:</w:t>
      </w:r>
      <w:r w:rsidDel="00000000" w:rsidR="00000000" w:rsidRPr="00000000">
        <w:rPr>
          <w:rtl w:val="0"/>
        </w:rPr>
        <w:t xml:space="preserve"> Ba biến </w:t>
      </w:r>
      <w:r w:rsidDel="00000000" w:rsidR="00000000" w:rsidRPr="00000000">
        <w:rPr>
          <w:color w:val="188038"/>
          <w:rtl w:val="0"/>
        </w:rPr>
        <w:t xml:space="preserve">month_progress</w:t>
      </w:r>
      <w:r w:rsidDel="00000000" w:rsidR="00000000" w:rsidRPr="00000000">
        <w:rPr>
          <w:rtl w:val="0"/>
        </w:rPr>
        <w:t xml:space="preserve"> (tiến độ tháng), </w:t>
      </w:r>
      <w:r w:rsidDel="00000000" w:rsidR="00000000" w:rsidRPr="00000000">
        <w:rPr>
          <w:color w:val="188038"/>
          <w:rtl w:val="0"/>
        </w:rPr>
        <w:t xml:space="preserve">day</w:t>
      </w:r>
      <w:r w:rsidDel="00000000" w:rsidR="00000000" w:rsidRPr="00000000">
        <w:rPr>
          <w:rtl w:val="0"/>
        </w:rPr>
        <w:t xml:space="preserve"> (ngày) và </w:t>
      </w:r>
      <w:r w:rsidDel="00000000" w:rsidR="00000000" w:rsidRPr="00000000">
        <w:rPr>
          <w:color w:val="188038"/>
          <w:rtl w:val="0"/>
        </w:rPr>
        <w:t xml:space="preserve">t</w:t>
      </w:r>
      <w:r w:rsidDel="00000000" w:rsidR="00000000" w:rsidRPr="00000000">
        <w:rPr>
          <w:rtl w:val="0"/>
        </w:rPr>
        <w:t xml:space="preserve"> (thời gian tuyến tính) đóng góp quan trọng nhất (Mean |SHAP| cao nhất). Điều này khẳng định hành vi mua sắm tập trung cục bộ vào các thời điểm cụ thể trong chu kỳ thay vì dàn trải đều.</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Hiệu ứng Cạn kiệt ngân sách &amp; Bứt phá Sức mua:</w:t>
      </w:r>
      <w:r w:rsidDel="00000000" w:rsidR="00000000" w:rsidRPr="00000000">
        <w:rPr>
          <w:rtl w:val="0"/>
        </w:rPr>
        <w:t xml:space="preserve"> Phân hóa cực trị thể hiện rõ rệt trên biểu đồ Beeswarm. Nửa đầu và giữa tháng (các chấm màu xanh) tác động âm, kéo doanh thu xuống. Ngược lại, sức mua bứt phá mạnh mẽ về cuối tháng (tiến độ &gt; 0.8), tạo ra các giá trị SHAP dương cực cao. Đặc biệt, biến tương tác </w:t>
      </w:r>
      <w:r w:rsidDel="00000000" w:rsidR="00000000" w:rsidRPr="00000000">
        <w:rPr>
          <w:color w:val="188038"/>
          <w:rtl w:val="0"/>
        </w:rPr>
        <w:t xml:space="preserve">payday_x_sale</w:t>
      </w:r>
      <w:r w:rsidDel="00000000" w:rsidR="00000000" w:rsidRPr="00000000">
        <w:rPr>
          <w:rtl w:val="0"/>
        </w:rPr>
        <w:t xml:space="preserve"> lọt top 4 quan trọng, tạo hiệu ứng cộng hưởng làm bùng nổ doanh thu đột biến (SHAP &gt; 0.2) khi khuyến mãi rơi đúng vào kỳ nhận lương.</w:t>
      </w:r>
    </w:p>
    <w:p w:rsidR="00000000" w:rsidDel="00000000" w:rsidP="00000000" w:rsidRDefault="00000000" w:rsidRPr="00000000" w14:paraId="00000014">
      <w:pPr>
        <w:numPr>
          <w:ilvl w:val="0"/>
          <w:numId w:val="3"/>
        </w:numPr>
        <w:spacing w:after="240" w:lineRule="auto"/>
        <w:ind w:left="720" w:hanging="360"/>
      </w:pPr>
      <w:r w:rsidDel="00000000" w:rsidR="00000000" w:rsidRPr="00000000">
        <w:rPr>
          <w:b w:val="1"/>
          <w:bCs w:val="1"/>
          <w:rtl w:val="0"/>
        </w:rPr>
        <w:t xml:space="preserve">Hiệu quả của Kiến trúc Lai (Hybrid):</w:t>
      </w:r>
      <w:r w:rsidDel="00000000" w:rsidR="00000000" w:rsidRPr="00000000">
        <w:rPr>
          <w:rtl w:val="0"/>
        </w:rPr>
        <w:t xml:space="preserve"> Dù các đặc trưng trích xuất thủ công (manual features) chiếm ưu thế top đầu, các tín hiệu vĩ mô sinh ra từ Prophet (</w:t>
      </w:r>
      <w:r w:rsidDel="00000000" w:rsidR="00000000" w:rsidRPr="00000000">
        <w:rPr>
          <w:color w:val="188038"/>
          <w:rtl w:val="0"/>
        </w:rPr>
        <w:t xml:space="preserve">prophet_trend</w:t>
      </w:r>
      <w:r w:rsidDel="00000000" w:rsidR="00000000" w:rsidRPr="00000000">
        <w:rPr>
          <w:rtl w:val="0"/>
        </w:rPr>
        <w:t xml:space="preserve">, </w:t>
      </w:r>
      <w:r w:rsidDel="00000000" w:rsidR="00000000" w:rsidRPr="00000000">
        <w:rPr>
          <w:color w:val="188038"/>
          <w:rtl w:val="0"/>
        </w:rPr>
        <w:t xml:space="preserve">prophet_yearly</w:t>
      </w:r>
      <w:r w:rsidDel="00000000" w:rsidR="00000000" w:rsidRPr="00000000">
        <w:rPr>
          <w:rtl w:val="0"/>
        </w:rPr>
        <w:t xml:space="preserve">) vẫn đóng góp ổn định trong top 10. Điều này minh chứng cấu trúc Stacking đã vắt kiệt và kết hợp thành công cả xu hướng dài hạn lẫn các biến động hành vi vi mô, đạt OOF Revenue MAE tổng hợp mức 603,099.</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400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00500"/>
                    </a:xfrm>
                    <a:prstGeom prst="rect"/>
                    <a:ln/>
                  </pic:spPr>
                </pic:pic>
              </a:graphicData>
            </a:graphic>
          </wp:inline>
        </w:drawing>
      </w:r>
      <w:r w:rsidDel="00000000" w:rsidR="00000000" w:rsidRPr="00000000">
        <w:rPr/>
        <w:drawing>
          <wp:inline distB="114300" distT="114300" distL="114300" distR="114300">
            <wp:extent cx="5731200" cy="3556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