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30" w:type="dxa"/>
        <w:jc w:val="center"/>
        <w:tblInd w:w="0" w:type="dxa"/>
        <w:tblLayout w:type="fixed"/>
        <w:tblCellMar>
          <w:top w:w="0" w:type="dxa"/>
          <w:start w:w="108" w:type="dxa"/>
          <w:bottom w:w="0" w:type="dxa"/>
          <w:end w:w="108" w:type="dxa"/>
        </w:tblCellMar>
      </w:tblPr>
      <w:tblGrid>
        <w:gridCol w:w="7130"/>
        <w:gridCol w:w="2700"/>
      </w:tblGrid>
      <w:tr>
        <w:trPr/>
        <w:tc>
          <w:tcPr>
            <w:tcW w:w="7130" w:type="dxa"/>
            <w:tcBorders/>
          </w:tcPr>
          <w:p>
            <w:pPr>
              <w:pStyle w:val="Normal"/>
              <w:ind w:end="-17"/>
              <w:jc w:val="center"/>
              <w:rPr/>
            </w:pPr>
            <w:r>
              <w:rPr>
                <w:b/>
                <w:sz w:val="26"/>
                <w:szCs w:val="26"/>
                <w:lang w:val="nl-NL"/>
              </w:rPr>
              <w:t xml:space="preserve">                    </w:t>
            </w:r>
            <w:r>
              <w:rPr>
                <w:sz w:val="28"/>
                <w:szCs w:val="28"/>
                <w:lang w:val="nl-NL"/>
              </w:rPr>
              <w:t>CỘNG HOÀ XÃ HỘI CHỦ NGHĨA VIỆT NAM</w:t>
            </w:r>
          </w:p>
          <w:p>
            <w:pPr>
              <w:pStyle w:val="Normal"/>
              <w:tabs>
                <w:tab w:val="clear" w:pos="720"/>
                <w:tab w:val="left" w:pos="3417" w:leader="none"/>
              </w:tabs>
              <w:jc w:val="center"/>
              <w:rPr/>
            </w:pPr>
            <w:r>
              <w:rPr>
                <w:b/>
                <w:sz w:val="28"/>
                <w:szCs w:val="28"/>
              </w:rPr>
              <w:t xml:space="preserve">                      </w:t>
            </w:r>
            <w:r>
              <w:rPr>
                <w:b/>
                <w:sz w:val="26"/>
                <w:szCs w:val="26"/>
              </w:rPr>
              <w:t>Độc lập – Tự do – Hạnh phúc</w:t>
            </w:r>
          </w:p>
          <w:p>
            <w:pPr>
              <w:pStyle w:val="Normal"/>
              <w:tabs>
                <w:tab w:val="clear" w:pos="720"/>
                <w:tab w:val="left" w:pos="3417" w:leader="none"/>
              </w:tabs>
              <w:jc w:val="center"/>
              <w:rPr>
                <w:rFonts w:ascii=".VnTime" w:hAnsi=".VnTime" w:cs=".VnTime"/>
                <w:b/>
                <w:sz w:val="28"/>
                <w:szCs w:val="28"/>
                <w:lang w:val="nl-NL" w:eastAsia="en-US"/>
              </w:rPr>
            </w:pPr>
            <w:r>
              <w:rPr>
                <w:rFonts w:cs=".VnTime" w:ascii=".VnTime" w:hAnsi=".VnTime"/>
                <w:b/>
                <w:sz w:val="28"/>
                <w:szCs w:val="28"/>
                <w:lang w:val="nl-NL" w:eastAsia="en-US"/>
              </w:rPr>
              <mc:AlternateContent>
                <mc:Choice Requires="wps">
                  <w:drawing>
                    <wp:anchor behindDoc="0" distT="0" distB="0" distL="114935" distR="114935" simplePos="0" locked="0" layoutInCell="1" allowOverlap="1" relativeHeight="8">
                      <wp:simplePos x="0" y="0"/>
                      <wp:positionH relativeFrom="column">
                        <wp:posOffset>1657985</wp:posOffset>
                      </wp:positionH>
                      <wp:positionV relativeFrom="paragraph">
                        <wp:posOffset>24765</wp:posOffset>
                      </wp:positionV>
                      <wp:extent cx="1943100" cy="0"/>
                      <wp:effectExtent l="0" t="5080" r="0" b="5080"/>
                      <wp:wrapNone/>
                      <wp:docPr id="1" name=""/>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0.55pt,1.95pt" to="283.5pt,1.95pt" stroked="t" o:allowincell="t" style="position:absolute">
                      <v:stroke color="black" weight="9360" joinstyle="miter" endcap="flat"/>
                      <v:fill o:detectmouseclick="t" on="false"/>
                      <w10:wrap type="none"/>
                    </v:line>
                  </w:pict>
                </mc:Fallback>
              </mc:AlternateContent>
            </w:r>
          </w:p>
        </w:tc>
        <w:tc>
          <w:tcPr>
            <w:tcW w:w="2700" w:type="dxa"/>
            <w:tcBorders/>
          </w:tcPr>
          <w:p>
            <w:pPr>
              <w:pStyle w:val="Normal"/>
              <w:tabs>
                <w:tab w:val="clear" w:pos="720"/>
                <w:tab w:val="left" w:pos="3417" w:leader="none"/>
              </w:tabs>
              <w:rPr/>
            </w:pPr>
            <w:r>
              <w:rPr>
                <w:sz w:val="20"/>
                <w:szCs w:val="20"/>
                <w:lang w:val="nl-NL"/>
              </w:rPr>
              <w:t xml:space="preserve">                   </w:t>
            </w:r>
            <w:r>
              <w:rPr>
                <w:i/>
                <w:lang w:val="nl-NL"/>
              </w:rPr>
              <w:t>Mẫu số: 11/TD</w:t>
            </w:r>
          </w:p>
          <w:p>
            <w:pPr>
              <w:pStyle w:val="Normal"/>
              <w:tabs>
                <w:tab w:val="clear" w:pos="720"/>
                <w:tab w:val="left" w:pos="3417" w:leader="none"/>
              </w:tabs>
              <w:jc w:val="end"/>
              <w:rPr>
                <w:i/>
                <w:i/>
                <w:sz w:val="20"/>
                <w:szCs w:val="20"/>
                <w:lang w:val="nl-NL"/>
              </w:rPr>
            </w:pPr>
            <w:r>
              <w:rPr>
                <w:i/>
                <w:sz w:val="20"/>
                <w:szCs w:val="20"/>
                <w:lang w:val="nl-NL"/>
              </w:rPr>
              <w:t xml:space="preserve">                         </w:t>
            </w:r>
            <w:r>
              <w:rPr>
                <w:i/>
                <w:sz w:val="20"/>
                <w:szCs w:val="20"/>
                <w:lang w:val="nl-NL"/>
              </w:rPr>
              <w:t xml:space="preserve">Lập 03 liên: </w:t>
            </w:r>
          </w:p>
          <w:p>
            <w:pPr>
              <w:pStyle w:val="Normal"/>
              <w:tabs>
                <w:tab w:val="clear" w:pos="720"/>
                <w:tab w:val="left" w:pos="3417" w:leader="none"/>
              </w:tabs>
              <w:jc w:val="end"/>
              <w:rPr>
                <w:i/>
                <w:i/>
                <w:sz w:val="20"/>
                <w:szCs w:val="20"/>
                <w:lang w:val="nl-NL"/>
              </w:rPr>
            </w:pPr>
            <w:r>
              <w:rPr>
                <w:i/>
                <w:sz w:val="20"/>
                <w:szCs w:val="20"/>
                <w:lang w:val="nl-NL"/>
              </w:rPr>
              <w:t xml:space="preserve">                      </w:t>
            </w:r>
            <w:r>
              <w:rPr>
                <w:i/>
                <w:sz w:val="20"/>
                <w:szCs w:val="20"/>
                <w:lang w:val="nl-NL"/>
              </w:rPr>
              <w:t>- 01 liên lưu NH</w:t>
            </w:r>
          </w:p>
          <w:p>
            <w:pPr>
              <w:pStyle w:val="Normal"/>
              <w:tabs>
                <w:tab w:val="clear" w:pos="720"/>
                <w:tab w:val="left" w:pos="3417" w:leader="none"/>
              </w:tabs>
              <w:jc w:val="end"/>
              <w:rPr>
                <w:i/>
                <w:i/>
                <w:sz w:val="20"/>
                <w:szCs w:val="20"/>
                <w:lang w:val="nl-NL"/>
              </w:rPr>
            </w:pPr>
            <w:r>
              <w:rPr>
                <w:i/>
                <w:sz w:val="20"/>
                <w:szCs w:val="20"/>
                <w:lang w:val="nl-NL"/>
              </w:rPr>
              <w:t xml:space="preserve">          </w:t>
            </w:r>
            <w:r>
              <w:rPr>
                <w:i/>
                <w:sz w:val="20"/>
                <w:szCs w:val="20"/>
                <w:lang w:val="nl-NL"/>
              </w:rPr>
              <w:t>- 01 liên lưu Tổ TK&amp;VV</w:t>
            </w:r>
          </w:p>
          <w:p>
            <w:pPr>
              <w:pStyle w:val="Normal"/>
              <w:tabs>
                <w:tab w:val="clear" w:pos="720"/>
                <w:tab w:val="left" w:pos="3417" w:leader="none"/>
              </w:tabs>
              <w:jc w:val="end"/>
              <w:rPr>
                <w:lang w:val="nl-NL"/>
              </w:rPr>
            </w:pPr>
            <w:r>
              <w:rPr>
                <w:i/>
                <w:sz w:val="20"/>
                <w:szCs w:val="20"/>
                <w:lang w:val="nl-NL"/>
              </w:rPr>
              <w:t xml:space="preserve">         </w:t>
            </w:r>
            <w:r>
              <w:rPr>
                <w:i/>
                <w:sz w:val="20"/>
                <w:szCs w:val="20"/>
                <w:lang w:val="nl-NL"/>
              </w:rPr>
              <w:t>- 01 liên lưu Hội cấp xã</w:t>
            </w:r>
          </w:p>
        </w:tc>
      </w:tr>
    </w:tbl>
    <w:p>
      <w:pPr>
        <w:pStyle w:val="Heading1"/>
        <w:tabs>
          <w:tab w:val="clear" w:pos="720"/>
          <w:tab w:val="left" w:pos="3417" w:leader="none"/>
        </w:tabs>
        <w:jc w:val="center"/>
        <w:rPr>
          <w:rFonts w:ascii="Times New Roman" w:hAnsi="Times New Roman" w:cs="Times New Roman"/>
          <w:sz w:val="28"/>
          <w:lang w:val="nl-NL"/>
        </w:rPr>
      </w:pPr>
      <w:r>
        <w:rPr>
          <w:rFonts w:cs="Times New Roman" w:ascii="Times New Roman" w:hAnsi="Times New Roman"/>
          <w:sz w:val="28"/>
          <w:lang w:val="nl-NL"/>
        </w:rPr>
      </w:r>
    </w:p>
    <w:p>
      <w:pPr>
        <w:pStyle w:val="Heading1"/>
        <w:tabs>
          <w:tab w:val="clear" w:pos="720"/>
          <w:tab w:val="left" w:pos="3417" w:leader="none"/>
        </w:tabs>
        <w:ind w:hanging="0" w:end="0"/>
        <w:jc w:val="center"/>
        <w:rPr>
          <w:rFonts w:ascii="Times New Roman" w:hAnsi="Times New Roman" w:cs="Times New Roman"/>
          <w:sz w:val="30"/>
          <w:szCs w:val="30"/>
          <w:lang w:val="nl-NL"/>
        </w:rPr>
      </w:pPr>
      <w:r>
        <w:rPr>
          <w:rFonts w:cs="Times New Roman" w:ascii="Times New Roman" w:hAnsi="Times New Roman"/>
          <w:sz w:val="30"/>
          <w:szCs w:val="30"/>
          <w:lang w:val="nl-NL"/>
        </w:rPr>
        <w:t xml:space="preserve">HỢP ĐỒNG UỶ NHIỆM </w:t>
      </w:r>
    </w:p>
    <w:p>
      <w:pPr>
        <w:pStyle w:val="Normal"/>
        <w:tabs>
          <w:tab w:val="clear" w:pos="720"/>
          <w:tab w:val="left" w:pos="3417" w:leader="none"/>
        </w:tabs>
        <w:jc w:val="center"/>
        <w:rPr>
          <w:b/>
          <w:sz w:val="28"/>
          <w:szCs w:val="28"/>
          <w:lang w:val="nl-NL"/>
        </w:rPr>
      </w:pPr>
      <w:r>
        <w:rPr>
          <w:b/>
          <w:sz w:val="28"/>
          <w:szCs w:val="28"/>
          <w:lang w:val="nl-NL"/>
        </w:rPr>
        <w:t>Về việc thu lãi, thu tiền gửi và thực hiện một số nội dung công việc khác</w:t>
      </w:r>
    </w:p>
    <w:p>
      <w:pPr>
        <w:pStyle w:val="Normal"/>
        <w:tabs>
          <w:tab w:val="clear" w:pos="720"/>
          <w:tab w:val="left" w:pos="3417" w:leader="none"/>
        </w:tabs>
        <w:jc w:val="center"/>
        <w:rPr>
          <w:b/>
          <w:sz w:val="28"/>
          <w:szCs w:val="28"/>
          <w:lang w:val="nl-NL"/>
        </w:rPr>
      </w:pPr>
      <w:r>
        <w:rPr>
          <w:b/>
          <w:sz w:val="28"/>
          <w:szCs w:val="28"/>
          <w:lang w:val="nl-NL"/>
        </w:rPr>
        <w:t>trong quy trình cho vay của Ngân hàng Chính sách xã hội</w:t>
      </w:r>
    </w:p>
    <w:p>
      <w:pPr>
        <w:pStyle w:val="Normal"/>
        <w:tabs>
          <w:tab w:val="clear" w:pos="720"/>
          <w:tab w:val="left" w:pos="3417" w:leader="none"/>
        </w:tabs>
        <w:jc w:val="center"/>
        <w:rPr>
          <w:b/>
          <w:sz w:val="28"/>
          <w:szCs w:val="28"/>
          <w:lang w:val="nl-NL"/>
        </w:rPr>
      </w:pPr>
      <w:r>
        <w:rPr>
          <w:b/>
          <w:sz w:val="28"/>
          <w:szCs w:val="28"/>
          <w:lang w:val="nl-NL"/>
        </w:rPr>
      </w:r>
    </w:p>
    <w:p>
      <w:pPr>
        <w:pStyle w:val="Normal"/>
        <w:spacing w:before="120" w:after="120"/>
        <w:ind w:firstLine="720" w:end="0"/>
        <w:jc w:val="both"/>
        <w:rPr>
          <w:sz w:val="28"/>
          <w:szCs w:val="28"/>
          <w:lang w:val="nl-NL"/>
        </w:rPr>
      </w:pPr>
      <w:r>
        <w:rPr>
          <w:sz w:val="28"/>
          <w:szCs w:val="28"/>
        </w:rPr>
        <w:t xml:space="preserve">Căn cứ Quy chế tổ chức và hoạt động Tổ Tiết kiệm và vay vốn (TK&amp;VV) ban hành kèm theo Quyết định số 15/QĐ-HĐQT ngày 05/3/2013 của Hội đồng quản trị NHCSXH; </w:t>
      </w:r>
    </w:p>
    <w:p>
      <w:pPr>
        <w:pStyle w:val="BodyTextIndent"/>
        <w:tabs>
          <w:tab w:val="clear" w:pos="720"/>
          <w:tab w:val="left" w:pos="3417" w:leader="none"/>
        </w:tabs>
        <w:spacing w:before="120" w:after="120"/>
        <w:ind w:firstLine="720" w:start="0" w:end="0"/>
        <w:jc w:val="both"/>
        <w:rPr>
          <w:spacing w:val="-6"/>
          <w:sz w:val="28"/>
          <w:szCs w:val="28"/>
          <w:lang w:val="nl-NL"/>
        </w:rPr>
      </w:pPr>
      <w:r>
        <w:rPr>
          <w:spacing w:val="-6"/>
          <w:sz w:val="28"/>
          <w:szCs w:val="28"/>
          <w:lang w:val="nl-NL"/>
        </w:rPr>
        <w:t>Căn cứ Biên bản họp về việc thành lập Tổ tiết kiệm và vay vốn (TK&amp;VV) đã được Uỷ ban nhân dân xã chấp thuận và cho phép hoạt động,</w:t>
      </w:r>
    </w:p>
    <w:p>
      <w:pPr>
        <w:pStyle w:val="BodyTextIndent"/>
        <w:tabs>
          <w:tab w:val="clear" w:pos="720"/>
          <w:tab w:val="left" w:pos="3417" w:leader="none"/>
        </w:tabs>
        <w:spacing w:before="120" w:after="120"/>
        <w:ind w:firstLine="720" w:start="0" w:end="0"/>
        <w:jc w:val="both"/>
        <w:rPr>
          <w:sz w:val="28"/>
          <w:szCs w:val="28"/>
          <w:lang w:val="nl-NL"/>
        </w:rPr>
      </w:pPr>
      <w:r>
        <w:rPr>
          <w:sz w:val="28"/>
          <w:szCs w:val="28"/>
          <w:lang w:val="nl-NL"/>
        </w:rPr>
        <w:t>Hôm nay, ngày ...../...../........... , tại PGD NHCSXH Gò Dầu.</w:t>
      </w:r>
    </w:p>
    <w:p>
      <w:pPr>
        <w:pStyle w:val="Normal"/>
        <w:tabs>
          <w:tab w:val="clear" w:pos="720"/>
          <w:tab w:val="left" w:pos="3417" w:leader="none"/>
        </w:tabs>
        <w:spacing w:before="120" w:after="120"/>
        <w:ind w:firstLine="720" w:end="0"/>
        <w:jc w:val="both"/>
        <w:rPr>
          <w:sz w:val="28"/>
          <w:szCs w:val="28"/>
          <w:lang w:val="nl-NL"/>
        </w:rPr>
      </w:pPr>
      <w:r>
        <w:rPr>
          <w:sz w:val="28"/>
          <w:szCs w:val="28"/>
          <w:lang w:val="nl-NL"/>
        </w:rPr>
        <w:t>Chúng tôi gồm có:</w:t>
      </w:r>
    </w:p>
    <w:p>
      <w:pPr>
        <w:pStyle w:val="Normal"/>
        <w:tabs>
          <w:tab w:val="clear" w:pos="720"/>
          <w:tab w:val="left" w:pos="3417" w:leader="none"/>
        </w:tabs>
        <w:spacing w:before="120" w:after="120"/>
        <w:ind w:firstLine="720" w:end="0"/>
        <w:jc w:val="both"/>
        <w:rPr>
          <w:b/>
          <w:sz w:val="28"/>
          <w:szCs w:val="28"/>
        </w:rPr>
      </w:pPr>
      <w:r>
        <w:rPr>
          <w:b/>
          <w:sz w:val="28"/>
          <w:szCs w:val="28"/>
        </w:rPr>
        <w:t>1. Bên uỷ nhiệm (bên A)</w:t>
      </w:r>
    </w:p>
    <w:p>
      <w:pPr>
        <w:pStyle w:val="Normal"/>
        <w:tabs>
          <w:tab w:val="clear" w:pos="720"/>
          <w:tab w:val="left" w:pos="3417" w:leader="none"/>
        </w:tabs>
        <w:spacing w:before="120" w:after="120"/>
        <w:ind w:firstLine="720" w:end="0"/>
        <w:jc w:val="both"/>
        <w:rPr>
          <w:sz w:val="28"/>
          <w:szCs w:val="28"/>
        </w:rPr>
      </w:pPr>
      <w:r>
        <w:rPr>
          <w:sz w:val="28"/>
          <w:szCs w:val="28"/>
        </w:rPr>
        <w:t>- Ngân hàng Chính sách xã hội Gò Dầu.</w:t>
      </w:r>
    </w:p>
    <w:p>
      <w:pPr>
        <w:pStyle w:val="Normal"/>
        <w:tabs>
          <w:tab w:val="clear" w:pos="720"/>
          <w:tab w:val="left" w:pos="3417" w:leader="none"/>
        </w:tabs>
        <w:spacing w:before="120" w:after="120"/>
        <w:ind w:firstLine="720" w:end="0"/>
        <w:jc w:val="both"/>
        <w:rPr>
          <w:sz w:val="28"/>
          <w:szCs w:val="28"/>
        </w:rPr>
      </w:pPr>
      <w:r>
        <w:rPr>
          <w:sz w:val="28"/>
          <w:szCs w:val="28"/>
        </w:rPr>
        <w:t>- Đại diện Ông (bà): Nguyễn Văn Giả     - Chức vụ: Giám đốc</w:t>
      </w:r>
    </w:p>
    <w:p>
      <w:pPr>
        <w:pStyle w:val="Normal"/>
        <w:tabs>
          <w:tab w:val="clear" w:pos="720"/>
          <w:tab w:val="left" w:pos="3417" w:leader="none"/>
        </w:tabs>
        <w:spacing w:before="120" w:after="120"/>
        <w:ind w:firstLine="720" w:end="0"/>
        <w:jc w:val="both"/>
        <w:rPr>
          <w:sz w:val="28"/>
          <w:szCs w:val="28"/>
        </w:rPr>
      </w:pPr>
      <w:r>
        <w:rPr>
          <w:sz w:val="28"/>
          <w:szCs w:val="28"/>
        </w:rPr>
        <w:t xml:space="preserve">- Địa chỉ: </w:t>
      </w:r>
      <w:r>
        <w:rPr>
          <w:sz w:val="28"/>
          <w:szCs w:val="28"/>
          <w:lang w:val="nl-NL"/>
        </w:rPr>
        <w:t>Số</w:t>
      </w:r>
      <w:r>
        <w:rPr>
          <w:sz w:val="28"/>
          <w:szCs w:val="28"/>
          <w:lang w:val="vi-VN"/>
        </w:rPr>
        <w:t xml:space="preserve"> </w:t>
      </w:r>
      <w:r>
        <w:rPr>
          <w:sz w:val="28"/>
          <w:szCs w:val="28"/>
          <w:lang w:val="nl-NL"/>
        </w:rPr>
        <w:t>09 Đường Giả Số,</w:t>
      </w:r>
      <w:r>
        <w:rPr>
          <w:sz w:val="28"/>
          <w:szCs w:val="28"/>
          <w:lang w:val="vi-VN"/>
        </w:rPr>
        <w:t xml:space="preserve"> </w:t>
      </w:r>
      <w:r>
        <w:rPr>
          <w:sz w:val="28"/>
          <w:szCs w:val="28"/>
          <w:lang w:val="nl-NL"/>
        </w:rPr>
        <w:t>Khu phố Khu Giả, Phường Gò Dầu,  tỉnh Tây Ninh</w:t>
      </w:r>
      <w:r>
        <w:rPr>
          <w:sz w:val="28"/>
          <w:szCs w:val="28"/>
        </w:rPr>
        <w:t>.</w:t>
      </w:r>
    </w:p>
    <w:p>
      <w:pPr>
        <w:pStyle w:val="Normal"/>
        <w:tabs>
          <w:tab w:val="clear" w:pos="720"/>
          <w:tab w:val="left" w:pos="3417" w:leader="none"/>
        </w:tabs>
        <w:spacing w:before="120" w:after="120"/>
        <w:ind w:firstLine="720" w:end="0"/>
        <w:jc w:val="both"/>
        <w:rPr>
          <w:sz w:val="28"/>
          <w:szCs w:val="28"/>
        </w:rPr>
      </w:pPr>
      <w:r>
        <w:rPr>
          <w:sz w:val="28"/>
          <w:szCs w:val="28"/>
        </w:rPr>
        <w:t xml:space="preserve">- Số điện thoại: </w:t>
      </w:r>
      <w:r>
        <w:rPr>
          <w:sz w:val="28"/>
          <w:szCs w:val="28"/>
          <w:lang w:val="nl-NL"/>
        </w:rPr>
        <w:t>0900000000</w:t>
      </w:r>
    </w:p>
    <w:p>
      <w:pPr>
        <w:pStyle w:val="Normal"/>
        <w:tabs>
          <w:tab w:val="clear" w:pos="720"/>
          <w:tab w:val="left" w:pos="3417" w:leader="none"/>
        </w:tabs>
        <w:spacing w:before="120" w:after="120"/>
        <w:ind w:firstLine="720" w:end="0"/>
        <w:jc w:val="both"/>
        <w:rPr>
          <w:b/>
          <w:sz w:val="28"/>
          <w:szCs w:val="28"/>
        </w:rPr>
      </w:pPr>
      <w:r>
        <w:rPr>
          <w:b/>
          <w:sz w:val="28"/>
          <w:szCs w:val="28"/>
        </w:rPr>
        <w:t>2. Bên nhận uỷ nhiệm (bên B)</w:t>
      </w:r>
    </w:p>
    <w:p>
      <w:pPr>
        <w:pStyle w:val="Normal"/>
        <w:tabs>
          <w:tab w:val="clear" w:pos="720"/>
          <w:tab w:val="left" w:pos="3417" w:leader="none"/>
        </w:tabs>
        <w:spacing w:before="120" w:after="120"/>
        <w:ind w:firstLine="720" w:end="0"/>
        <w:jc w:val="both"/>
        <w:rPr>
          <w:sz w:val="28"/>
          <w:szCs w:val="28"/>
        </w:rPr>
      </w:pPr>
      <w:r>
        <w:rPr>
          <w:sz w:val="28"/>
          <w:szCs w:val="28"/>
        </w:rPr>
        <w:t>- Ban quản lý Tổ TK&amp;VV: ............................. thuộc Hội: ………………..</w:t>
      </w:r>
    </w:p>
    <w:p>
      <w:pPr>
        <w:pStyle w:val="Normal"/>
        <w:tabs>
          <w:tab w:val="clear" w:pos="720"/>
          <w:tab w:val="left" w:pos="3417" w:leader="none"/>
          <w:tab w:val="left" w:pos="5529" w:leader="none"/>
        </w:tabs>
        <w:spacing w:before="120" w:after="120"/>
        <w:ind w:firstLine="720" w:end="0"/>
        <w:jc w:val="both"/>
        <w:rPr>
          <w:sz w:val="28"/>
          <w:szCs w:val="28"/>
        </w:rPr>
      </w:pPr>
      <w:r>
        <w:rPr>
          <w:sz w:val="28"/>
          <w:szCs w:val="28"/>
        </w:rPr>
        <w:t>- Đại diện ông (bà): ……….…..……………</w:t>
        <w:tab/>
        <w:t xml:space="preserve">    - Chức vụ: Tổ trưởng.</w:t>
      </w:r>
    </w:p>
    <w:p>
      <w:pPr>
        <w:pStyle w:val="Normal"/>
        <w:tabs>
          <w:tab w:val="clear" w:pos="720"/>
          <w:tab w:val="left" w:pos="3417" w:leader="none"/>
        </w:tabs>
        <w:spacing w:before="120" w:after="120"/>
        <w:ind w:firstLine="720" w:end="0"/>
        <w:jc w:val="both"/>
        <w:rPr>
          <w:sz w:val="28"/>
          <w:szCs w:val="28"/>
        </w:rPr>
      </w:pPr>
      <w:r>
        <w:rPr>
          <w:sz w:val="28"/>
          <w:szCs w:val="28"/>
        </w:rPr>
        <w:t>- Thẻ CC\CCCD số: ………………… ngày cấp: ……………, Nơi cấp: …….…… ………………………………………………………..</w:t>
      </w:r>
    </w:p>
    <w:p>
      <w:pPr>
        <w:pStyle w:val="Normal"/>
        <w:tabs>
          <w:tab w:val="clear" w:pos="720"/>
          <w:tab w:val="left" w:pos="3417" w:leader="none"/>
        </w:tabs>
        <w:spacing w:before="120" w:after="120"/>
        <w:ind w:firstLine="720" w:end="0"/>
        <w:jc w:val="both"/>
        <w:rPr>
          <w:sz w:val="28"/>
          <w:szCs w:val="28"/>
        </w:rPr>
      </w:pPr>
      <w:r>
        <w:rPr>
          <w:sz w:val="28"/>
          <w:szCs w:val="28"/>
        </w:rPr>
        <w:t xml:space="preserve">- Địa chỉ: </w:t>
      </w:r>
      <w:r>
        <w:rPr>
          <w:sz w:val="28"/>
          <w:szCs w:val="28"/>
          <w:lang w:val="nl-NL"/>
        </w:rPr>
        <w:fldChar w:fldCharType="begin"/>
      </w:r>
      <w:r>
        <w:rPr>
          <w:sz w:val="28"/>
          <w:szCs w:val="28"/>
          <w:lang w:val="nl-NL"/>
        </w:rPr>
        <w:instrText xml:space="preserve"> MERGEFIELD Ấp </w:instrText>
      </w:r>
      <w:r>
        <w:rPr>
          <w:sz w:val="28"/>
          <w:szCs w:val="28"/>
          <w:lang w:val="nl-NL"/>
        </w:rPr>
        <w:fldChar w:fldCharType="separate"/>
      </w:r>
      <w:r>
        <w:rPr>
          <w:sz w:val="28"/>
          <w:szCs w:val="28"/>
          <w:lang w:val="nl-NL"/>
        </w:rPr>
        <w:t xml:space="preserve">ấp </w:t>
      </w:r>
      <w:r>
        <w:rPr>
          <w:sz w:val="28"/>
          <w:szCs w:val="28"/>
          <w:lang w:val="nl-NL"/>
        </w:rPr>
        <w:fldChar w:fldCharType="end"/>
      </w:r>
      <w:r>
        <w:rPr>
          <w:sz w:val="28"/>
          <w:szCs w:val="28"/>
        </w:rPr>
        <w:t>(kp) ……………</w:t>
      </w:r>
      <w:r>
        <w:rPr>
          <w:sz w:val="28"/>
          <w:szCs w:val="28"/>
          <w:lang w:val="vi-VN"/>
        </w:rPr>
        <w:t>,</w:t>
      </w:r>
      <w:r>
        <w:rPr>
          <w:sz w:val="28"/>
          <w:szCs w:val="28"/>
          <w:lang w:val="nl-NL"/>
        </w:rPr>
        <w:t xml:space="preserve"> </w:t>
      </w:r>
      <w:r>
        <w:rPr>
          <w:sz w:val="28"/>
          <w:szCs w:val="28"/>
          <w:lang w:val="nl-NL"/>
        </w:rPr>
        <w:fldChar w:fldCharType="begin"/>
      </w:r>
      <w:r>
        <w:rPr>
          <w:sz w:val="28"/>
          <w:szCs w:val="28"/>
          <w:lang w:val="nl-NL"/>
        </w:rPr>
        <w:instrText xml:space="preserve"> MERGEFIELD Xã1 </w:instrText>
      </w:r>
      <w:r>
        <w:rPr>
          <w:sz w:val="28"/>
          <w:szCs w:val="28"/>
          <w:lang w:val="nl-NL"/>
        </w:rPr>
        <w:fldChar w:fldCharType="separate"/>
      </w:r>
      <w:r>
        <w:rPr>
          <w:sz w:val="28"/>
          <w:szCs w:val="28"/>
          <w:lang w:val="nl-NL"/>
        </w:rPr>
        <w:t xml:space="preserve">xã </w:t>
      </w:r>
      <w:r>
        <w:rPr>
          <w:sz w:val="28"/>
          <w:szCs w:val="28"/>
          <w:lang w:val="nl-NL"/>
        </w:rPr>
        <w:fldChar w:fldCharType="end"/>
      </w:r>
      <w:r>
        <w:rPr>
          <w:sz w:val="28"/>
          <w:szCs w:val="28"/>
        </w:rPr>
        <w:t>(phường) …………….</w:t>
      </w:r>
      <w:r>
        <w:rPr>
          <w:sz w:val="28"/>
          <w:szCs w:val="28"/>
          <w:lang w:val="nl-NL"/>
        </w:rPr>
        <w:t>, tỉnh Tây Ninh</w:t>
      </w:r>
      <w:r>
        <w:rPr>
          <w:sz w:val="28"/>
          <w:szCs w:val="28"/>
        </w:rPr>
        <w:t>.</w:t>
      </w:r>
    </w:p>
    <w:p>
      <w:pPr>
        <w:pStyle w:val="Normal"/>
        <w:shd w:fill="FFFFFF" w:val="clear"/>
        <w:spacing w:lineRule="atLeast" w:line="390"/>
        <w:jc w:val="center"/>
        <w:rPr>
          <w:b/>
          <w:bCs/>
          <w:color w:val="000000"/>
          <w:sz w:val="28"/>
          <w:szCs w:val="28"/>
        </w:rPr>
      </w:pPr>
      <w:bookmarkStart w:id="0" w:name="muc_1"/>
      <w:r>
        <w:rPr>
          <w:b/>
          <w:bCs/>
          <w:color w:val="000000"/>
          <w:sz w:val="28"/>
          <w:szCs w:val="28"/>
          <w:lang w:val="vi-VN"/>
        </w:rPr>
        <w:t>HAI BÊN NHẤT TRÍ TH</w:t>
      </w:r>
      <w:bookmarkEnd w:id="0"/>
      <w:r>
        <w:rPr>
          <w:b/>
          <w:bCs/>
          <w:color w:val="000000"/>
          <w:sz w:val="28"/>
          <w:szCs w:val="28"/>
        </w:rPr>
        <w:t>ỎA</w:t>
      </w:r>
      <w:r>
        <w:rPr>
          <w:b/>
          <w:bCs/>
          <w:color w:val="000000"/>
          <w:sz w:val="28"/>
          <w:szCs w:val="28"/>
          <w:lang w:val="vi-VN"/>
        </w:rPr>
        <w:t> THUẬN CÁC NỘI DUNG SAU:</w:t>
      </w:r>
      <w:bookmarkStart w:id="1" w:name="dieu_1_1"/>
    </w:p>
    <w:p>
      <w:pPr>
        <w:pStyle w:val="Normal"/>
        <w:shd w:fill="FFFFFF" w:val="clear"/>
        <w:spacing w:lineRule="atLeast" w:line="390"/>
        <w:ind w:firstLine="709" w:end="0"/>
        <w:jc w:val="both"/>
        <w:rPr>
          <w:color w:val="000000"/>
          <w:sz w:val="28"/>
          <w:szCs w:val="28"/>
        </w:rPr>
      </w:pPr>
      <w:r>
        <w:rPr>
          <w:b/>
          <w:bCs/>
          <w:color w:val="000000"/>
          <w:sz w:val="28"/>
          <w:szCs w:val="28"/>
          <w:lang w:val="vi-VN"/>
        </w:rPr>
        <w:t>Điều 1. Bên A ủy nhiệm cho bên B thực hiện các công việc sau đây:</w:t>
      </w:r>
      <w:bookmarkEnd w:id="1"/>
    </w:p>
    <w:p>
      <w:pPr>
        <w:pStyle w:val="Normal"/>
        <w:shd w:fill="FFFFFF" w:val="clear"/>
        <w:spacing w:lineRule="atLeast" w:line="390" w:before="120" w:after="0"/>
        <w:ind w:firstLine="709" w:end="0"/>
        <w:jc w:val="both"/>
        <w:rPr>
          <w:color w:val="000000"/>
          <w:sz w:val="28"/>
          <w:szCs w:val="28"/>
        </w:rPr>
      </w:pPr>
      <w:r>
        <w:rPr>
          <w:color w:val="000000"/>
          <w:sz w:val="28"/>
          <w:szCs w:val="28"/>
          <w:lang w:val="vi-VN"/>
        </w:rPr>
        <w:t>1. Quản lý toàn bộ hoạt động của Tổ TK&amp;VV theo quy định tại quy chế Tổ chức và hoạt động của Tổ TK&amp;VV ban hành kèm theo Quyết định số 15/QĐ-HĐQT.</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2. Nhận Giấy đề nghị vay vốn kiêm phương án sử dụng vốn vay (m</w:t>
      </w:r>
      <w:r>
        <w:rPr>
          <w:color w:val="000000"/>
          <w:sz w:val="28"/>
          <w:szCs w:val="28"/>
        </w:rPr>
        <w:t>ẫ</w:t>
      </w:r>
      <w:r>
        <w:rPr>
          <w:color w:val="000000"/>
          <w:sz w:val="28"/>
          <w:szCs w:val="28"/>
          <w:lang w:val="vi-VN"/>
        </w:rPr>
        <w:t>u số 01/TD) của tổ viên. Tổ chức họp các tổ viên trong Tổ để thực hiện bình xét công khai, dân chủ. Lựa chọn tổ viên đủ điều kiện vay vốn. Lập Danh sách hộ gia đình đề nghị vay vốn NHCSXH (mẫu số 03/TD), Biên bản họp Tổ về việc bình xét cho vay. Sau đó tập hợp các loại giấy tờ trên thành hồ sơ đề nghị vay vốn và gửi Ban giảm nghèo cấp xã họp, trình UBND cấp xã xác nhận và gửi về NHCSXH làm cơ sở để cho vay. Thông báo kết quả phê duyệt cho vay, lịch giải ngân đến từng tổ viên. Chứng kiến việc giải ngân, thu nợ, thu lãi của bên A tại điểm giao dịch.</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3. Bên A ủy nhiệm / không ủy nhiệm cho Bên B thu tiền lãi, thu tiền gửi của các tổ viên trong Tổ theo quy định nghiệp vụ của NHCSXH. Bên B phải nộp số tiền đã thu của các tổ viên trong tháng cho NHCSXH vào ngày giao </w:t>
      </w:r>
      <w:r>
        <w:rPr>
          <w:color w:val="000000"/>
          <w:sz w:val="28"/>
          <w:szCs w:val="28"/>
        </w:rPr>
        <w:t>d</w:t>
      </w:r>
      <w:r>
        <w:rPr>
          <w:color w:val="000000"/>
          <w:sz w:val="28"/>
          <w:szCs w:val="28"/>
          <w:lang w:val="vi-VN"/>
        </w:rPr>
        <w:t>ịch tại xã.</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4. Trường hợp không được ủy nhiệm thu lãi, thu tiền gửi thì bên B có trách nhiệm đôn đốc tổ viên trực tiếp nộp lãi đầy đủ hàng tháng cho NHCSXH.</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5. Bên B phải đôn đốc người vay sử dụng tiền vay đúng mục đích; trả nợ, trả lãi đầy đủ, đúng hạn cả gốc và lãi theo kế hoạch đã th</w:t>
      </w:r>
      <w:r>
        <w:rPr>
          <w:color w:val="000000"/>
          <w:sz w:val="28"/>
          <w:szCs w:val="28"/>
        </w:rPr>
        <w:t>ỏa</w:t>
      </w:r>
      <w:r>
        <w:rPr>
          <w:color w:val="000000"/>
          <w:sz w:val="28"/>
          <w:szCs w:val="28"/>
          <w:lang w:val="vi-VN"/>
        </w:rPr>
        <w:t> thuận. Tiếp nhận các thông tin từ tổ viên trong việc đề nghị trích tiền gửi để trả nợ, trả lãi cho NHCSXH cũng như các dịch vụ thanh toán khác theo quy định.</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6. Tham gia, chứng kiến việc kiểm tra sử dụng vốn vay, đối chiếu nợ vay và số dư tiền gửi của các tổ viên trong Tổ khi có sự kiểm tra, giám sát của các c</w:t>
      </w:r>
      <w:r>
        <w:rPr>
          <w:color w:val="000000"/>
          <w:sz w:val="28"/>
          <w:szCs w:val="28"/>
        </w:rPr>
        <w:t>ơ</w:t>
      </w:r>
      <w:r>
        <w:rPr>
          <w:color w:val="000000"/>
          <w:sz w:val="28"/>
          <w:szCs w:val="28"/>
          <w:lang w:val="vi-VN"/>
        </w:rPr>
        <w:t> quan, tổ chức có thẩm quyền đối với hoạt động của Tổ.</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7. Phối hợp với cán bộ tổ chức Hội, đoàn thể, </w:t>
      </w:r>
      <w:r>
        <w:rPr>
          <w:color w:val="000000"/>
          <w:sz w:val="28"/>
          <w:szCs w:val="28"/>
        </w:rPr>
        <w:t>U</w:t>
      </w:r>
      <w:r>
        <w:rPr>
          <w:color w:val="000000"/>
          <w:sz w:val="28"/>
          <w:szCs w:val="28"/>
          <w:lang w:val="vi-VN"/>
        </w:rPr>
        <w:t>BND cấp xã, Trưởng thôn xử lý các trường hợp nợ quá hạn, nợ bị rủi ro (nếu có), các trường hợp sử dụng vốn vay sai mục đích, trốn, chết, mất tích, rủi ro do nguyên nhân khách quan và thông báo kịp thời cho bên A.</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8. L</w:t>
      </w:r>
      <w:r>
        <w:rPr>
          <w:color w:val="000000"/>
          <w:sz w:val="28"/>
          <w:szCs w:val="28"/>
        </w:rPr>
        <w:t>ư</w:t>
      </w:r>
      <w:r>
        <w:rPr>
          <w:color w:val="000000"/>
          <w:sz w:val="28"/>
          <w:szCs w:val="28"/>
          <w:lang w:val="vi-VN"/>
        </w:rPr>
        <w:t>u giữ đầy đủ Bảng kê mẫu số 12/TD, hồ s</w:t>
      </w:r>
      <w:r>
        <w:rPr>
          <w:color w:val="000000"/>
          <w:sz w:val="28"/>
          <w:szCs w:val="28"/>
        </w:rPr>
        <w:t>ơ</w:t>
      </w:r>
      <w:r>
        <w:rPr>
          <w:color w:val="000000"/>
          <w:sz w:val="28"/>
          <w:szCs w:val="28"/>
          <w:lang w:val="vi-VN"/>
        </w:rPr>
        <w:t> của Tổ TK&amp;VV và các giấy tờ khác liên quan đ</w:t>
      </w:r>
      <w:r>
        <w:rPr>
          <w:color w:val="000000"/>
          <w:sz w:val="28"/>
          <w:szCs w:val="28"/>
        </w:rPr>
        <w:t>ế</w:t>
      </w:r>
      <w:r>
        <w:rPr>
          <w:color w:val="000000"/>
          <w:sz w:val="28"/>
          <w:szCs w:val="28"/>
          <w:lang w:val="vi-VN"/>
        </w:rPr>
        <w:t>n hoạt động vay vốn của NHCSXH.</w:t>
      </w:r>
    </w:p>
    <w:p>
      <w:pPr>
        <w:pStyle w:val="Normal"/>
        <w:shd w:fill="FFFFFF" w:val="clear"/>
        <w:spacing w:lineRule="atLeast" w:line="390"/>
        <w:ind w:firstLine="709" w:end="0"/>
        <w:jc w:val="both"/>
        <w:rPr>
          <w:color w:val="000000"/>
          <w:sz w:val="28"/>
          <w:szCs w:val="28"/>
        </w:rPr>
      </w:pPr>
      <w:bookmarkStart w:id="2" w:name="dieu_2_1"/>
      <w:r>
        <w:rPr>
          <w:b/>
          <w:bCs/>
          <w:color w:val="000000"/>
          <w:sz w:val="28"/>
          <w:szCs w:val="28"/>
          <w:lang w:val="vi-VN"/>
        </w:rPr>
        <w:t>Điều 2. Trách nhiệm và quyền hạn của bên A</w:t>
      </w:r>
      <w:bookmarkEnd w:id="2"/>
    </w:p>
    <w:p>
      <w:pPr>
        <w:pStyle w:val="Normal"/>
        <w:shd w:fill="FFFFFF" w:val="clear"/>
        <w:spacing w:lineRule="atLeast" w:line="390" w:before="120" w:after="0"/>
        <w:ind w:firstLine="709" w:end="0"/>
        <w:jc w:val="both"/>
        <w:rPr>
          <w:color w:val="000000"/>
          <w:sz w:val="28"/>
          <w:szCs w:val="28"/>
        </w:rPr>
      </w:pPr>
      <w:r>
        <w:rPr>
          <w:color w:val="000000"/>
          <w:sz w:val="28"/>
          <w:szCs w:val="28"/>
          <w:lang w:val="vi-VN"/>
        </w:rPr>
        <w:t>1. Phối hợp với UBND và Hội, đoàn thể cấp xã để tổ chức tập huấn nghiệp vụ có liên quan đến hoạt động của Tổ và thủ tục, quy trình cho vay, thu nợ, thu lãi, thu tiền gửi,... cho bên B.</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2. Thanh toán tiền hoa hồng đầy đủ cho bên B theo quy định hiện hành của NHCSXH, cụ thể:</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 Đối với các chương trình được trả hoa hồng theo dư nợ có thu được lãi:</w:t>
      </w:r>
    </w:p>
    <w:tbl>
      <w:tblPr>
        <w:tblW w:w="4950" w:type="pct"/>
        <w:jc w:val="start"/>
        <w:tblInd w:w="260" w:type="dxa"/>
        <w:tblLayout w:type="fixed"/>
        <w:tblCellMar>
          <w:top w:w="28" w:type="dxa"/>
          <w:start w:w="108" w:type="dxa"/>
          <w:bottom w:w="28" w:type="dxa"/>
          <w:end w:w="108" w:type="dxa"/>
        </w:tblCellMar>
      </w:tblPr>
      <w:tblGrid>
        <w:gridCol w:w="1868"/>
        <w:gridCol w:w="462"/>
        <w:gridCol w:w="3866"/>
        <w:gridCol w:w="460"/>
        <w:gridCol w:w="2324"/>
      </w:tblGrid>
      <w:tr>
        <w:trPr/>
        <w:tc>
          <w:tcPr>
            <w:tcW w:w="1868" w:type="dxa"/>
            <w:vMerge w:val="restart"/>
            <w:tcBorders/>
            <w:shd w:fill="FFFFFF" w:val="clear"/>
            <w:vAlign w:val="center"/>
          </w:tcPr>
          <w:p>
            <w:pPr>
              <w:pStyle w:val="Normal"/>
              <w:spacing w:lineRule="atLeast" w:line="390" w:before="120" w:after="0"/>
              <w:jc w:val="center"/>
              <w:rPr>
                <w:sz w:val="28"/>
                <w:szCs w:val="28"/>
              </w:rPr>
            </w:pPr>
            <w:r>
              <w:rPr>
                <w:sz w:val="28"/>
                <w:szCs w:val="28"/>
              </w:rPr>
              <w:t>Tiền hoa hồng</w:t>
            </w:r>
          </w:p>
        </w:tc>
        <w:tc>
          <w:tcPr>
            <w:tcW w:w="462" w:type="dxa"/>
            <w:vMerge w:val="restart"/>
            <w:tcBorders/>
            <w:shd w:fill="FFFFFF" w:val="clear"/>
            <w:vAlign w:val="center"/>
          </w:tcPr>
          <w:p>
            <w:pPr>
              <w:pStyle w:val="Normal"/>
              <w:spacing w:lineRule="atLeast" w:line="390" w:before="120" w:after="0"/>
              <w:jc w:val="both"/>
              <w:rPr>
                <w:sz w:val="28"/>
                <w:szCs w:val="28"/>
              </w:rPr>
            </w:pPr>
            <w:r>
              <w:rPr>
                <w:sz w:val="28"/>
                <w:szCs w:val="28"/>
              </w:rPr>
              <w:t>=</w:t>
            </w:r>
          </w:p>
        </w:tc>
        <w:tc>
          <w:tcPr>
            <w:tcW w:w="3866" w:type="dxa"/>
            <w:tcBorders>
              <w:bottom w:val="single" w:sz="4" w:space="0" w:color="000000"/>
            </w:tcBorders>
            <w:shd w:fill="FFFFFF" w:val="clear"/>
            <w:vAlign w:val="center"/>
          </w:tcPr>
          <w:p>
            <w:pPr>
              <w:pStyle w:val="Normal"/>
              <w:spacing w:lineRule="atLeast" w:line="390" w:before="120" w:after="0"/>
              <w:jc w:val="center"/>
              <w:rPr>
                <w:sz w:val="28"/>
                <w:szCs w:val="28"/>
              </w:rPr>
            </w:pPr>
            <w:r>
              <w:rPr>
                <w:sz w:val="28"/>
                <w:szCs w:val="28"/>
                <w:lang w:val="vi-VN"/>
              </w:rPr>
              <w:t>Tỷ l</w:t>
            </w:r>
            <w:r>
              <w:rPr>
                <w:sz w:val="28"/>
                <w:szCs w:val="28"/>
              </w:rPr>
              <w:t>ệ</w:t>
            </w:r>
            <w:r>
              <w:rPr>
                <w:sz w:val="28"/>
                <w:szCs w:val="28"/>
                <w:lang w:val="vi-VN"/>
              </w:rPr>
              <w:t> hoa hồng đư</w:t>
            </w:r>
            <w:r>
              <w:rPr>
                <w:sz w:val="28"/>
                <w:szCs w:val="28"/>
              </w:rPr>
              <w:t>ợ</w:t>
            </w:r>
            <w:r>
              <w:rPr>
                <w:sz w:val="28"/>
                <w:szCs w:val="28"/>
                <w:lang w:val="vi-VN"/>
              </w:rPr>
              <w:t xml:space="preserve">c hưởng </w:t>
            </w:r>
          </w:p>
        </w:tc>
        <w:tc>
          <w:tcPr>
            <w:tcW w:w="460" w:type="dxa"/>
            <w:vMerge w:val="restart"/>
            <w:tcBorders/>
            <w:shd w:fill="FFFFFF" w:val="clear"/>
            <w:vAlign w:val="center"/>
          </w:tcPr>
          <w:p>
            <w:pPr>
              <w:pStyle w:val="Normal"/>
              <w:spacing w:lineRule="atLeast" w:line="390" w:before="120" w:after="0"/>
              <w:jc w:val="center"/>
              <w:rPr>
                <w:sz w:val="28"/>
                <w:szCs w:val="28"/>
              </w:rPr>
            </w:pPr>
            <w:r>
              <w:rPr>
                <w:sz w:val="28"/>
                <w:szCs w:val="28"/>
              </w:rPr>
              <w:t>x</w:t>
            </w:r>
          </w:p>
        </w:tc>
        <w:tc>
          <w:tcPr>
            <w:tcW w:w="2324" w:type="dxa"/>
            <w:vMerge w:val="restart"/>
            <w:tcBorders/>
            <w:shd w:fill="FFFFFF" w:val="clear"/>
            <w:vAlign w:val="center"/>
          </w:tcPr>
          <w:p>
            <w:pPr>
              <w:pStyle w:val="Normal"/>
              <w:spacing w:lineRule="atLeast" w:line="390" w:before="120" w:after="0"/>
              <w:jc w:val="center"/>
              <w:rPr>
                <w:sz w:val="28"/>
                <w:szCs w:val="28"/>
              </w:rPr>
            </w:pPr>
            <w:r>
              <w:rPr>
                <w:sz w:val="28"/>
                <w:szCs w:val="28"/>
              </w:rPr>
              <w:t>Số tiền lãi thực thu</w:t>
            </w:r>
          </w:p>
        </w:tc>
      </w:tr>
      <w:tr>
        <w:trPr/>
        <w:tc>
          <w:tcPr>
            <w:tcW w:w="1868" w:type="dxa"/>
            <w:vMerge w:val="continue"/>
            <w:tcBorders/>
            <w:shd w:fill="FFFFFF" w:val="clear"/>
            <w:vAlign w:val="center"/>
          </w:tcPr>
          <w:p>
            <w:pPr>
              <w:pStyle w:val="Normal"/>
              <w:snapToGrid w:val="false"/>
              <w:ind w:firstLine="709" w:end="0"/>
              <w:jc w:val="both"/>
              <w:rPr>
                <w:sz w:val="28"/>
                <w:szCs w:val="28"/>
              </w:rPr>
            </w:pPr>
            <w:r>
              <w:rPr>
                <w:sz w:val="28"/>
                <w:szCs w:val="28"/>
              </w:rPr>
            </w:r>
          </w:p>
        </w:tc>
        <w:tc>
          <w:tcPr>
            <w:tcW w:w="462" w:type="dxa"/>
            <w:vMerge w:val="continue"/>
            <w:tcBorders/>
            <w:shd w:fill="FFFFFF" w:val="clear"/>
            <w:vAlign w:val="center"/>
          </w:tcPr>
          <w:p>
            <w:pPr>
              <w:pStyle w:val="Normal"/>
              <w:snapToGrid w:val="false"/>
              <w:ind w:firstLine="709" w:end="0"/>
              <w:jc w:val="both"/>
              <w:rPr>
                <w:sz w:val="28"/>
                <w:szCs w:val="28"/>
              </w:rPr>
            </w:pPr>
            <w:r>
              <w:rPr>
                <w:sz w:val="28"/>
                <w:szCs w:val="28"/>
              </w:rPr>
            </w:r>
          </w:p>
        </w:tc>
        <w:tc>
          <w:tcPr>
            <w:tcW w:w="3866" w:type="dxa"/>
            <w:tcBorders>
              <w:top w:val="single" w:sz="4" w:space="0" w:color="000000"/>
            </w:tcBorders>
            <w:shd w:fill="FFFFFF" w:val="clear"/>
            <w:vAlign w:val="center"/>
          </w:tcPr>
          <w:p>
            <w:pPr>
              <w:pStyle w:val="Normal"/>
              <w:spacing w:lineRule="atLeast" w:line="390" w:before="120" w:after="0"/>
              <w:jc w:val="center"/>
              <w:rPr>
                <w:sz w:val="28"/>
                <w:szCs w:val="28"/>
              </w:rPr>
            </w:pPr>
            <w:r>
              <w:rPr>
                <w:sz w:val="28"/>
                <w:szCs w:val="28"/>
                <w:lang w:val="vi-VN"/>
              </w:rPr>
              <w:t>Lãi su</w:t>
            </w:r>
            <w:r>
              <w:rPr>
                <w:sz w:val="28"/>
                <w:szCs w:val="28"/>
              </w:rPr>
              <w:t>ấ</w:t>
            </w:r>
            <w:r>
              <w:rPr>
                <w:sz w:val="28"/>
                <w:szCs w:val="28"/>
                <w:lang w:val="vi-VN"/>
              </w:rPr>
              <w:t>t cho vay</w:t>
            </w:r>
          </w:p>
        </w:tc>
        <w:tc>
          <w:tcPr>
            <w:tcW w:w="460" w:type="dxa"/>
            <w:vMerge w:val="continue"/>
            <w:tcBorders/>
            <w:shd w:fill="FFFFFF" w:val="clear"/>
            <w:vAlign w:val="center"/>
          </w:tcPr>
          <w:p>
            <w:pPr>
              <w:pStyle w:val="Normal"/>
              <w:snapToGrid w:val="false"/>
              <w:ind w:firstLine="709" w:end="0"/>
              <w:jc w:val="both"/>
              <w:rPr>
                <w:sz w:val="28"/>
                <w:szCs w:val="28"/>
              </w:rPr>
            </w:pPr>
            <w:r>
              <w:rPr>
                <w:sz w:val="28"/>
                <w:szCs w:val="28"/>
              </w:rPr>
            </w:r>
          </w:p>
        </w:tc>
        <w:tc>
          <w:tcPr>
            <w:tcW w:w="2324" w:type="dxa"/>
            <w:vMerge w:val="continue"/>
            <w:tcBorders/>
            <w:shd w:fill="FFFFFF" w:val="clear"/>
            <w:vAlign w:val="center"/>
          </w:tcPr>
          <w:p>
            <w:pPr>
              <w:pStyle w:val="Normal"/>
              <w:snapToGrid w:val="false"/>
              <w:ind w:firstLine="709" w:end="0"/>
              <w:jc w:val="both"/>
              <w:rPr>
                <w:sz w:val="28"/>
                <w:szCs w:val="28"/>
              </w:rPr>
            </w:pPr>
            <w:r>
              <w:rPr>
                <w:sz w:val="28"/>
                <w:szCs w:val="28"/>
              </w:rPr>
            </w:r>
          </w:p>
        </w:tc>
      </w:tr>
    </w:tbl>
    <w:p>
      <w:pPr>
        <w:pStyle w:val="Normal"/>
        <w:shd w:fill="FFFFFF" w:val="clear"/>
        <w:spacing w:lineRule="atLeast" w:line="390" w:before="120" w:after="0"/>
        <w:ind w:firstLine="709" w:end="0"/>
        <w:jc w:val="both"/>
        <w:rPr>
          <w:color w:val="000000"/>
          <w:sz w:val="28"/>
          <w:szCs w:val="28"/>
        </w:rPr>
      </w:pPr>
      <w:r>
        <w:rPr>
          <w:color w:val="000000"/>
          <w:sz w:val="28"/>
          <w:szCs w:val="28"/>
          <w:lang w:val="vi-VN"/>
        </w:rPr>
        <w:t>Trong đó:</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 Tỷ lệ hoa hồng: theo quy định của NHCSXH từng thời kỳ</w:t>
      </w:r>
      <w:r>
        <w:rPr>
          <w:color w:val="000000"/>
          <w:sz w:val="28"/>
          <w:szCs w:val="28"/>
        </w:rPr>
        <w:t>.</w:t>
      </w:r>
      <w:r>
        <w:rPr>
          <w:color w:val="000000"/>
          <w:sz w:val="28"/>
          <w:szCs w:val="28"/>
          <w:lang w:val="vi-VN"/>
        </w:rPr>
        <w:t xml:space="preserve"> Hiện nay, </w:t>
      </w:r>
      <w:r>
        <w:rPr>
          <w:color w:val="000000"/>
          <w:sz w:val="28"/>
          <w:szCs w:val="28"/>
        </w:rPr>
        <w:t>tại địa bàn cấp xã thuộc vùng khó khăn (</w:t>
      </w:r>
      <w:r>
        <w:rPr>
          <w:color w:val="000000"/>
          <w:sz w:val="28"/>
          <w:szCs w:val="28"/>
          <w:lang w:val="vi-VN"/>
        </w:rPr>
        <w:t>tỷ lệ hoa hồng đối với Tổ TK&amp;</w:t>
      </w:r>
      <w:r>
        <w:rPr>
          <w:color w:val="000000"/>
          <w:sz w:val="28"/>
          <w:szCs w:val="28"/>
        </w:rPr>
        <w:t>V</w:t>
      </w:r>
      <w:r>
        <w:rPr>
          <w:color w:val="000000"/>
          <w:sz w:val="28"/>
          <w:szCs w:val="28"/>
          <w:lang w:val="vi-VN"/>
        </w:rPr>
        <w:t>V được ủy nhiệm thu lãi là 0,085% và đối với Tổ TK&amp;VV không được ủy nhiệm thu lãi là 0,075%)</w:t>
      </w:r>
      <w:r>
        <w:rPr>
          <w:color w:val="000000"/>
          <w:sz w:val="28"/>
          <w:szCs w:val="28"/>
        </w:rPr>
        <w:t>; tại địa bàn cấp xã không thuộc vùng khó khăn (</w:t>
      </w:r>
      <w:r>
        <w:rPr>
          <w:color w:val="000000"/>
          <w:sz w:val="28"/>
          <w:szCs w:val="28"/>
          <w:lang w:val="vi-VN"/>
        </w:rPr>
        <w:t>tỷ lệ hoa hồng đối với Tổ TK&amp;</w:t>
      </w:r>
      <w:r>
        <w:rPr>
          <w:color w:val="000000"/>
          <w:sz w:val="28"/>
          <w:szCs w:val="28"/>
        </w:rPr>
        <w:t>V</w:t>
      </w:r>
      <w:r>
        <w:rPr>
          <w:color w:val="000000"/>
          <w:sz w:val="28"/>
          <w:szCs w:val="28"/>
          <w:lang w:val="vi-VN"/>
        </w:rPr>
        <w:t>V được ủy nhiệm thu lãi là 0,0</w:t>
      </w:r>
      <w:r>
        <w:rPr>
          <w:color w:val="000000"/>
          <w:sz w:val="28"/>
          <w:szCs w:val="28"/>
        </w:rPr>
        <w:t>71</w:t>
      </w:r>
      <w:r>
        <w:rPr>
          <w:color w:val="000000"/>
          <w:sz w:val="28"/>
          <w:szCs w:val="28"/>
          <w:lang w:val="vi-VN"/>
        </w:rPr>
        <w:t>% và đối với Tổ TK&amp;VV không được ủy nhiệm thu lãi là 0,0</w:t>
      </w:r>
      <w:r>
        <w:rPr>
          <w:color w:val="000000"/>
          <w:sz w:val="28"/>
          <w:szCs w:val="28"/>
        </w:rPr>
        <w:t>62</w:t>
      </w:r>
      <w:r>
        <w:rPr>
          <w:color w:val="000000"/>
          <w:sz w:val="28"/>
          <w:szCs w:val="28"/>
          <w:lang w:val="vi-VN"/>
        </w:rPr>
        <w:t>%).</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 Lãi suất cho vay là lãi suất trong hạn ghi trên Sổ vay vốn khi cho vay.</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 Số tiền lãi thực thu là số tiền lãi do tổ viên và Ban quản lý Tổ TK&amp;VV nộp vào NHCSXH.</w:t>
      </w:r>
    </w:p>
    <w:p>
      <w:pPr>
        <w:pStyle w:val="Normal"/>
        <w:shd w:fill="FFFFFF" w:val="clear"/>
        <w:spacing w:lineRule="auto" w:line="276" w:before="120" w:after="0"/>
        <w:ind w:firstLine="709" w:end="0"/>
        <w:jc w:val="both"/>
        <w:rPr>
          <w:color w:val="000000"/>
          <w:sz w:val="28"/>
          <w:szCs w:val="28"/>
        </w:rPr>
      </w:pPr>
      <w:r>
        <w:rPr>
          <w:color w:val="000000"/>
          <w:sz w:val="28"/>
          <w:szCs w:val="28"/>
          <w:lang w:val="vi-VN"/>
        </w:rPr>
        <w:t>- Đối với các chương trình được trả hoa hồng theo dư nợ bình quân:</w:t>
      </w:r>
    </w:p>
    <w:tbl>
      <w:tblPr>
        <w:tblW w:w="8520" w:type="dxa"/>
        <w:jc w:val="center"/>
        <w:tblInd w:w="0" w:type="dxa"/>
        <w:tblLayout w:type="fixed"/>
        <w:tblCellMar>
          <w:top w:w="0" w:type="dxa"/>
          <w:start w:w="108" w:type="dxa"/>
          <w:bottom w:w="0" w:type="dxa"/>
          <w:end w:w="108" w:type="dxa"/>
        </w:tblCellMar>
      </w:tblPr>
      <w:tblGrid>
        <w:gridCol w:w="1858"/>
        <w:gridCol w:w="284"/>
        <w:gridCol w:w="3969"/>
        <w:gridCol w:w="425"/>
        <w:gridCol w:w="1984"/>
      </w:tblGrid>
      <w:tr>
        <w:trPr>
          <w:trHeight w:val="375" w:hRule="atLeast"/>
        </w:trPr>
        <w:tc>
          <w:tcPr>
            <w:tcW w:w="1858" w:type="dxa"/>
            <w:tcBorders/>
            <w:shd w:fill="FFFFFF" w:val="clear"/>
            <w:vAlign w:val="center"/>
          </w:tcPr>
          <w:p>
            <w:pPr>
              <w:pStyle w:val="Normal"/>
              <w:jc w:val="center"/>
              <w:rPr>
                <w:color w:val="000000"/>
                <w:sz w:val="28"/>
                <w:szCs w:val="28"/>
              </w:rPr>
            </w:pPr>
            <w:r>
              <w:rPr>
                <w:color w:val="000000"/>
                <w:sz w:val="28"/>
                <w:szCs w:val="28"/>
              </w:rPr>
              <w:t>Tiền hoa hồng</w:t>
            </w:r>
          </w:p>
        </w:tc>
        <w:tc>
          <w:tcPr>
            <w:tcW w:w="284" w:type="dxa"/>
            <w:tcBorders/>
            <w:shd w:fill="FFFFFF" w:val="clear"/>
            <w:vAlign w:val="center"/>
          </w:tcPr>
          <w:p>
            <w:pPr>
              <w:pStyle w:val="Normal"/>
              <w:jc w:val="center"/>
              <w:rPr>
                <w:color w:val="000000"/>
                <w:sz w:val="28"/>
                <w:szCs w:val="28"/>
              </w:rPr>
            </w:pPr>
            <w:r>
              <w:rPr>
                <w:color w:val="000000"/>
                <w:sz w:val="28"/>
                <w:szCs w:val="28"/>
              </w:rPr>
              <w:t>=</w:t>
            </w:r>
          </w:p>
        </w:tc>
        <w:tc>
          <w:tcPr>
            <w:tcW w:w="3969" w:type="dxa"/>
            <w:tcBorders/>
            <w:shd w:fill="FFFFFF" w:val="clear"/>
            <w:vAlign w:val="center"/>
          </w:tcPr>
          <w:p>
            <w:pPr>
              <w:pStyle w:val="Normal"/>
              <w:rPr>
                <w:color w:val="000000"/>
                <w:sz w:val="28"/>
                <w:szCs w:val="28"/>
              </w:rPr>
            </w:pPr>
            <w:r>
              <w:rPr>
                <w:color w:val="000000"/>
                <w:sz w:val="28"/>
                <w:szCs w:val="28"/>
                <w:lang w:val="vi-VN"/>
              </w:rPr>
              <w:t>Dư nợ trong hạn bình quân tháng</w:t>
            </w:r>
          </w:p>
        </w:tc>
        <w:tc>
          <w:tcPr>
            <w:tcW w:w="425" w:type="dxa"/>
            <w:tcBorders/>
            <w:shd w:fill="FFFFFF" w:val="clear"/>
            <w:vAlign w:val="center"/>
          </w:tcPr>
          <w:p>
            <w:pPr>
              <w:pStyle w:val="Normal"/>
              <w:jc w:val="center"/>
              <w:rPr>
                <w:color w:val="000000"/>
                <w:sz w:val="28"/>
                <w:szCs w:val="28"/>
              </w:rPr>
            </w:pPr>
            <w:r>
              <w:rPr>
                <w:color w:val="000000"/>
                <w:sz w:val="28"/>
                <w:szCs w:val="28"/>
              </w:rPr>
              <w:t>x</w:t>
            </w:r>
          </w:p>
        </w:tc>
        <w:tc>
          <w:tcPr>
            <w:tcW w:w="1984" w:type="dxa"/>
            <w:tcBorders/>
            <w:shd w:fill="FFFFFF" w:val="clear"/>
            <w:vAlign w:val="center"/>
          </w:tcPr>
          <w:p>
            <w:pPr>
              <w:pStyle w:val="Normal"/>
              <w:jc w:val="center"/>
              <w:rPr>
                <w:color w:val="000000"/>
                <w:sz w:val="28"/>
                <w:szCs w:val="28"/>
              </w:rPr>
            </w:pPr>
            <w:r>
              <w:rPr>
                <w:color w:val="000000"/>
                <w:sz w:val="28"/>
                <w:szCs w:val="28"/>
              </w:rPr>
              <w:t>Tỷ lệ hoa hồng</w:t>
            </w:r>
          </w:p>
        </w:tc>
      </w:tr>
    </w:tbl>
    <w:p>
      <w:pPr>
        <w:pStyle w:val="Normal"/>
        <w:shd w:fill="FFFFFF" w:val="clear"/>
        <w:spacing w:lineRule="atLeast" w:line="390" w:before="120" w:after="0"/>
        <w:ind w:firstLine="709" w:end="0"/>
        <w:jc w:val="both"/>
        <w:rPr>
          <w:color w:val="000000"/>
          <w:sz w:val="28"/>
          <w:szCs w:val="28"/>
          <w:lang w:val="vi-VN"/>
        </w:rPr>
      </w:pPr>
      <w:r>
        <w:rPr>
          <w:color w:val="000000"/>
          <w:sz w:val="28"/>
          <w:szCs w:val="28"/>
          <w:lang w:val="vi-VN"/>
        </w:rPr>
        <w:t>Trong đó:</w:t>
      </w:r>
    </w:p>
    <w:tbl>
      <w:tblPr>
        <w:tblW w:w="9214" w:type="dxa"/>
        <w:jc w:val="start"/>
        <w:tblInd w:w="118" w:type="dxa"/>
        <w:tblLayout w:type="fixed"/>
        <w:tblCellMar>
          <w:top w:w="0" w:type="dxa"/>
          <w:start w:w="108" w:type="dxa"/>
          <w:bottom w:w="0" w:type="dxa"/>
          <w:end w:w="108" w:type="dxa"/>
        </w:tblCellMar>
      </w:tblPr>
      <w:tblGrid>
        <w:gridCol w:w="2410"/>
        <w:gridCol w:w="425"/>
        <w:gridCol w:w="3261"/>
        <w:gridCol w:w="283"/>
        <w:gridCol w:w="2835"/>
      </w:tblGrid>
      <w:tr>
        <w:trPr/>
        <w:tc>
          <w:tcPr>
            <w:tcW w:w="2410" w:type="dxa"/>
            <w:vMerge w:val="restart"/>
            <w:tcBorders/>
            <w:shd w:fill="FFFFFF" w:val="clear"/>
            <w:vAlign w:val="center"/>
          </w:tcPr>
          <w:p>
            <w:pPr>
              <w:pStyle w:val="Normal"/>
              <w:spacing w:lineRule="atLeast" w:line="390" w:before="120" w:after="0"/>
              <w:jc w:val="center"/>
              <w:rPr>
                <w:sz w:val="28"/>
                <w:szCs w:val="28"/>
              </w:rPr>
            </w:pPr>
            <w:r>
              <w:rPr>
                <w:sz w:val="28"/>
                <w:szCs w:val="28"/>
                <w:lang w:val="vi-VN"/>
              </w:rPr>
              <w:t>+ </w:t>
            </w:r>
            <w:r>
              <w:rPr>
                <w:sz w:val="28"/>
                <w:szCs w:val="28"/>
              </w:rPr>
              <w:t>Dư nợ trong hạn bình quân tháng</w:t>
            </w:r>
          </w:p>
        </w:tc>
        <w:tc>
          <w:tcPr>
            <w:tcW w:w="425" w:type="dxa"/>
            <w:vMerge w:val="restart"/>
            <w:tcBorders/>
            <w:shd w:fill="FFFFFF" w:val="clear"/>
            <w:vAlign w:val="center"/>
          </w:tcPr>
          <w:p>
            <w:pPr>
              <w:pStyle w:val="Normal"/>
              <w:spacing w:lineRule="atLeast" w:line="390" w:before="120" w:after="0"/>
              <w:ind w:firstLine="709" w:end="0"/>
              <w:jc w:val="center"/>
              <w:rPr>
                <w:sz w:val="28"/>
                <w:szCs w:val="28"/>
              </w:rPr>
            </w:pPr>
            <w:r>
              <w:rPr>
                <w:sz w:val="28"/>
                <w:szCs w:val="28"/>
              </w:rPr>
              <w:t>==</w:t>
            </w:r>
          </w:p>
        </w:tc>
        <w:tc>
          <w:tcPr>
            <w:tcW w:w="3261" w:type="dxa"/>
            <w:tcBorders>
              <w:bottom w:val="single" w:sz="4" w:space="0" w:color="000000"/>
            </w:tcBorders>
            <w:shd w:fill="FFFFFF" w:val="clear"/>
            <w:vAlign w:val="center"/>
          </w:tcPr>
          <w:p>
            <w:pPr>
              <w:pStyle w:val="Normal"/>
              <w:spacing w:lineRule="atLeast" w:line="390" w:before="120" w:after="0"/>
              <w:jc w:val="center"/>
              <w:rPr>
                <w:sz w:val="28"/>
                <w:szCs w:val="28"/>
              </w:rPr>
            </w:pPr>
            <w:r>
              <w:rPr>
                <w:sz w:val="28"/>
                <w:szCs w:val="28"/>
              </w:rPr>
              <w:t>Dư nợ trong hạn</w:t>
            </w:r>
            <w:r>
              <w:rPr>
                <w:sz w:val="28"/>
                <w:szCs w:val="28"/>
                <w:lang w:val="vi-VN"/>
              </w:rPr>
              <w:t> đầu </w:t>
            </w:r>
            <w:r>
              <w:rPr>
                <w:sz w:val="28"/>
                <w:szCs w:val="28"/>
              </w:rPr>
              <w:t>ngày 01 của tháng</w:t>
            </w:r>
          </w:p>
        </w:tc>
        <w:tc>
          <w:tcPr>
            <w:tcW w:w="283" w:type="dxa"/>
            <w:tcBorders>
              <w:bottom w:val="single" w:sz="4" w:space="0" w:color="000000"/>
            </w:tcBorders>
            <w:shd w:fill="FFFFFF" w:val="clear"/>
            <w:vAlign w:val="center"/>
          </w:tcPr>
          <w:p>
            <w:pPr>
              <w:pStyle w:val="Normal"/>
              <w:spacing w:lineRule="atLeast" w:line="390" w:before="120" w:after="0"/>
              <w:ind w:firstLine="709" w:end="0"/>
              <w:jc w:val="center"/>
              <w:rPr>
                <w:sz w:val="28"/>
                <w:szCs w:val="28"/>
              </w:rPr>
            </w:pPr>
            <w:r>
              <w:rPr>
                <w:sz w:val="28"/>
                <w:szCs w:val="28"/>
              </w:rPr>
              <w:t>++</w:t>
            </w:r>
          </w:p>
        </w:tc>
        <w:tc>
          <w:tcPr>
            <w:tcW w:w="2835" w:type="dxa"/>
            <w:tcBorders>
              <w:bottom w:val="single" w:sz="4" w:space="0" w:color="000000"/>
            </w:tcBorders>
            <w:shd w:fill="FFFFFF" w:val="clear"/>
            <w:vAlign w:val="center"/>
          </w:tcPr>
          <w:p>
            <w:pPr>
              <w:pStyle w:val="Normal"/>
              <w:spacing w:lineRule="atLeast" w:line="390" w:before="120" w:after="0"/>
              <w:jc w:val="center"/>
              <w:rPr>
                <w:sz w:val="28"/>
                <w:szCs w:val="28"/>
              </w:rPr>
            </w:pPr>
            <w:r>
              <w:rPr>
                <w:sz w:val="28"/>
                <w:szCs w:val="28"/>
              </w:rPr>
              <w:t>Dư nợ trong hạn</w:t>
            </w:r>
            <w:r>
              <w:rPr>
                <w:sz w:val="28"/>
                <w:szCs w:val="28"/>
                <w:lang w:val="vi-VN"/>
              </w:rPr>
              <w:t> ngày cuối</w:t>
            </w:r>
            <w:r>
              <w:rPr>
                <w:sz w:val="28"/>
                <w:szCs w:val="28"/>
              </w:rPr>
              <w:t> cùng của tháng</w:t>
            </w:r>
          </w:p>
        </w:tc>
      </w:tr>
      <w:tr>
        <w:trPr/>
        <w:tc>
          <w:tcPr>
            <w:tcW w:w="2410" w:type="dxa"/>
            <w:vMerge w:val="continue"/>
            <w:tcBorders/>
            <w:shd w:fill="FFFFFF" w:val="clear"/>
            <w:vAlign w:val="center"/>
          </w:tcPr>
          <w:p>
            <w:pPr>
              <w:pStyle w:val="Normal"/>
              <w:snapToGrid w:val="false"/>
              <w:ind w:firstLine="709" w:end="0"/>
              <w:jc w:val="both"/>
              <w:rPr>
                <w:sz w:val="28"/>
                <w:szCs w:val="28"/>
              </w:rPr>
            </w:pPr>
            <w:r>
              <w:rPr>
                <w:sz w:val="28"/>
                <w:szCs w:val="28"/>
              </w:rPr>
            </w:r>
          </w:p>
        </w:tc>
        <w:tc>
          <w:tcPr>
            <w:tcW w:w="425" w:type="dxa"/>
            <w:vMerge w:val="continue"/>
            <w:tcBorders/>
            <w:shd w:fill="FFFFFF" w:val="clear"/>
            <w:vAlign w:val="center"/>
          </w:tcPr>
          <w:p>
            <w:pPr>
              <w:pStyle w:val="Normal"/>
              <w:snapToGrid w:val="false"/>
              <w:ind w:firstLine="709" w:end="0"/>
              <w:jc w:val="both"/>
              <w:rPr>
                <w:sz w:val="28"/>
                <w:szCs w:val="28"/>
              </w:rPr>
            </w:pPr>
            <w:r>
              <w:rPr>
                <w:sz w:val="28"/>
                <w:szCs w:val="28"/>
              </w:rPr>
            </w:r>
          </w:p>
        </w:tc>
        <w:tc>
          <w:tcPr>
            <w:tcW w:w="6379" w:type="dxa"/>
            <w:gridSpan w:val="3"/>
            <w:tcBorders>
              <w:top w:val="single" w:sz="4" w:space="0" w:color="000000"/>
            </w:tcBorders>
            <w:shd w:fill="FFFFFF" w:val="clear"/>
            <w:vAlign w:val="center"/>
          </w:tcPr>
          <w:p>
            <w:pPr>
              <w:pStyle w:val="Normal"/>
              <w:spacing w:lineRule="atLeast" w:line="390" w:before="120" w:after="0"/>
              <w:jc w:val="center"/>
              <w:rPr>
                <w:sz w:val="28"/>
                <w:szCs w:val="28"/>
              </w:rPr>
            </w:pPr>
            <w:r>
              <w:rPr>
                <w:sz w:val="28"/>
                <w:szCs w:val="28"/>
              </w:rPr>
              <w:t>2</w:t>
            </w:r>
          </w:p>
        </w:tc>
      </w:tr>
    </w:tbl>
    <w:p>
      <w:pPr>
        <w:pStyle w:val="Normal"/>
        <w:shd w:fill="FFFFFF" w:val="clear"/>
        <w:spacing w:lineRule="atLeast" w:line="390" w:before="120" w:after="0"/>
        <w:ind w:firstLine="709" w:end="0"/>
        <w:jc w:val="both"/>
        <w:rPr>
          <w:color w:val="000000"/>
          <w:sz w:val="28"/>
          <w:szCs w:val="28"/>
        </w:rPr>
      </w:pPr>
      <w:r>
        <w:rPr>
          <w:sz w:val="28"/>
          <w:szCs w:val="28"/>
          <w:lang w:val="vi-VN"/>
        </w:rPr>
        <w:t xml:space="preserve">+ Tỷ lệ hoa hồng: </w:t>
      </w:r>
      <w:r>
        <w:rPr>
          <w:sz w:val="28"/>
          <w:szCs w:val="28"/>
        </w:rPr>
        <w:t>T</w:t>
      </w:r>
      <w:r>
        <w:rPr>
          <w:sz w:val="28"/>
          <w:szCs w:val="28"/>
          <w:lang w:val="vi-VN"/>
        </w:rPr>
        <w:t>heo quy định của NHCSXH từng thời kỳ (Hiện nay, tỷ lệ hoa hồng trả theo dư nợ bình quân là 0,05%/tháng</w:t>
      </w:r>
      <w:r>
        <w:rPr>
          <w:sz w:val="28"/>
          <w:szCs w:val="28"/>
        </w:rPr>
        <w:t>. Riêng chương trình cho vay nhà ở xã hội, hoa hồng cho Tổ TK&amp;VV là 0,005%/dư nợ trong hạn/tháng</w:t>
      </w:r>
      <w:r>
        <w:rPr>
          <w:sz w:val="28"/>
          <w:szCs w:val="28"/>
          <w:lang w:val="vi-VN"/>
        </w:rPr>
        <w:t>).</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3. Theo dõi, giám sát, đôn đốc Ban quản lý Tổ trong việc thực hiện H</w:t>
      </w:r>
      <w:r>
        <w:rPr>
          <w:color w:val="000000"/>
          <w:sz w:val="28"/>
          <w:szCs w:val="28"/>
        </w:rPr>
        <w:t>ợ</w:t>
      </w:r>
      <w:r>
        <w:rPr>
          <w:color w:val="000000"/>
          <w:sz w:val="28"/>
          <w:szCs w:val="28"/>
          <w:lang w:val="vi-VN"/>
        </w:rPr>
        <w:t>p đồng ủy nhiệm. Thực hiện việc kiểm tra định kỳ hoặc đột xuất về các nội dung công việc mà bên B được ủy nhiệm. Trường hợp, phát hiện bên B vi phạm các điều khoản đã thỏa thuận thì bên A có quyền đơn phương chấm dứt Hợp đồng và đề nghị xử lý theo quy định của pháp luật.</w:t>
      </w:r>
    </w:p>
    <w:p>
      <w:pPr>
        <w:pStyle w:val="Normal"/>
        <w:shd w:fill="FFFFFF" w:val="clear"/>
        <w:spacing w:lineRule="atLeast" w:line="390"/>
        <w:ind w:firstLine="709" w:end="0"/>
        <w:jc w:val="both"/>
        <w:rPr>
          <w:color w:val="000000"/>
          <w:sz w:val="28"/>
          <w:szCs w:val="28"/>
        </w:rPr>
      </w:pPr>
      <w:bookmarkStart w:id="3" w:name="dieu_3_1"/>
      <w:r>
        <w:rPr>
          <w:b/>
          <w:bCs/>
          <w:color w:val="000000"/>
          <w:sz w:val="28"/>
          <w:szCs w:val="28"/>
          <w:lang w:val="vi-VN"/>
        </w:rPr>
        <w:t>Điều 3. Nhiệm vụ, quyền hạn và quyền lợi của Bên B</w:t>
      </w:r>
      <w:bookmarkEnd w:id="3"/>
    </w:p>
    <w:p>
      <w:pPr>
        <w:pStyle w:val="Normal"/>
        <w:shd w:fill="FFFFFF" w:val="clear"/>
        <w:spacing w:lineRule="atLeast" w:line="390" w:before="120" w:after="0"/>
        <w:ind w:firstLine="709" w:end="0"/>
        <w:jc w:val="both"/>
        <w:rPr>
          <w:color w:val="000000"/>
          <w:sz w:val="28"/>
          <w:szCs w:val="28"/>
        </w:rPr>
      </w:pPr>
      <w:r>
        <w:rPr>
          <w:b/>
          <w:bCs/>
          <w:color w:val="000000"/>
          <w:sz w:val="28"/>
          <w:szCs w:val="28"/>
          <w:lang w:val="vi-VN"/>
        </w:rPr>
        <w:t>1. Nhiệm vụ, quyền hạn</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a) Triển khai, thực hiện Quy ước hoạt động của Tổ; tuyên truyền, hướng dẫn, giải thích cho các tổ viên về: chủ trương, chính sách của Nhà nước về tín dụng đối với hộ nghèo, hộ cận nghèo và các đối tượng chính sách khác, thủ tục vay vốn NHCSXH; tuyên truyền, vận động tổ viên thực hành tiết kiệm, nâng cao ý thức trong việc vay vốn và trả nợ NHCSXH.</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b) Tiếp nhận Giấy đề nghị vay vốn kiêm phương án sử dụng vốn va</w:t>
      </w:r>
      <w:r>
        <w:rPr>
          <w:color w:val="000000"/>
          <w:sz w:val="28"/>
          <w:szCs w:val="28"/>
        </w:rPr>
        <w:t>y </w:t>
      </w:r>
      <w:r>
        <w:rPr>
          <w:color w:val="000000"/>
          <w:sz w:val="28"/>
          <w:szCs w:val="28"/>
          <w:lang w:val="vi-VN"/>
        </w:rPr>
        <w:t>(mẫu số 01/TD) của tổ viên. Tổ chức họp Tổ để bình xét cho vay công khai dưới sự giám sát, chứng kiến của Trưởng thôn và người đại diện tổ chức chính trị-</w:t>
      </w:r>
      <w:r>
        <w:rPr>
          <w:color w:val="000000"/>
          <w:sz w:val="28"/>
          <w:szCs w:val="28"/>
        </w:rPr>
        <w:t xml:space="preserve"> </w:t>
      </w:r>
      <w:r>
        <w:rPr>
          <w:color w:val="000000"/>
          <w:sz w:val="28"/>
          <w:szCs w:val="28"/>
          <w:lang w:val="vi-VN"/>
        </w:rPr>
        <w:t>xã hội cấp xã nhận ủy thác. Nội dung bình xét cho vay công khai bao gồm:</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 Tổ viên đủ điều kiện vay vốn theo quy định của Chính phủ và NHCSXH đối với từng chương trình xin vay.</w:t>
      </w:r>
    </w:p>
    <w:p>
      <w:pPr>
        <w:pStyle w:val="Normal"/>
        <w:shd w:fill="FFFFFF" w:val="clear"/>
        <w:spacing w:lineRule="atLeast" w:line="390" w:before="120" w:after="0"/>
        <w:ind w:firstLine="709" w:end="0"/>
        <w:jc w:val="both"/>
        <w:rPr/>
      </w:pPr>
      <w:r>
        <w:rPr>
          <w:color w:val="000000"/>
          <w:sz w:val="28"/>
          <w:szCs w:val="28"/>
          <w:lang w:val="vi-VN"/>
        </w:rPr>
        <w:t>- Đánh giá mức vốn xin vay, mức độ phù hợp của nhu cầu sử dụng vốn vay để thực hiện phương án sản xuất, kinh doanh của tổ viên theo từng chương trình xin vay và theo quy định của NHCSXH</w:t>
      </w:r>
      <w:r>
        <w:rPr>
          <w:color w:val="000000"/>
          <w:sz w:val="28"/>
          <w:szCs w:val="28"/>
        </w:rPr>
        <w:t>.</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 Căn cứ vào những nội dung trên và chu kỳ sản xuất, kinh doanh, khả năng trả nợ của từng hộ để bình xét và đề nghị mức vốn vay cần thiết, thời hạn vay phù hợp.</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 Sau khi Tổ thống nhất bình xét và biểu quyết công khai các hộ được vay vốn thì Tổ trưởng lập Danh sách hộ gia đình đề nghị vay vốn NHCSXH gửi Ban giảm nghèo để trình UBND cấp xã xác nhận, đề nghị NHCSXH cho vay.</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c) Nhận kết quả phê duyệt cho vay của NHCSXH, thông báo cho tổ viên biết lịch giải ngân của NHCSXH, chứng kiến việc NHCSXH phát tiền vay trực tiếp đến người vay.</w:t>
      </w:r>
    </w:p>
    <w:p>
      <w:pPr>
        <w:pStyle w:val="Normal"/>
        <w:shd w:fill="FFFFFF" w:val="clear"/>
        <w:spacing w:lineRule="atLeast" w:line="390" w:before="120" w:after="0"/>
        <w:ind w:firstLine="709" w:end="0"/>
        <w:jc w:val="both"/>
        <w:rPr>
          <w:color w:val="000000"/>
          <w:sz w:val="28"/>
          <w:szCs w:val="28"/>
          <w:lang w:val="vi-VN"/>
        </w:rPr>
      </w:pPr>
      <w:r>
        <w:rPr>
          <w:color w:val="000000"/>
          <w:sz w:val="28"/>
          <w:szCs w:val="28"/>
          <w:lang w:val="vi-VN"/>
        </w:rPr>
        <w:t>d) Lưu giữ đầy đủ hồ sơ, chứng từ liên quan đến hoạt động của Tổ. Tham gia đầy đủ các phiên giao dịch của NHCSXH, các buổi họp giao ban với NHCSXH, các lớp tập huấn nghiệp vụ, lĩnh hội và phổ biến đầy đủ các thông tin đ</w:t>
      </w:r>
      <w:r>
        <w:rPr>
          <w:color w:val="000000"/>
          <w:sz w:val="28"/>
          <w:szCs w:val="28"/>
        </w:rPr>
        <w:t>ế</w:t>
      </w:r>
      <w:r>
        <w:rPr>
          <w:color w:val="000000"/>
          <w:sz w:val="28"/>
          <w:szCs w:val="28"/>
          <w:lang w:val="vi-VN"/>
        </w:rPr>
        <w:t>n t</w:t>
      </w:r>
      <w:r>
        <w:rPr>
          <w:color w:val="000000"/>
          <w:sz w:val="28"/>
          <w:szCs w:val="28"/>
        </w:rPr>
        <w:t>ổ</w:t>
      </w:r>
      <w:r>
        <w:rPr>
          <w:color w:val="000000"/>
          <w:sz w:val="28"/>
          <w:szCs w:val="28"/>
          <w:lang w:val="vi-VN"/>
        </w:rPr>
        <w:t> vi</w:t>
      </w:r>
      <w:r>
        <w:rPr>
          <w:color w:val="000000"/>
          <w:sz w:val="28"/>
          <w:szCs w:val="28"/>
        </w:rPr>
        <w:t>ê</w:t>
      </w:r>
      <w:r>
        <w:rPr>
          <w:color w:val="000000"/>
          <w:sz w:val="28"/>
          <w:szCs w:val="28"/>
          <w:lang w:val="vi-VN"/>
        </w:rPr>
        <w:t>n.</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đ) Đôn đốc các tổ viên tham dự các lớp tập huấn chuyển giao công nghệ, khuyến nông, khuyến lâm, khuyến ngư, để nâng cao trình độ sản xuất kinh doanh, sử dụng vốn vay có hiệu quả.</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e) Quán triệt, đôn đốc các tổ viên trong Tổ sử dụng vốn vay đúng mục đích; trả nợ trả lãi đúng hạn. N</w:t>
      </w:r>
      <w:r>
        <w:rPr>
          <w:color w:val="000000"/>
          <w:sz w:val="28"/>
          <w:szCs w:val="28"/>
        </w:rPr>
        <w:t>ế</w:t>
      </w:r>
      <w:r>
        <w:rPr>
          <w:color w:val="000000"/>
          <w:sz w:val="28"/>
          <w:szCs w:val="28"/>
          <w:lang w:val="vi-VN"/>
        </w:rPr>
        <w:t>u tổ viên gặp khó khăn chưa trả được nợ thì có biện pháp giúp đỡ tổ viên trả n</w:t>
      </w:r>
      <w:r>
        <w:rPr>
          <w:color w:val="000000"/>
          <w:sz w:val="28"/>
          <w:szCs w:val="28"/>
        </w:rPr>
        <w:t>ợ</w:t>
      </w:r>
      <w:r>
        <w:rPr>
          <w:color w:val="000000"/>
          <w:sz w:val="28"/>
          <w:szCs w:val="28"/>
          <w:lang w:val="vi-VN"/>
        </w:rPr>
        <w:t> NHCSXH.</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g) Trực tiếp giám sát việc sử dụng vốn vay, sản xuất kinh doanh, thu nhập và trả nợ NHCSXH của tổ viên. Thông báo kịp thời cho NHCSXH, chính quyền địa phương những trường hợp tổ vi</w:t>
      </w:r>
      <w:r>
        <w:rPr>
          <w:color w:val="000000"/>
          <w:sz w:val="28"/>
          <w:szCs w:val="28"/>
        </w:rPr>
        <w:t>ê</w:t>
      </w:r>
      <w:r>
        <w:rPr>
          <w:color w:val="000000"/>
          <w:sz w:val="28"/>
          <w:szCs w:val="28"/>
          <w:lang w:val="vi-VN"/>
        </w:rPr>
        <w:t>n sử d</w:t>
      </w:r>
      <w:r>
        <w:rPr>
          <w:color w:val="000000"/>
          <w:sz w:val="28"/>
          <w:szCs w:val="28"/>
        </w:rPr>
        <w:t>ụ</w:t>
      </w:r>
      <w:r>
        <w:rPr>
          <w:color w:val="000000"/>
          <w:sz w:val="28"/>
          <w:szCs w:val="28"/>
          <w:lang w:val="vi-VN"/>
        </w:rPr>
        <w:t>ng vốn vay sai mục đích, thay đổi chỗ ở ra ngoài địa bàn xã và các trường hợp khác ảnh hưởng đến hoạt động của Tổ và chất lượng tín dụng.</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h) Ban quản lý Tổ phải chịu sự kiểm </w:t>
      </w:r>
      <w:r>
        <w:rPr>
          <w:color w:val="000000"/>
          <w:sz w:val="28"/>
          <w:szCs w:val="28"/>
        </w:rPr>
        <w:t>tr</w:t>
      </w:r>
      <w:r>
        <w:rPr>
          <w:color w:val="000000"/>
          <w:sz w:val="28"/>
          <w:szCs w:val="28"/>
          <w:lang w:val="vi-VN"/>
        </w:rPr>
        <w:t>a, giám sát của Trưởng thôn, tổ chức chính trị - xã hội nhận </w:t>
      </w:r>
      <w:r>
        <w:rPr>
          <w:color w:val="000000"/>
          <w:sz w:val="28"/>
          <w:szCs w:val="28"/>
        </w:rPr>
        <w:t>ủy</w:t>
      </w:r>
      <w:r>
        <w:rPr>
          <w:color w:val="000000"/>
          <w:sz w:val="28"/>
          <w:szCs w:val="28"/>
          <w:lang w:val="vi-VN"/>
        </w:rPr>
        <w:t> thác, UBND cấp xã và NHCSXH. Phả</w:t>
      </w:r>
      <w:r>
        <w:rPr>
          <w:color w:val="000000"/>
          <w:sz w:val="28"/>
          <w:szCs w:val="28"/>
        </w:rPr>
        <w:t>i</w:t>
      </w:r>
      <w:r>
        <w:rPr>
          <w:color w:val="000000"/>
          <w:sz w:val="28"/>
          <w:szCs w:val="28"/>
          <w:lang w:val="vi-VN"/>
        </w:rPr>
        <w:t> tham gia và chứng kiến việc kiểm tra sử dụng vốn vay, đối chiếu nợ vay và số dư tiền gửi tại hộ của các tổ chức, cơ quan có </w:t>
      </w:r>
      <w:r>
        <w:rPr>
          <w:color w:val="000000"/>
          <w:sz w:val="28"/>
          <w:szCs w:val="28"/>
        </w:rPr>
        <w:t>tr</w:t>
      </w:r>
      <w:r>
        <w:rPr>
          <w:color w:val="000000"/>
          <w:sz w:val="28"/>
          <w:szCs w:val="28"/>
          <w:lang w:val="vi-VN"/>
        </w:rPr>
        <w:t>ách nhiệm.</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i) Chủ động đôn đốc, tham mưu và phối kết hợp với Trưởng thôn, tổ chức chính trị - xã hội, Ban giảm nghèo và UBND cấp xã xử lý các trường hợp nợ quá hạn, nợ bị chiếm dụng, đặc biệt có biện pháp thu hồi đối với trường hợp có điều kiện trả nợ đến hạn, quá hạn nhưng không trả nợ và tất cả các trường hợp chiếm dụng vốn gốc, lãi của tổ viên.</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k) Phối kết hợp với Trưởng thôn, tổ chức chính </w:t>
      </w:r>
      <w:r>
        <w:rPr>
          <w:color w:val="000000"/>
          <w:sz w:val="28"/>
          <w:szCs w:val="28"/>
        </w:rPr>
        <w:t>tr</w:t>
      </w:r>
      <w:r>
        <w:rPr>
          <w:color w:val="000000"/>
          <w:sz w:val="28"/>
          <w:szCs w:val="28"/>
          <w:lang w:val="vi-VN"/>
        </w:rPr>
        <w:t>ị - xã hội nhân ủy thác thực hiện kiểm tra, xác minh và có ý kiến về việc tổ viên đề nghị gia hạn nợ, xử lý nợ bị rủi ro</w:t>
      </w:r>
      <w:r>
        <w:rPr>
          <w:color w:val="000000"/>
          <w:sz w:val="28"/>
          <w:szCs w:val="28"/>
        </w:rPr>
        <w:t>, thu thập thông tin của tổ viên bỏ đi khỏi địa phương, đi làm ăn xa</w:t>
      </w:r>
      <w:r>
        <w:rPr>
          <w:color w:val="000000"/>
          <w:sz w:val="28"/>
          <w:szCs w:val="28"/>
          <w:lang w:val="vi-VN"/>
        </w:rPr>
        <w:t>.</w:t>
      </w:r>
    </w:p>
    <w:p>
      <w:pPr>
        <w:pStyle w:val="Normal"/>
        <w:shd w:fill="FFFFFF" w:val="clear"/>
        <w:spacing w:lineRule="atLeast" w:line="390" w:before="120" w:after="0"/>
        <w:ind w:firstLine="709" w:end="0"/>
        <w:jc w:val="both"/>
        <w:rPr>
          <w:color w:val="000000"/>
          <w:sz w:val="28"/>
          <w:szCs w:val="28"/>
        </w:rPr>
      </w:pPr>
      <w:r>
        <w:rPr>
          <w:color w:val="000000"/>
          <w:sz w:val="28"/>
          <w:szCs w:val="28"/>
        </w:rPr>
        <w:t>l</w:t>
      </w:r>
      <w:r>
        <w:rPr>
          <w:color w:val="000000"/>
          <w:sz w:val="28"/>
          <w:szCs w:val="28"/>
          <w:lang w:val="vi-VN"/>
        </w:rPr>
        <w:t>) Đề xuất, kiến nghị và khiếu nại với chính quyền, NHCSXH và các cơ quan liên quan về việc thực hiện chủ trương, chính sách cho vay hộ nghèo, hộ cận nghèo và các đối tượng chính sách khác.</w:t>
      </w:r>
    </w:p>
    <w:p>
      <w:pPr>
        <w:pStyle w:val="Normal"/>
        <w:shd w:fill="FFFFFF" w:val="clear"/>
        <w:spacing w:lineRule="atLeast" w:line="390" w:before="120" w:after="0"/>
        <w:ind w:firstLine="709" w:end="0"/>
        <w:jc w:val="both"/>
        <w:rPr>
          <w:color w:val="000000"/>
          <w:sz w:val="28"/>
          <w:szCs w:val="28"/>
        </w:rPr>
      </w:pPr>
      <w:r>
        <w:rPr>
          <w:b/>
          <w:bCs/>
          <w:color w:val="000000"/>
          <w:sz w:val="28"/>
          <w:szCs w:val="28"/>
          <w:lang w:val="vi-VN"/>
        </w:rPr>
        <w:t xml:space="preserve">2. </w:t>
      </w:r>
      <w:r>
        <w:rPr>
          <w:b/>
          <w:bCs/>
          <w:color w:val="000000"/>
          <w:sz w:val="28"/>
          <w:szCs w:val="28"/>
        </w:rPr>
        <w:t>Về q</w:t>
      </w:r>
      <w:r>
        <w:rPr>
          <w:b/>
          <w:bCs/>
          <w:color w:val="000000"/>
          <w:sz w:val="28"/>
          <w:szCs w:val="28"/>
          <w:lang w:val="vi-VN"/>
        </w:rPr>
        <w:t>uyền lợi</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a) Được NHCSXH đào tạo, tập huấn nghiệp vụ quản lý, điều hành hoạt động của Tổ.</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b) Được NHCSXH chi trả hoa hồng cho các hoạt động nghiệp vụ về quản lý Tổ, quản lý nợ vay, thực hiện ủy nhiệm cho NHCSXH trên cơ sở quy định của NHCSXH và gắn với kết quả thực hiện công việc ủy nhiệm và chất lượng tín dụng của Tổ.</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c) Được NHCSXH xem xét khen thưởng theo định kỳ hoặc đột xuất.</w:t>
      </w:r>
    </w:p>
    <w:p>
      <w:pPr>
        <w:pStyle w:val="Normal"/>
        <w:shd w:fill="FFFFFF" w:val="clear"/>
        <w:spacing w:lineRule="atLeast" w:line="390"/>
        <w:ind w:firstLine="709" w:end="0"/>
        <w:jc w:val="both"/>
        <w:rPr>
          <w:color w:val="000000"/>
          <w:sz w:val="28"/>
          <w:szCs w:val="28"/>
        </w:rPr>
      </w:pPr>
      <w:bookmarkStart w:id="4" w:name="dieu_4_1"/>
      <w:r>
        <w:rPr>
          <w:b/>
          <w:bCs/>
          <w:color w:val="000000"/>
          <w:sz w:val="28"/>
          <w:szCs w:val="28"/>
        </w:rPr>
        <w:t>Điều 4. Điều khoản thi hành</w:t>
      </w:r>
      <w:bookmarkEnd w:id="4"/>
    </w:p>
    <w:p>
      <w:pPr>
        <w:pStyle w:val="Normal"/>
        <w:shd w:fill="FFFFFF" w:val="clear"/>
        <w:spacing w:lineRule="atLeast" w:line="390" w:before="120" w:after="0"/>
        <w:ind w:firstLine="709" w:end="0"/>
        <w:jc w:val="both"/>
        <w:rPr>
          <w:color w:val="000000"/>
          <w:sz w:val="28"/>
          <w:szCs w:val="28"/>
        </w:rPr>
      </w:pPr>
      <w:r>
        <w:rPr>
          <w:color w:val="000000"/>
          <w:sz w:val="28"/>
          <w:szCs w:val="28"/>
          <w:lang w:val="vi-VN"/>
        </w:rPr>
        <w:t>1. Các bên có trách nhiệm chỉ đạo và thực hiện tốt các nội dung đã th</w:t>
      </w:r>
      <w:r>
        <w:rPr>
          <w:color w:val="000000"/>
          <w:sz w:val="28"/>
          <w:szCs w:val="28"/>
        </w:rPr>
        <w:t>ỏa </w:t>
      </w:r>
      <w:r>
        <w:rPr>
          <w:color w:val="000000"/>
          <w:sz w:val="28"/>
          <w:szCs w:val="28"/>
          <w:lang w:val="vi-VN"/>
        </w:rPr>
        <w:t>thuận trong Hợp đồng này.</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 xml:space="preserve">2. Trường hợp thay đổi Tổ trưởng thì Tổ trưởng cũ có trách nhiệm bàn giao hồ sơ pháp lý của Tổ và việc quản lý, điều hành hoạt động của Tổ cho người kế nhiệm. Người kế nhiệm có trách nhiệm tiếp tục chỉ đạo thực hiện hoạt động của Tổ theo Quy chế về tổ chức và hoạt động của Tổ TK&amp;VV </w:t>
      </w:r>
      <w:r>
        <w:rPr>
          <w:color w:val="000000"/>
          <w:sz w:val="28"/>
          <w:szCs w:val="28"/>
        </w:rPr>
        <w:t>và các qui định hiện hàng của</w:t>
      </w:r>
      <w:r>
        <w:rPr>
          <w:color w:val="000000"/>
          <w:sz w:val="28"/>
          <w:szCs w:val="28"/>
          <w:lang w:val="vi-VN"/>
        </w:rPr>
        <w:t xml:space="preserve"> NHCSXH.</w:t>
      </w:r>
    </w:p>
    <w:p>
      <w:pPr>
        <w:pStyle w:val="Normal"/>
        <w:shd w:fill="FFFFFF" w:val="clear"/>
        <w:spacing w:lineRule="atLeast" w:line="390" w:before="120" w:after="0"/>
        <w:ind w:firstLine="709" w:end="0"/>
        <w:jc w:val="both"/>
        <w:rPr>
          <w:color w:val="000000"/>
          <w:sz w:val="28"/>
          <w:szCs w:val="28"/>
        </w:rPr>
      </w:pPr>
      <w:r>
        <w:rPr>
          <w:color w:val="000000"/>
          <w:sz w:val="28"/>
          <w:szCs w:val="28"/>
        </w:rPr>
        <w:t>3. Hợp đồng này hết hiệu lực khi đại diện bên B không còn là Tổ trưởng Tổ TK&amp;VV hoặc khi có Hợp đồng khác thay thế.</w:t>
      </w:r>
    </w:p>
    <w:p>
      <w:pPr>
        <w:pStyle w:val="Normal"/>
        <w:shd w:fill="FFFFFF" w:val="clear"/>
        <w:spacing w:lineRule="atLeast" w:line="390" w:before="120" w:after="0"/>
        <w:ind w:firstLine="709" w:end="0"/>
        <w:jc w:val="both"/>
        <w:rPr>
          <w:color w:val="000000"/>
          <w:sz w:val="28"/>
          <w:szCs w:val="28"/>
        </w:rPr>
      </w:pPr>
      <w:r>
        <w:rPr>
          <w:color w:val="000000"/>
          <w:sz w:val="28"/>
          <w:szCs w:val="28"/>
        </w:rPr>
        <w:t>4</w:t>
      </w:r>
      <w:r>
        <w:rPr>
          <w:color w:val="000000"/>
          <w:sz w:val="28"/>
          <w:szCs w:val="28"/>
          <w:lang w:val="vi-VN"/>
        </w:rPr>
        <w:t>. Trong quá trình thực hiện, hai bên không được tự ý thay đổi nội dung th</w:t>
      </w:r>
      <w:r>
        <w:rPr>
          <w:color w:val="000000"/>
          <w:sz w:val="28"/>
          <w:szCs w:val="28"/>
        </w:rPr>
        <w:t>ỏa</w:t>
      </w:r>
      <w:r>
        <w:rPr>
          <w:color w:val="000000"/>
          <w:sz w:val="28"/>
          <w:szCs w:val="28"/>
          <w:lang w:val="vi-VN"/>
        </w:rPr>
        <w:t> thuận trong H</w:t>
      </w:r>
      <w:r>
        <w:rPr>
          <w:color w:val="000000"/>
          <w:sz w:val="28"/>
          <w:szCs w:val="28"/>
        </w:rPr>
        <w:t>ợ</w:t>
      </w:r>
      <w:r>
        <w:rPr>
          <w:color w:val="000000"/>
          <w:sz w:val="28"/>
          <w:szCs w:val="28"/>
          <w:lang w:val="vi-VN"/>
        </w:rPr>
        <w:t>p đồng. N</w:t>
      </w:r>
      <w:r>
        <w:rPr>
          <w:color w:val="000000"/>
          <w:sz w:val="28"/>
          <w:szCs w:val="28"/>
        </w:rPr>
        <w:t>ế</w:t>
      </w:r>
      <w:r>
        <w:rPr>
          <w:color w:val="000000"/>
          <w:sz w:val="28"/>
          <w:szCs w:val="28"/>
          <w:lang w:val="vi-VN"/>
        </w:rPr>
        <w:t>u có vấn đề phát sinh cần bổ sung, sửa đổi thì các bên phải kịp thời thông báo cho nhau biết để bàn bạc giải quyết</w:t>
      </w:r>
      <w:r>
        <w:rPr>
          <w:color w:val="000000"/>
          <w:sz w:val="28"/>
          <w:szCs w:val="28"/>
        </w:rPr>
        <w:t>.</w:t>
      </w:r>
      <w:r>
        <w:rPr>
          <w:color w:val="000000"/>
          <w:sz w:val="28"/>
          <w:szCs w:val="28"/>
          <w:lang w:val="vi-VN"/>
        </w:rPr>
        <w:t> Nếu có tranh ch</w:t>
      </w:r>
      <w:r>
        <w:rPr>
          <w:color w:val="000000"/>
          <w:sz w:val="28"/>
          <w:szCs w:val="28"/>
        </w:rPr>
        <w:t>ấ</w:t>
      </w:r>
      <w:r>
        <w:rPr>
          <w:color w:val="000000"/>
          <w:sz w:val="28"/>
          <w:szCs w:val="28"/>
          <w:lang w:val="vi-VN"/>
        </w:rPr>
        <w:t>p xảy ra thì hai bên th</w:t>
      </w:r>
      <w:r>
        <w:rPr>
          <w:color w:val="000000"/>
          <w:sz w:val="28"/>
          <w:szCs w:val="28"/>
        </w:rPr>
        <w:t>ố</w:t>
      </w:r>
      <w:r>
        <w:rPr>
          <w:color w:val="000000"/>
          <w:sz w:val="28"/>
          <w:szCs w:val="28"/>
          <w:lang w:val="vi-VN"/>
        </w:rPr>
        <w:t>ng nh</w:t>
      </w:r>
      <w:r>
        <w:rPr>
          <w:color w:val="000000"/>
          <w:sz w:val="28"/>
          <w:szCs w:val="28"/>
        </w:rPr>
        <w:t>ấ</w:t>
      </w:r>
      <w:r>
        <w:rPr>
          <w:color w:val="000000"/>
          <w:sz w:val="28"/>
          <w:szCs w:val="28"/>
          <w:lang w:val="vi-VN"/>
        </w:rPr>
        <w:t>t giải quy</w:t>
      </w:r>
      <w:r>
        <w:rPr>
          <w:color w:val="000000"/>
          <w:sz w:val="28"/>
          <w:szCs w:val="28"/>
        </w:rPr>
        <w:t>ế</w:t>
      </w:r>
      <w:r>
        <w:rPr>
          <w:color w:val="000000"/>
          <w:sz w:val="28"/>
          <w:szCs w:val="28"/>
          <w:lang w:val="vi-VN"/>
        </w:rPr>
        <w:t>t trên tinh th</w:t>
      </w:r>
      <w:r>
        <w:rPr>
          <w:color w:val="000000"/>
          <w:sz w:val="28"/>
          <w:szCs w:val="28"/>
        </w:rPr>
        <w:t>ầ</w:t>
      </w:r>
      <w:r>
        <w:rPr>
          <w:color w:val="000000"/>
          <w:sz w:val="28"/>
          <w:szCs w:val="28"/>
          <w:lang w:val="vi-VN"/>
        </w:rPr>
        <w:t>n hợp tác. Trường hợp không h</w:t>
      </w:r>
      <w:r>
        <w:rPr>
          <w:color w:val="000000"/>
          <w:sz w:val="28"/>
          <w:szCs w:val="28"/>
        </w:rPr>
        <w:t>òa</w:t>
      </w:r>
      <w:r>
        <w:rPr>
          <w:color w:val="000000"/>
          <w:sz w:val="28"/>
          <w:szCs w:val="28"/>
          <w:lang w:val="vi-VN"/>
        </w:rPr>
        <w:t> giải được thì yêu cầu cơ quan có thẩm quyền giải quyết hoặc khởi kiện trước pháp luật.</w:t>
      </w:r>
    </w:p>
    <w:p>
      <w:pPr>
        <w:pStyle w:val="Normal"/>
        <w:shd w:fill="FFFFFF" w:val="clear"/>
        <w:spacing w:lineRule="atLeast" w:line="390" w:before="120" w:after="0"/>
        <w:ind w:firstLine="709" w:end="0"/>
        <w:jc w:val="both"/>
        <w:rPr>
          <w:color w:val="000000"/>
          <w:sz w:val="28"/>
          <w:szCs w:val="28"/>
        </w:rPr>
      </w:pPr>
      <w:r>
        <w:rPr>
          <w:color w:val="000000"/>
          <w:sz w:val="28"/>
          <w:szCs w:val="28"/>
          <w:lang w:val="vi-VN"/>
        </w:rPr>
        <w:t>Hợp đồng này có hiệu lực kể từ ngày ký, được lập thành 03 bản có giá trị như nhau, mỗi bên giữ 01 bản để t</w:t>
      </w:r>
      <w:r>
        <w:rPr>
          <w:color w:val="000000"/>
          <w:sz w:val="28"/>
          <w:szCs w:val="28"/>
        </w:rPr>
        <w:t>ổ</w:t>
      </w:r>
      <w:r>
        <w:rPr>
          <w:color w:val="000000"/>
          <w:sz w:val="28"/>
          <w:szCs w:val="28"/>
          <w:lang w:val="vi-VN"/>
        </w:rPr>
        <w:t> chức thực hiện và gửi Hội cấp xã trực tiếp quản lý 01 bản.</w:t>
      </w:r>
    </w:p>
    <w:p>
      <w:pPr>
        <w:pStyle w:val="Normal"/>
        <w:shd w:fill="FFFFFF" w:val="clear"/>
        <w:spacing w:lineRule="atLeast" w:line="390" w:before="120" w:after="360"/>
        <w:ind w:firstLine="709" w:end="0"/>
        <w:jc w:val="both"/>
        <w:rPr>
          <w:color w:val="000000"/>
          <w:sz w:val="28"/>
          <w:szCs w:val="28"/>
        </w:rPr>
      </w:pPr>
      <w:r>
        <w:rPr>
          <w:color w:val="000000"/>
          <w:sz w:val="28"/>
          <w:szCs w:val="28"/>
          <w:lang w:val="vi-VN"/>
        </w:rPr>
        <w:t>Hợp đồng này thay thế Hợp đồng ủy nhiệm đã ký kết </w:t>
      </w:r>
      <w:r>
        <w:rPr>
          <w:color w:val="000000"/>
          <w:sz w:val="28"/>
          <w:szCs w:val="28"/>
        </w:rPr>
        <w:t>gi</w:t>
      </w:r>
      <w:r>
        <w:rPr>
          <w:color w:val="000000"/>
          <w:sz w:val="28"/>
          <w:szCs w:val="28"/>
          <w:lang w:val="vi-VN"/>
        </w:rPr>
        <w:t>ữa bên A và bên B ngày </w:t>
      </w:r>
      <w:r>
        <w:rPr>
          <w:color w:val="000000"/>
          <w:sz w:val="28"/>
          <w:szCs w:val="28"/>
        </w:rPr>
        <w:t>……./……/……. </w:t>
      </w:r>
      <w:r>
        <w:rPr>
          <w:color w:val="000000"/>
          <w:sz w:val="28"/>
          <w:szCs w:val="28"/>
          <w:lang w:val="vi-VN"/>
        </w:rPr>
        <w:t>và các phụ lục kèm theo Hợp đ</w:t>
      </w:r>
      <w:r>
        <w:rPr>
          <w:color w:val="000000"/>
          <w:sz w:val="28"/>
          <w:szCs w:val="28"/>
        </w:rPr>
        <w:t>ồ</w:t>
      </w:r>
      <w:r>
        <w:rPr>
          <w:color w:val="000000"/>
          <w:sz w:val="28"/>
          <w:szCs w:val="28"/>
          <w:lang w:val="vi-VN"/>
        </w:rPr>
        <w:t>ng (đ</w:t>
      </w:r>
      <w:r>
        <w:rPr>
          <w:color w:val="000000"/>
          <w:sz w:val="28"/>
          <w:szCs w:val="28"/>
        </w:rPr>
        <w:t>ố</w:t>
      </w:r>
      <w:r>
        <w:rPr>
          <w:color w:val="000000"/>
          <w:sz w:val="28"/>
          <w:szCs w:val="28"/>
          <w:lang w:val="vi-VN"/>
        </w:rPr>
        <w:t>i với trường hợp ký lại H</w:t>
      </w:r>
      <w:r>
        <w:rPr>
          <w:color w:val="000000"/>
          <w:sz w:val="28"/>
          <w:szCs w:val="28"/>
        </w:rPr>
        <w:t>ợ</w:t>
      </w:r>
      <w:r>
        <w:rPr>
          <w:color w:val="000000"/>
          <w:sz w:val="28"/>
          <w:szCs w:val="28"/>
          <w:lang w:val="vi-VN"/>
        </w:rPr>
        <w:t>p đồng).</w:t>
      </w:r>
    </w:p>
    <w:tbl>
      <w:tblPr>
        <w:tblW w:w="9288" w:type="dxa"/>
        <w:jc w:val="start"/>
        <w:tblInd w:w="0" w:type="dxa"/>
        <w:tblLayout w:type="fixed"/>
        <w:tblCellMar>
          <w:top w:w="0" w:type="dxa"/>
          <w:start w:w="108" w:type="dxa"/>
          <w:bottom w:w="0" w:type="dxa"/>
          <w:end w:w="108" w:type="dxa"/>
        </w:tblCellMar>
      </w:tblPr>
      <w:tblGrid>
        <w:gridCol w:w="3430"/>
        <w:gridCol w:w="2484"/>
        <w:gridCol w:w="3374"/>
      </w:tblGrid>
      <w:tr>
        <w:trPr/>
        <w:tc>
          <w:tcPr>
            <w:tcW w:w="3430" w:type="dxa"/>
            <w:tcBorders/>
          </w:tcPr>
          <w:p>
            <w:pPr>
              <w:pStyle w:val="BodyTextIndent"/>
              <w:tabs>
                <w:tab w:val="clear" w:pos="720"/>
                <w:tab w:val="left" w:pos="3417" w:leader="none"/>
              </w:tabs>
              <w:spacing w:before="0" w:after="0"/>
              <w:ind w:start="0" w:end="0"/>
              <w:jc w:val="center"/>
              <w:rPr>
                <w:b/>
                <w:sz w:val="28"/>
                <w:szCs w:val="28"/>
                <w:lang w:val="nl-NL"/>
              </w:rPr>
            </w:pPr>
            <w:r>
              <w:rPr>
                <w:b/>
                <w:sz w:val="28"/>
                <w:szCs w:val="28"/>
                <w:lang w:val="nl-NL"/>
              </w:rPr>
              <w:t>Đại diện bên B</w:t>
            </w:r>
          </w:p>
          <w:p>
            <w:pPr>
              <w:pStyle w:val="BodyTextIndent"/>
              <w:tabs>
                <w:tab w:val="clear" w:pos="720"/>
                <w:tab w:val="left" w:pos="3417" w:leader="none"/>
              </w:tabs>
              <w:spacing w:before="0" w:after="0"/>
              <w:ind w:start="0" w:end="0"/>
              <w:jc w:val="center"/>
              <w:rPr>
                <w:sz w:val="28"/>
                <w:szCs w:val="28"/>
                <w:lang w:val="nl-NL"/>
              </w:rPr>
            </w:pPr>
            <w:r>
              <w:rPr>
                <w:i/>
                <w:lang w:val="nl-NL"/>
              </w:rPr>
              <w:t>(Ký, ghi rõ họ tên)</w:t>
            </w:r>
          </w:p>
        </w:tc>
        <w:tc>
          <w:tcPr>
            <w:tcW w:w="2484" w:type="dxa"/>
            <w:tcBorders/>
          </w:tcPr>
          <w:p>
            <w:pPr>
              <w:pStyle w:val="BodyTextIndent"/>
              <w:tabs>
                <w:tab w:val="clear" w:pos="720"/>
                <w:tab w:val="left" w:pos="3417" w:leader="none"/>
              </w:tabs>
              <w:snapToGrid w:val="false"/>
              <w:spacing w:before="0" w:after="0"/>
              <w:ind w:start="0" w:end="0"/>
              <w:jc w:val="both"/>
              <w:rPr>
                <w:sz w:val="28"/>
                <w:szCs w:val="28"/>
                <w:lang w:val="nl-NL"/>
              </w:rPr>
            </w:pPr>
            <w:r>
              <w:rPr>
                <w:sz w:val="28"/>
                <w:szCs w:val="28"/>
                <w:lang w:val="nl-NL"/>
              </w:rPr>
            </w:r>
          </w:p>
        </w:tc>
        <w:tc>
          <w:tcPr>
            <w:tcW w:w="3374" w:type="dxa"/>
            <w:tcBorders/>
          </w:tcPr>
          <w:p>
            <w:pPr>
              <w:pStyle w:val="BodyTextIndent"/>
              <w:tabs>
                <w:tab w:val="clear" w:pos="720"/>
                <w:tab w:val="left" w:pos="3417" w:leader="none"/>
              </w:tabs>
              <w:spacing w:before="0" w:after="0"/>
              <w:ind w:start="0" w:end="0"/>
              <w:jc w:val="center"/>
              <w:rPr>
                <w:b/>
                <w:sz w:val="28"/>
                <w:szCs w:val="28"/>
                <w:lang w:val="nl-NL"/>
              </w:rPr>
            </w:pPr>
            <w:r>
              <w:rPr>
                <w:b/>
                <w:sz w:val="28"/>
                <w:szCs w:val="28"/>
                <w:lang w:val="nl-NL"/>
              </w:rPr>
              <w:t>Đại diện bên A</w:t>
            </w:r>
          </w:p>
          <w:p>
            <w:pPr>
              <w:pStyle w:val="BodyTextIndent"/>
              <w:tabs>
                <w:tab w:val="clear" w:pos="720"/>
                <w:tab w:val="left" w:pos="3417" w:leader="none"/>
              </w:tabs>
              <w:spacing w:before="0" w:after="0"/>
              <w:ind w:start="0" w:end="0"/>
              <w:jc w:val="center"/>
              <w:rPr>
                <w:sz w:val="28"/>
                <w:szCs w:val="28"/>
                <w:lang w:val="nl-NL"/>
              </w:rPr>
            </w:pPr>
            <w:r>
              <w:rPr>
                <w:i/>
                <w:lang w:val="nl-NL"/>
              </w:rPr>
              <w:t>(Ký tên, đóng dấu)</w:t>
            </w:r>
          </w:p>
        </w:tc>
      </w:tr>
    </w:tbl>
    <w:p>
      <w:pPr>
        <w:pStyle w:val="Normal"/>
        <w:shd w:fill="FFFFFF" w:val="clear"/>
        <w:spacing w:lineRule="atLeast" w:line="390" w:before="120" w:after="0"/>
        <w:ind w:firstLine="709" w:end="0"/>
        <w:jc w:val="both"/>
        <w:rPr>
          <w:color w:val="000000"/>
          <w:sz w:val="28"/>
          <w:szCs w:val="28"/>
        </w:rPr>
      </w:pPr>
      <w:r>
        <w:rPr>
          <w:color w:val="000000"/>
          <w:sz w:val="28"/>
          <w:szCs w:val="28"/>
        </w:rPr>
      </w:r>
    </w:p>
    <w:sectPr>
      <w:headerReference w:type="default" r:id="rId2"/>
      <w:footerReference w:type="default" r:id="rId3"/>
      <w:type w:val="nextPage"/>
      <w:pgSz w:w="11906" w:h="16838"/>
      <w:pgMar w:left="1701" w:right="1134" w:gutter="0" w:header="720" w:top="1134" w:footer="720" w:bottom="9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VnTime">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iso-8859-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lang w:val="nl-NL"/>
      </w:rPr>
    </w:pPr>
    <w:r>
      <w:rPr>
        <w:lang w:val="nl-NL"/>
      </w:rPr>
    </w:r>
    <w:r>
      <mc:AlternateContent>
        <mc:Choice Requires="wps">
          <w:drawing>
            <wp:anchor behindDoc="0" distT="0" distB="0" distL="0" distR="0" simplePos="0" locked="0" layoutInCell="0" allowOverlap="1" relativeHeight="7">
              <wp:simplePos x="0" y="0"/>
              <wp:positionH relativeFrom="margin">
                <wp:align>right</wp:align>
              </wp:positionH>
              <wp:positionV relativeFrom="paragraph">
                <wp:posOffset>635</wp:posOffset>
              </wp:positionV>
              <wp:extent cx="76835" cy="175260"/>
              <wp:effectExtent l="0" t="0" r="0" b="0"/>
              <wp:wrapSquare wrapText="bothSides"/>
              <wp:docPr id="2"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lang w:val="nl-NL"/>
                            </w:rPr>
                          </w:pPr>
                          <w:r>
                            <w:rPr>
                              <w:rStyle w:val="PageNumber"/>
                              <w:lang w:val="nl-NL"/>
                            </w:rPr>
                            <w:fldChar w:fldCharType="begin"/>
                          </w:r>
                          <w:r>
                            <w:rPr>
                              <w:rStyle w:val="PageNumber"/>
                              <w:lang w:val="nl-NL"/>
                            </w:rPr>
                            <w:instrText xml:space="preserve"> PAGE </w:instrText>
                          </w:r>
                          <w:r>
                            <w:rPr>
                              <w:rStyle w:val="PageNumber"/>
                              <w:lang w:val="nl-NL"/>
                            </w:rPr>
                            <w:fldChar w:fldCharType="separate"/>
                          </w:r>
                          <w:r>
                            <w:rPr>
                              <w:rStyle w:val="PageNumber"/>
                              <w:lang w:val="nl-NL"/>
                            </w:rPr>
                            <w:t>6</w:t>
                          </w:r>
                          <w:r>
                            <w:rPr>
                              <w:rStyle w:val="PageNumber"/>
                              <w:lang w:val="nl-NL"/>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47.5pt;mso-position-horizontal:right;mso-position-horizontal-relative:margin">
              <v:fill opacity="0f"/>
              <v:textbox inset="0in,0in,0in,0in">
                <w:txbxContent>
                  <w:p>
                    <w:pPr>
                      <w:pStyle w:val="Footer"/>
                      <w:rPr>
                        <w:rStyle w:val="PageNumber"/>
                        <w:lang w:val="nl-NL"/>
                      </w:rPr>
                    </w:pPr>
                    <w:r>
                      <w:rPr>
                        <w:rStyle w:val="PageNumber"/>
                        <w:lang w:val="nl-NL"/>
                      </w:rPr>
                      <w:fldChar w:fldCharType="begin"/>
                    </w:r>
                    <w:r>
                      <w:rPr>
                        <w:rStyle w:val="PageNumber"/>
                        <w:lang w:val="nl-NL"/>
                      </w:rPr>
                      <w:instrText xml:space="preserve"> PAGE </w:instrText>
                    </w:r>
                    <w:r>
                      <w:rPr>
                        <w:rStyle w:val="PageNumber"/>
                        <w:lang w:val="nl-NL"/>
                      </w:rPr>
                      <w:fldChar w:fldCharType="separate"/>
                    </w:r>
                    <w:r>
                      <w:rPr>
                        <w:rStyle w:val="PageNumber"/>
                        <w:lang w:val="nl-NL"/>
                      </w:rPr>
                      <w:t>6</w:t>
                    </w:r>
                    <w:r>
                      <w:rPr>
                        <w:rStyle w:val="PageNumber"/>
                        <w:lang w:val="nl-NL"/>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nl-NL"/>
      </w:rPr>
    </w:pPr>
    <w:r>
      <w:rPr>
        <w:lang w:val="nl-NL"/>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ind w:firstLine="720" w:start="0" w:end="0"/>
      <w:outlineLvl w:val="0"/>
    </w:pPr>
    <w:rPr>
      <w:rFonts w:ascii=".VnTime" w:hAnsi=".VnTime" w:cs=".VnTime"/>
      <w:b/>
      <w:bCs/>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DefaultParagraphFont">
    <w:name w:val="Default Paragraph Font"/>
    <w:qFormat/>
    <w:rPr/>
  </w:style>
  <w:style w:type="character" w:styleId="Heading1Char">
    <w:name w:val="Heading 1 Char"/>
    <w:qFormat/>
    <w:rPr>
      <w:rFonts w:ascii=".VnTime" w:hAnsi=".VnTime" w:cs=".VnTime"/>
      <w:b/>
      <w:bCs/>
      <w:sz w:val="24"/>
      <w:szCs w:val="24"/>
      <w:lang w:val="en-US" w:bidi="ar-SA"/>
    </w:rPr>
  </w:style>
  <w:style w:type="character" w:styleId="HeaderChar">
    <w:name w:val="Header Char"/>
    <w:qFormat/>
    <w:rPr>
      <w:sz w:val="24"/>
      <w:szCs w:val="24"/>
      <w:lang w:val="en-US" w:bidi="ar-SA"/>
    </w:rPr>
  </w:style>
  <w:style w:type="character" w:styleId="PageNumber">
    <w:name w:val="Page Number"/>
    <w:basedOn w:val="DefaultParagraphFont"/>
    <w:rPr/>
  </w:style>
  <w:style w:type="character" w:styleId="BodyTextChar">
    <w:name w:val="Body Text Char"/>
    <w:qFormat/>
    <w:rPr>
      <w:sz w:val="24"/>
      <w:szCs w:val="24"/>
      <w:lang w:val="en-US" w:bidi="ar-SA"/>
    </w:rPr>
  </w:style>
  <w:style w:type="character" w:styleId="BalloonTextChar">
    <w:name w:val="Balloon Text Char"/>
    <w:qFormat/>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BodyTextIndent">
    <w:name w:val="Body Text Indent"/>
    <w:basedOn w:val="Normal"/>
    <w:pPr>
      <w:spacing w:before="0" w:after="120"/>
      <w:ind w:hanging="0" w:start="360" w:end="0"/>
    </w:pPr>
    <w:rPr/>
  </w:style>
  <w:style w:type="paragraph" w:styleId="Footer">
    <w:name w:val="Footer"/>
    <w:basedOn w:val="Normal"/>
    <w:pPr>
      <w:tabs>
        <w:tab w:val="clear" w:pos="720"/>
        <w:tab w:val="center" w:pos="4320" w:leader="none"/>
        <w:tab w:val="right" w:pos="8640" w:leader="none"/>
      </w:tabs>
    </w:pPr>
    <w:rPr/>
  </w:style>
  <w:style w:type="paragraph" w:styleId="Char">
    <w:name w:val="Char"/>
    <w:basedOn w:val="Normal"/>
    <w:qFormat/>
    <w:pPr/>
    <w:rPr>
      <w:rFonts w:ascii="Arial" w:hAnsi="Arial" w:cs="Arial"/>
      <w:sz w:val="22"/>
      <w:szCs w:val="20"/>
      <w:lang w:val="en-AU"/>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2025-08-05T01:31:00Z</dcterms:created>
  <dc:creator/>
  <dc:description/>
  <cp:keywords/>
  <dc:language>en-US</dc:language>
  <cp:lastModifiedBy/>
  <cp:lastPrinted>2022-02-09T13:51:00Z</cp:lastPrinted>
  <dcterms:modified xsi:type="dcterms:W3CDTF">2025-08-19T22:58:00Z</dcterms:modified>
  <cp:revision>4</cp:revision>
  <dc:subject/>
  <dc:title/>
</cp:coreProperties>
</file>