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TRƯỜNG ĐẠI HỌC VIỆT NHẬT – HỌC PHẦN ĐÁNH GIÁ HIỆU NĂNG</w:t>
        <w:br/>
        <w:t>BIÊN BẢN BÀN GIAO SỐ 1 (MẪU 06)</w:t>
        <w:br/>
        <w:t>Bàn giao sản phẩm để kiểm thử độc lập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Vai trò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Thông tin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Bên giao (Chủ hệ thống)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Nguyễn Trọng Nhân – Chủ hệ thống Badminton Court Booking System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Bên nhận (Tester)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Bạn cặp kiểm thử độc lập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Ngày bàn giao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24/10/2026</w:t>
            </w:r>
          </w:p>
        </w:tc>
      </w:tr>
    </w:tbl>
    <w:p/>
    <w:p>
      <w:pPr>
        <w:pStyle w:val="Heading1"/>
      </w:pPr>
      <w:r>
        <w:t>I. Danh mục bàn giao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Hạng mục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Phiên bản / Đường dẫn file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Tài liệu Yêu cầu Người sử dụng (URD)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docs/01_URD_BadmintonBooking.docx (v3.0)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3 vai trò, 8 US, 3 luồng E2E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Đặc tả Yêu cầu Phần mềm (SRS)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docs/02_SRS_BadmintonBooking.docx (v3.0)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19 FR, 10 NFR (4 NFR hiệu năng), BVA, Decision Table, State, RTM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Tài liệu Thiết kế API (Mẫu 01)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docs/03_API_DOCUMENTATION.docx &amp; .md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14 endpoint RESTful JSON UTF-8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Danh mục Tài khoản &amp; Dữ liệu mẫu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docs/04_TEST_ACCOUNTS.md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4 tài khoản xác định, 6 sân, 5 đơn mẫu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Sản phẩm Web &amp; Backend API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http://localhost:5173 | API: http://localhost:5001/api/v1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Git repo: nhannttdevvn/badminton-court-booking-system (nhánh planted-bugs / main)</w:t>
            </w:r>
          </w:p>
        </w:tc>
      </w:tr>
    </w:tbl>
    <w:p/>
    <w:p>
      <w:pPr>
        <w:pStyle w:val="Heading1"/>
      </w:pPr>
      <w:r>
        <w:t>II. Xác nhận của bên nhận</w:t>
      </w:r>
    </w:p>
    <w:p>
      <w:r>
        <w:t>☑ Truy cập được link sản phẩm      ☑ Đăng nhập được mọi vai trò      ☑ Nhận đủ tài liệu ở mục I</w:t>
      </w:r>
    </w:p>
    <w:p>
      <w:pPr>
        <w:pStyle w:val="Heading1"/>
      </w:pPr>
      <w:r>
        <w:t>III. Hạn chế đã biết (Phạm vi hệ thống)</w:t>
      </w:r>
    </w:p>
    <w:p>
      <w:r>
        <w:t>Hệ thống được thiết kế giới hạn trong đúng 5 nhóm chức năng cốt lõi phục vụ kiểm thử phần mềm và đánh giá hiệu năng: (1) Đăng ký, (2) Đăng nhập, (3) Xem sân &amp; lịch sân, (4) Đặt sân, (5) Hủy đặt sân. Không bao gồm thanh toán online, khuyến mãi/voucher, chat, đánh giá sân hay quản lý giải đấu.</w:t>
      </w:r>
    </w:p>
    <w:p>
      <w:pPr>
        <w:pStyle w:val="Heading1"/>
      </w:pPr>
      <w:r>
        <w:t>IV. Cam kết</w:t>
      </w:r>
    </w:p>
    <w:p>
      <w:r>
        <w:t>1. Bên giao giữ nguyên sản phẩm và duy trì hoạt động ổn định trong suốt thời gian kiểm thử.</w:t>
        <w:br/>
        <w:t>2. Bên giao phản hồi Bug Report trong vòng 48 giờ.</w:t>
        <w:br/>
        <w:t>3. Bên giao tuyệt đối không tiết lộ danh sách lỗi cài sẵn (Bug Manifest) cho bên nhận.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