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00"/>
        <w:jc w:val="center"/>
      </w:pPr>
      <w:r>
        <w:rPr>
          <w:rFonts w:ascii="Times New Roman" w:cs="Times New Roman" w:eastAsia="Times New Roman" w:hAnsi="Times New Roman"/>
          <w:b/>
          <w:bCs/>
          <w:sz w:val="24"/>
          <w:szCs w:val="24"/>
        </w:rPr>
        <w:t xml:space="preserve">TRƯỜNG ĐẠI HỌC ……………………………</w:t>
      </w:r>
    </w:p>
    <w:p>
      <w:pPr>
        <w:spacing w:after="700" w:line="300"/>
        <w:jc w:val="center"/>
      </w:pPr>
      <w:r>
        <w:rPr>
          <w:rFonts w:ascii="Times New Roman" w:cs="Times New Roman" w:eastAsia="Times New Roman" w:hAnsi="Times New Roman"/>
          <w:b/>
          <w:bCs/>
          <w:sz w:val="24"/>
          <w:szCs w:val="24"/>
        </w:rPr>
        <w:t xml:space="preserve">KHOA CÔNG NGHỆ THÔNG TIN</w:t>
      </w:r>
    </w:p>
    <w:p>
      <w:pPr>
        <w:spacing w:after="700"/>
        <w:jc w:val="center"/>
      </w:pPr>
      <w:r>
        <w:rPr>
          <w:rFonts w:ascii="Times New Roman" w:cs="Times New Roman" w:eastAsia="Times New Roman" w:hAnsi="Times New Roman"/>
          <w:b/>
          <w:bCs/>
          <w:color w:val="1F3864"/>
          <w:sz w:val="56"/>
          <w:szCs w:val="56"/>
        </w:rPr>
        <w:t xml:space="preserve">BÁO CÁO LAB 02</w:t>
      </w:r>
    </w:p>
    <w:p>
      <w:pPr>
        <w:spacing w:after="200"/>
        <w:jc w:val="center"/>
      </w:pPr>
      <w:r>
        <w:rPr>
          <w:rFonts w:ascii="Times New Roman" w:cs="Times New Roman" w:eastAsia="Times New Roman" w:hAnsi="Times New Roman"/>
          <w:b/>
          <w:bCs/>
          <w:sz w:val="32"/>
          <w:szCs w:val="32"/>
        </w:rPr>
        <w:t xml:space="preserve">HOUSE PRICES – ADVANCED REGRESSION TECHNIQUES</w:t>
      </w:r>
    </w:p>
    <w:p>
      <w:pPr>
        <w:spacing w:after="700" w:line="300"/>
        <w:jc w:val="center"/>
      </w:pPr>
      <w:r>
        <w:rPr>
          <w:rFonts w:ascii="Times New Roman" w:cs="Times New Roman" w:eastAsia="Times New Roman" w:hAnsi="Times New Roman"/>
          <w:i/>
          <w:iCs/>
          <w:sz w:val="24"/>
          <w:szCs w:val="24"/>
        </w:rPr>
        <w:t xml:space="preserve">Dự đoán giá nhà trên bộ dữ liệu Ames Housing theo quy trình CRISP-DM</w:t>
      </w:r>
    </w:p>
    <w:p>
      <w:pPr>
        <w:spacing w:after="120" w:line="300"/>
        <w:jc w:val="center"/>
      </w:pPr>
      <w:r>
        <w:rPr>
          <w:rFonts w:ascii="Times New Roman" w:cs="Times New Roman" w:eastAsia="Times New Roman" w:hAnsi="Times New Roman"/>
          <w:sz w:val="24"/>
          <w:szCs w:val="24"/>
        </w:rPr>
        <w:t xml:space="preserve">Môn học:  ………………………………</w:t>
      </w:r>
    </w:p>
    <w:p>
      <w:pPr>
        <w:spacing w:after="120" w:line="300"/>
        <w:jc w:val="center"/>
      </w:pPr>
      <w:r>
        <w:rPr>
          <w:rFonts w:ascii="Times New Roman" w:cs="Times New Roman" w:eastAsia="Times New Roman" w:hAnsi="Times New Roman"/>
          <w:sz w:val="24"/>
          <w:szCs w:val="24"/>
        </w:rPr>
        <w:t xml:space="preserve">Giảng viên hướng dẫn:  ………………………………</w:t>
      </w:r>
    </w:p>
    <w:p>
      <w:pPr>
        <w:spacing w:after="400" w:line="300"/>
        <w:jc w:val="center"/>
      </w:pPr>
      <w:r>
        <w:rPr>
          <w:rFonts w:ascii="Times New Roman" w:cs="Times New Roman" w:eastAsia="Times New Roman" w:hAnsi="Times New Roman"/>
          <w:sz w:val="24"/>
          <w:szCs w:val="24"/>
        </w:rPr>
        <w:t xml:space="preserve">Lớp:  ……………  –  Nhóm:  ……………</w:t>
      </w:r>
    </w:p>
    <w:p>
      <w:pPr>
        <w:spacing w:after="120" w:line="300"/>
        <w:jc w:val="center"/>
      </w:pPr>
      <w:r>
        <w:rPr>
          <w:rFonts w:ascii="Times New Roman" w:cs="Times New Roman" w:eastAsia="Times New Roman" w:hAnsi="Times New Roman"/>
          <w:b/>
          <w:bCs/>
          <w:sz w:val="24"/>
          <w:szCs w:val="24"/>
        </w:rPr>
        <w:t xml:space="preserve">DANH SÁCH THÀNH VIÊN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1800"/>
        <w:gridCol w:w="2926"/>
      </w:tblGrid>
      <w:tr>
        <w:trPr>
          <w:tblHeader/>
        </w:trPr>
        <w:tc>
          <w:tcPr>
            <w:tcW w:type="dxa" w:w="700"/>
            <w:shd w:fill="DCE6F1" w:color="auto" w:val="clear"/>
            <w:tcMar>
              <w:top w:type="dxa" w:w="80"/>
              <w:left w:type="dxa" w:w="110"/>
              <w:bottom w:type="dxa" w:w="80"/>
              <w:right w:type="dxa" w:w="110"/>
            </w:tcMar>
          </w:tcPr>
          <w:p>
            <w:pPr>
              <w:spacing w:after="0" w:line="280"/>
              <w:jc w:val="center"/>
            </w:pPr>
            <w:r>
              <w:rPr>
                <w:rFonts w:ascii="Times New Roman" w:cs="Times New Roman" w:eastAsia="Times New Roman" w:hAnsi="Times New Roman"/>
                <w:b/>
                <w:bCs/>
                <w:sz w:val="22"/>
                <w:szCs w:val="22"/>
              </w:rPr>
              <w:t xml:space="preserve">STT</w:t>
            </w:r>
          </w:p>
        </w:tc>
        <w:tc>
          <w:tcPr>
            <w:tcW w:type="dxa" w:w="3600"/>
            <w:shd w:fill="DCE6F1" w:color="auto" w:val="clear"/>
            <w:tcMar>
              <w:top w:type="dxa" w:w="80"/>
              <w:left w:type="dxa" w:w="110"/>
              <w:bottom w:type="dxa" w:w="80"/>
              <w:right w:type="dxa" w:w="110"/>
            </w:tcMar>
          </w:tcPr>
          <w:p>
            <w:pPr>
              <w:spacing w:after="0" w:line="280"/>
              <w:jc w:val="center"/>
            </w:pPr>
            <w:r>
              <w:rPr>
                <w:rFonts w:ascii="Times New Roman" w:cs="Times New Roman" w:eastAsia="Times New Roman" w:hAnsi="Times New Roman"/>
                <w:b/>
                <w:bCs/>
                <w:sz w:val="22"/>
                <w:szCs w:val="22"/>
              </w:rPr>
              <w:t xml:space="preserve">Họ và tên</w:t>
            </w:r>
          </w:p>
        </w:tc>
        <w:tc>
          <w:tcPr>
            <w:tcW w:type="dxa" w:w="1800"/>
            <w:shd w:fill="DCE6F1" w:color="auto" w:val="clear"/>
            <w:tcMar>
              <w:top w:type="dxa" w:w="80"/>
              <w:left w:type="dxa" w:w="110"/>
              <w:bottom w:type="dxa" w:w="80"/>
              <w:right w:type="dxa" w:w="110"/>
            </w:tcMar>
          </w:tcPr>
          <w:p>
            <w:pPr>
              <w:spacing w:after="0" w:line="280"/>
              <w:jc w:val="center"/>
            </w:pPr>
            <w:r>
              <w:rPr>
                <w:rFonts w:ascii="Times New Roman" w:cs="Times New Roman" w:eastAsia="Times New Roman" w:hAnsi="Times New Roman"/>
                <w:b/>
                <w:bCs/>
                <w:sz w:val="22"/>
                <w:szCs w:val="22"/>
              </w:rPr>
              <w:t xml:space="preserve">MSSV</w:t>
            </w:r>
          </w:p>
        </w:tc>
        <w:tc>
          <w:tcPr>
            <w:tcW w:type="dxa" w:w="2926"/>
            <w:shd w:fill="DCE6F1" w:color="auto" w:val="clear"/>
            <w:tcMar>
              <w:top w:type="dxa" w:w="80"/>
              <w:left w:type="dxa" w:w="110"/>
              <w:bottom w:type="dxa" w:w="80"/>
              <w:right w:type="dxa" w:w="110"/>
            </w:tcMar>
          </w:tcPr>
          <w:p>
            <w:pPr>
              <w:spacing w:after="0" w:line="280"/>
              <w:jc w:val="center"/>
            </w:pPr>
            <w:r>
              <w:rPr>
                <w:rFonts w:ascii="Times New Roman" w:cs="Times New Roman" w:eastAsia="Times New Roman" w:hAnsi="Times New Roman"/>
                <w:b/>
                <w:bCs/>
                <w:sz w:val="22"/>
                <w:szCs w:val="22"/>
              </w:rPr>
              <w:t xml:space="preserve">Vai trò</w:t>
            </w:r>
          </w:p>
        </w:tc>
      </w:tr>
      <w:tr>
        <w:tc>
          <w:tcPr>
            <w:tcW w:type="dxa" w:w="7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1</w:t>
            </w:r>
          </w:p>
        </w:tc>
        <w:tc>
          <w:tcPr>
            <w:tcW w:type="dxa" w:w="36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w:t>
            </w:r>
          </w:p>
        </w:tc>
        <w:tc>
          <w:tcPr>
            <w:tcW w:type="dxa" w:w="18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w:t>
            </w:r>
          </w:p>
        </w:tc>
        <w:tc>
          <w:tcPr>
            <w:tcW w:type="dxa" w:w="29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Nhóm trưởng</w:t>
            </w:r>
          </w:p>
        </w:tc>
      </w:tr>
      <w:tr>
        <w:tc>
          <w:tcPr>
            <w:tcW w:type="dxa" w:w="7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2</w:t>
            </w:r>
          </w:p>
        </w:tc>
        <w:tc>
          <w:tcPr>
            <w:tcW w:type="dxa" w:w="36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w:t>
            </w:r>
          </w:p>
        </w:tc>
        <w:tc>
          <w:tcPr>
            <w:tcW w:type="dxa" w:w="18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w:t>
            </w:r>
          </w:p>
        </w:tc>
        <w:tc>
          <w:tcPr>
            <w:tcW w:type="dxa" w:w="29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Thành viên</w:t>
            </w:r>
          </w:p>
        </w:tc>
      </w:tr>
      <w:tr>
        <w:tc>
          <w:tcPr>
            <w:tcW w:type="dxa" w:w="7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3</w:t>
            </w:r>
          </w:p>
        </w:tc>
        <w:tc>
          <w:tcPr>
            <w:tcW w:type="dxa" w:w="36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w:t>
            </w:r>
          </w:p>
        </w:tc>
        <w:tc>
          <w:tcPr>
            <w:tcW w:type="dxa" w:w="18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w:t>
            </w:r>
          </w:p>
        </w:tc>
        <w:tc>
          <w:tcPr>
            <w:tcW w:type="dxa" w:w="29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Thành viên</w:t>
            </w:r>
          </w:p>
        </w:tc>
      </w:tr>
      <w:tr>
        <w:tc>
          <w:tcPr>
            <w:tcW w:type="dxa" w:w="7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4</w:t>
            </w:r>
          </w:p>
        </w:tc>
        <w:tc>
          <w:tcPr>
            <w:tcW w:type="dxa" w:w="36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w:t>
            </w:r>
          </w:p>
        </w:tc>
        <w:tc>
          <w:tcPr>
            <w:tcW w:type="dxa" w:w="18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w:t>
            </w:r>
          </w:p>
        </w:tc>
        <w:tc>
          <w:tcPr>
            <w:tcW w:type="dxa" w:w="29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Thành viên</w:t>
            </w:r>
          </w:p>
        </w:tc>
      </w:tr>
    </w:tbl>
    <w:p>
      <w:pPr>
        <w:spacing w:after="600" w:line="300"/>
      </w:pPr>
      <w:r>
        <w:rPr>
          <w:rFonts w:ascii="Times New Roman" w:cs="Times New Roman" w:eastAsia="Times New Roman" w:hAnsi="Times New Roman"/>
          <w:sz w:val="24"/>
          <w:szCs w:val="24"/>
        </w:rPr>
        <w:t xml:space="preserve"/>
      </w:r>
    </w:p>
    <w:p>
      <w:pPr>
        <w:spacing w:after="120" w:line="300"/>
        <w:jc w:val="center"/>
      </w:pPr>
      <w:r>
        <w:rPr>
          <w:rFonts w:ascii="Times New Roman" w:cs="Times New Roman" w:eastAsia="Times New Roman" w:hAnsi="Times New Roman"/>
          <w:i/>
          <w:iCs/>
          <w:sz w:val="24"/>
          <w:szCs w:val="24"/>
        </w:rPr>
        <w:t xml:space="preserve">TP. Hồ Chí Minh, tháng …… năm 20……</w:t>
      </w:r>
    </w:p>
    <w:p>
      <w:r>
        <w:br w:type="page"/>
      </w:r>
    </w:p>
    <w:p>
      <w:pPr>
        <w:pStyle w:val="Heading1"/>
        <w:spacing w:after="140" w:before="260"/>
      </w:pPr>
      <w:r>
        <w:rPr>
          <w:rFonts w:ascii="Times New Roman" w:cs="Times New Roman" w:eastAsia="Times New Roman" w:hAnsi="Times New Roman"/>
          <w:b/>
          <w:bCs/>
          <w:color w:val="1F3864"/>
          <w:sz w:val="30"/>
          <w:szCs w:val="30"/>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spacing w:after="120" w:line="300"/>
      </w:pPr>
      <w:r>
        <w:rPr>
          <w:rFonts w:ascii="Times New Roman" w:cs="Times New Roman" w:eastAsia="Times New Roman" w:hAnsi="Times New Roman"/>
          <w:i/>
          <w:iCs/>
          <w:sz w:val="21"/>
          <w:szCs w:val="21"/>
        </w:rPr>
        <w:t xml:space="preserve">(Mở file trong Word → nhấn chuột phải vào mục lục → Update Field để cập nhật số trang.)</w:t>
      </w:r>
    </w:p>
    <w:p>
      <w:r>
        <w:br w:type="page"/>
      </w:r>
    </w:p>
    <w:p>
      <w:pPr>
        <w:pStyle w:val="Heading1"/>
        <w:spacing w:after="140" w:before="260"/>
      </w:pPr>
      <w:r>
        <w:rPr>
          <w:rFonts w:ascii="Times New Roman" w:cs="Times New Roman" w:eastAsia="Times New Roman" w:hAnsi="Times New Roman"/>
          <w:b/>
          <w:bCs/>
          <w:color w:val="1F3864"/>
          <w:sz w:val="30"/>
          <w:szCs w:val="30"/>
        </w:rPr>
        <w:t xml:space="preserve">I. PHÂN CÔNG CÔNG VIỆC</w:t>
      </w:r>
    </w:p>
    <w:p>
      <w:pPr>
        <w:spacing w:after="120" w:line="300"/>
      </w:pPr>
      <w:r>
        <w:rPr>
          <w:rFonts w:ascii="Times New Roman" w:cs="Times New Roman" w:eastAsia="Times New Roman" w:hAnsi="Times New Roman"/>
          <w:sz w:val="24"/>
          <w:szCs w:val="24"/>
        </w:rPr>
        <w:t xml:space="preserve">Nhóm chia công việc theo đúng các giai đoạn của CRISP-DM để mỗi thành viên vừa phụ trách một khâu, vừa nắm được toàn bộ quy trình. Phần trăm đóng góp do cả nhóm cùng thống nhất.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2626"/>
        <w:gridCol w:w="1300"/>
      </w:tblGrid>
      <w:tr>
        <w:trPr>
          <w:tblHeader/>
        </w:trPr>
        <w:tc>
          <w:tcPr>
            <w:tcW w:type="dxa" w:w="1900"/>
            <w:shd w:fill="DCE6F1" w:color="auto" w:val="clear"/>
            <w:tcMar>
              <w:top w:type="dxa" w:w="80"/>
              <w:left w:type="dxa" w:w="110"/>
              <w:bottom w:type="dxa" w:w="80"/>
              <w:right w:type="dxa" w:w="110"/>
            </w:tcMar>
          </w:tcPr>
          <w:p>
            <w:pPr>
              <w:spacing w:after="0" w:line="280"/>
              <w:jc w:val="center"/>
            </w:pPr>
            <w:r>
              <w:rPr>
                <w:rFonts w:ascii="Times New Roman" w:cs="Times New Roman" w:eastAsia="Times New Roman" w:hAnsi="Times New Roman"/>
                <w:b/>
                <w:bCs/>
                <w:sz w:val="22"/>
                <w:szCs w:val="22"/>
              </w:rPr>
              <w:t xml:space="preserve">Thành viên (MSSV)</w:t>
            </w:r>
          </w:p>
        </w:tc>
        <w:tc>
          <w:tcPr>
            <w:tcW w:type="dxa" w:w="3200"/>
            <w:shd w:fill="DCE6F1" w:color="auto" w:val="clear"/>
            <w:tcMar>
              <w:top w:type="dxa" w:w="80"/>
              <w:left w:type="dxa" w:w="110"/>
              <w:bottom w:type="dxa" w:w="80"/>
              <w:right w:type="dxa" w:w="110"/>
            </w:tcMar>
          </w:tcPr>
          <w:p>
            <w:pPr>
              <w:spacing w:after="0" w:line="280"/>
              <w:jc w:val="center"/>
            </w:pPr>
            <w:r>
              <w:rPr>
                <w:rFonts w:ascii="Times New Roman" w:cs="Times New Roman" w:eastAsia="Times New Roman" w:hAnsi="Times New Roman"/>
                <w:b/>
                <w:bCs/>
                <w:sz w:val="22"/>
                <w:szCs w:val="22"/>
              </w:rPr>
              <w:t xml:space="preserve">Công việc phụ trách</w:t>
            </w:r>
          </w:p>
        </w:tc>
        <w:tc>
          <w:tcPr>
            <w:tcW w:type="dxa" w:w="2626"/>
            <w:shd w:fill="DCE6F1" w:color="auto" w:val="clear"/>
            <w:tcMar>
              <w:top w:type="dxa" w:w="80"/>
              <w:left w:type="dxa" w:w="110"/>
              <w:bottom w:type="dxa" w:w="80"/>
              <w:right w:type="dxa" w:w="110"/>
            </w:tcMar>
          </w:tcPr>
          <w:p>
            <w:pPr>
              <w:spacing w:after="0" w:line="280"/>
              <w:jc w:val="center"/>
            </w:pPr>
            <w:r>
              <w:rPr>
                <w:rFonts w:ascii="Times New Roman" w:cs="Times New Roman" w:eastAsia="Times New Roman" w:hAnsi="Times New Roman"/>
                <w:b/>
                <w:bCs/>
                <w:sz w:val="22"/>
                <w:szCs w:val="22"/>
              </w:rPr>
              <w:t xml:space="preserve">Sản phẩm bàn giao</w:t>
            </w:r>
          </w:p>
        </w:tc>
        <w:tc>
          <w:tcPr>
            <w:tcW w:type="dxa" w:w="1300"/>
            <w:shd w:fill="DCE6F1" w:color="auto" w:val="clear"/>
            <w:tcMar>
              <w:top w:type="dxa" w:w="80"/>
              <w:left w:type="dxa" w:w="110"/>
              <w:bottom w:type="dxa" w:w="80"/>
              <w:right w:type="dxa" w:w="110"/>
            </w:tcMar>
          </w:tcPr>
          <w:p>
            <w:pPr>
              <w:spacing w:after="0" w:line="280"/>
              <w:jc w:val="center"/>
            </w:pPr>
            <w:r>
              <w:rPr>
                <w:rFonts w:ascii="Times New Roman" w:cs="Times New Roman" w:eastAsia="Times New Roman" w:hAnsi="Times New Roman"/>
                <w:b/>
                <w:bCs/>
                <w:sz w:val="22"/>
                <w:szCs w:val="22"/>
              </w:rPr>
              <w:t xml:space="preserve">Đóng góp</w:t>
            </w:r>
          </w:p>
        </w:tc>
      </w:tr>
      <w:tr>
        <w:tc>
          <w:tcPr>
            <w:tcW w:type="dxa" w:w="19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
(…………)</w:t>
            </w:r>
          </w:p>
        </w:tc>
        <w:tc>
          <w:tcPr>
            <w:tcW w:type="dxa" w:w="32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Bước 1 &amp; 2: Đọc paper De Cock, xác định bài toán, khám phá dữ liệu (EDA), phân tích dữ liệu thiếu và tương quan</w:t>
            </w:r>
          </w:p>
        </w:tc>
        <w:tc>
          <w:tcPr>
            <w:tcW w:type="dxa" w:w="26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Mục III, IV của báo cáo; hàm data_understanding()</w:t>
            </w:r>
          </w:p>
        </w:tc>
        <w:tc>
          <w:tcPr>
            <w:tcW w:type="dxa" w:w="13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25%</w:t>
            </w:r>
          </w:p>
        </w:tc>
      </w:tr>
      <w:tr>
        <w:tc>
          <w:tcPr>
            <w:tcW w:type="dxa" w:w="19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
(…………)</w:t>
            </w:r>
          </w:p>
        </w:tc>
        <w:tc>
          <w:tcPr>
            <w:tcW w:type="dxa" w:w="32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Bước 3: Làm sạch dữ liệu, xử lý giá trị thiếu, mã hóa biến thứ tự, tạo đặc trưng mới</w:t>
            </w:r>
          </w:p>
        </w:tc>
        <w:tc>
          <w:tcPr>
            <w:tcW w:type="dxa" w:w="26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Mục V; hàm data_preparation()</w:t>
            </w:r>
          </w:p>
        </w:tc>
        <w:tc>
          <w:tcPr>
            <w:tcW w:type="dxa" w:w="13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25%</w:t>
            </w:r>
          </w:p>
        </w:tc>
      </w:tr>
      <w:tr>
        <w:tc>
          <w:tcPr>
            <w:tcW w:type="dxa" w:w="19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
(…………)</w:t>
            </w:r>
          </w:p>
        </w:tc>
        <w:tc>
          <w:tcPr>
            <w:tcW w:type="dxa" w:w="32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Bước 4: Huấn luyện và tinh chỉnh siêu tham số 6 mô hình, so sánh bằng 5-fold CV</w:t>
            </w:r>
          </w:p>
        </w:tc>
        <w:tc>
          <w:tcPr>
            <w:tcW w:type="dxa" w:w="26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Mục VI; hàm modeling()</w:t>
            </w:r>
          </w:p>
        </w:tc>
        <w:tc>
          <w:tcPr>
            <w:tcW w:type="dxa" w:w="13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25%</w:t>
            </w:r>
          </w:p>
        </w:tc>
      </w:tr>
      <w:tr>
        <w:tc>
          <w:tcPr>
            <w:tcW w:type="dxa" w:w="19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
(…………)</w:t>
            </w:r>
          </w:p>
        </w:tc>
        <w:tc>
          <w:tcPr>
            <w:tcW w:type="dxa" w:w="32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Bước 5 &amp; 6: Đánh giá, phân tích phần dư, sinh file nộp Kaggle, viết kiểm thử, tổng hợp báo cáo</w:t>
            </w:r>
          </w:p>
        </w:tc>
        <w:tc>
          <w:tcPr>
            <w:tcW w:type="dxa" w:w="26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Mục VII, VIII; evaluation(), deployment(), test_pipeline.py</w:t>
            </w:r>
          </w:p>
        </w:tc>
        <w:tc>
          <w:tcPr>
            <w:tcW w:type="dxa" w:w="13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25%</w:t>
            </w:r>
          </w:p>
        </w:tc>
      </w:tr>
    </w:tbl>
    <w:p>
      <w:pPr>
        <w:pStyle w:val="Heading1"/>
        <w:spacing w:after="140" w:before="260"/>
      </w:pPr>
      <w:r>
        <w:rPr>
          <w:rFonts w:ascii="Times New Roman" w:cs="Times New Roman" w:eastAsia="Times New Roman" w:hAnsi="Times New Roman"/>
          <w:b/>
          <w:bCs/>
          <w:color w:val="1F3864"/>
          <w:sz w:val="30"/>
          <w:szCs w:val="30"/>
        </w:rPr>
        <w:t xml:space="preserve">II. GIỚI THIỆU BÀI TOÁN VÀ BỘ DỮ LIỆU</w:t>
      </w:r>
    </w:p>
    <w:p>
      <w:pPr>
        <w:pStyle w:val="Heading2"/>
        <w:spacing w:after="140" w:before="260"/>
      </w:pPr>
      <w:r>
        <w:rPr>
          <w:rFonts w:ascii="Times New Roman" w:cs="Times New Roman" w:eastAsia="Times New Roman" w:hAnsi="Times New Roman"/>
          <w:b/>
          <w:bCs/>
          <w:color w:val="1F3864"/>
          <w:sz w:val="26"/>
          <w:szCs w:val="26"/>
        </w:rPr>
        <w:t xml:space="preserve">2.1. Nguồn gốc bộ dữ liệu</w:t>
      </w:r>
    </w:p>
    <w:p>
      <w:pPr>
        <w:spacing w:after="120" w:line="300"/>
      </w:pPr>
      <w:r>
        <w:rPr>
          <w:rFonts w:ascii="Times New Roman" w:cs="Times New Roman" w:eastAsia="Times New Roman" w:hAnsi="Times New Roman"/>
          <w:sz w:val="24"/>
          <w:szCs w:val="24"/>
        </w:rPr>
        <w:t xml:space="preserve">Bộ dữ liệu được giới thiệu trong bài báo “Ames, Iowa: Alternative to the Boston Housing Data as an End of Semester Regression Project” (Dean De Cock, Journal of Statistics Education, Vol. 19, No. 3, 2011). Tác giả lấy dữ liệu trực tiếp từ Văn phòng Định giá thành phố Ames, bang Iowa, Hoa Kỳ.</w:t>
      </w:r>
    </w:p>
    <w:p>
      <w:pPr>
        <w:spacing w:after="120" w:line="300"/>
      </w:pPr>
      <w:r>
        <w:rPr>
          <w:rFonts w:ascii="Times New Roman" w:cs="Times New Roman" w:eastAsia="Times New Roman" w:hAnsi="Times New Roman"/>
          <w:sz w:val="24"/>
          <w:szCs w:val="24"/>
        </w:rPr>
        <w:t xml:space="preserve">Dữ liệu gốc gồm 113 biến mô tả 3.970 giao dịch nhà giai đoạn 2006–2010. Sau khi tác giả loại bỏ các biến mang tính tính toán nội bộ của cơ quan định giá, loại các giao dịch không phải nhà ở (nhà để xe riêng lẻ, kho) và chỉ giữ giao dịch gần nhất của mỗi căn, bộ dữ liệu cuối cùng còn 2.930 quan sát với 80 biến giải thích: 23 biến danh nghĩa (nominal), 23 biến thứ tự (ordinal), 14 biến rời rạc (discrete) và 20 biến liên tục (continuous).</w:t>
      </w:r>
    </w:p>
    <w:p>
      <w:pPr>
        <w:spacing w:after="120" w:line="300"/>
      </w:pPr>
      <w:r>
        <w:rPr>
          <w:rFonts w:ascii="Times New Roman" w:cs="Times New Roman" w:eastAsia="Times New Roman" w:hAnsi="Times New Roman"/>
          <w:sz w:val="24"/>
          <w:szCs w:val="24"/>
        </w:rPr>
        <w:t xml:space="preserve">Cuộc thi Kaggle “House Prices – Advanced Regression Techniques” sử dụng chính bộ dữ liệu này, chia thành train.csv (1.460 dòng, có cột SalePrice) và test.csv (1.459 dòng, không có SalePrice).</w:t>
      </w:r>
    </w:p>
    <w:p>
      <w:pPr>
        <w:pStyle w:val="Heading2"/>
        <w:spacing w:after="140" w:before="260"/>
      </w:pPr>
      <w:r>
        <w:rPr>
          <w:rFonts w:ascii="Times New Roman" w:cs="Times New Roman" w:eastAsia="Times New Roman" w:hAnsi="Times New Roman"/>
          <w:b/>
          <w:bCs/>
          <w:color w:val="1F3864"/>
          <w:sz w:val="26"/>
          <w:szCs w:val="26"/>
        </w:rPr>
        <w:t xml:space="preserve">2.2. Ba điểm quan trọng rút ra từ paper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DCE6F1" w:color="auto" w:val="clear"/>
            <w:tcMar>
              <w:top w:type="dxa" w:w="80"/>
              <w:left w:type="dxa" w:w="110"/>
              <w:bottom w:type="dxa" w:w="80"/>
              <w:right w:type="dxa" w:w="110"/>
            </w:tcMar>
          </w:tcPr>
          <w:p>
            <w:pPr>
              <w:spacing w:after="0" w:line="280"/>
              <w:jc w:val="center"/>
            </w:pPr>
            <w:r>
              <w:rPr>
                <w:rFonts w:ascii="Times New Roman" w:cs="Times New Roman" w:eastAsia="Times New Roman" w:hAnsi="Times New Roman"/>
                <w:b/>
                <w:bCs/>
                <w:sz w:val="22"/>
                <w:szCs w:val="22"/>
              </w:rPr>
              <w:t xml:space="preserve">Phát hiện trong paper</w:t>
            </w:r>
          </w:p>
        </w:tc>
        <w:tc>
          <w:tcPr>
            <w:tcW w:type="dxa" w:w="4513"/>
            <w:shd w:fill="DCE6F1" w:color="auto" w:val="clear"/>
            <w:tcMar>
              <w:top w:type="dxa" w:w="80"/>
              <w:left w:type="dxa" w:w="110"/>
              <w:bottom w:type="dxa" w:w="80"/>
              <w:right w:type="dxa" w:w="110"/>
            </w:tcMar>
          </w:tcPr>
          <w:p>
            <w:pPr>
              <w:spacing w:after="0" w:line="280"/>
              <w:jc w:val="center"/>
            </w:pPr>
            <w:r>
              <w:rPr>
                <w:rFonts w:ascii="Times New Roman" w:cs="Times New Roman" w:eastAsia="Times New Roman" w:hAnsi="Times New Roman"/>
                <w:b/>
                <w:bCs/>
                <w:sz w:val="22"/>
                <w:szCs w:val="22"/>
              </w:rPr>
              <w:t xml:space="preserve">Ảnh hưởng đến cách nhóm làm</w:t>
            </w:r>
          </w:p>
        </w:tc>
      </w:tr>
      <w:tr>
        <w:tc>
          <w:tcPr>
            <w:tcW w:type="dxa" w:w="4513"/>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Tác giả khuyến nghị loại bỏ các căn có diện tích sinh hoạt trên 4.000 sqft — gồm 5 quan sát bất thường, trong đó 3 căn là “Partial Sale” (nhà mới bán khi chưa hoàn thiện) nên không phản ánh giá thị trường.</w:t>
            </w:r>
          </w:p>
        </w:tc>
        <w:tc>
          <w:tcPr>
            <w:tcW w:type="dxa" w:w="4513"/>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Bước Data Preparation loại thẳng các dòng có GrLivArea &gt; 4000 trước khi huấn luyện.</w:t>
            </w:r>
          </w:p>
        </w:tc>
      </w:tr>
      <w:tr>
        <w:tc>
          <w:tcPr>
            <w:tcW w:type="dxa" w:w="4513"/>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Chỉ cần khu phố (Neighborhood) và tổng diện tích (TotalBsmtSF + GrLivArea) đã giải thích được khoảng 80% biến thiên của giá bán.</w:t>
            </w:r>
          </w:p>
        </w:tc>
        <w:tc>
          <w:tcPr>
            <w:tcW w:type="dxa" w:w="4513"/>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Nhóm tạo đặc trưng tổng hợp TotalSF và giữ nguyên biến Neighborhood dưới dạng one-hot.</w:t>
            </w:r>
          </w:p>
        </w:tc>
      </w:tr>
      <w:tr>
        <w:tc>
          <w:tcPr>
            <w:tcW w:type="dxa" w:w="4513"/>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Phương sai của giá tăng dần theo giá (heteroscedasticity); tác giả đề nghị lấy căn bậc hai hoặc dùng nhà nhỏ để khắc phục.</w:t>
            </w:r>
          </w:p>
        </w:tc>
        <w:tc>
          <w:tcPr>
            <w:tcW w:type="dxa" w:w="4513"/>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Nhóm lấy log1p(SalePrice) — vừa làm phân phối cân đối, vừa khớp đúng tiêu chí chấm RMSE trên log của Kaggle.</w:t>
            </w:r>
          </w:p>
        </w:tc>
      </w:tr>
      <w:tr>
        <w:tc>
          <w:tcPr>
            <w:tcW w:type="dxa" w:w="4513"/>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23 biến thứ tự dạng chất lượng (Ex &gt; Gd &gt; TA &gt; Fa &gt; Po) nếu bị coi là biến danh nghĩa sẽ cho hệ số khó diễn giải.</w:t>
            </w:r>
          </w:p>
        </w:tc>
        <w:tc>
          <w:tcPr>
            <w:tcW w:type="dxa" w:w="4513"/>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Nhóm ánh xạ các biến này thành số nguyên có thứ bậc thay vì one-hot.</w:t>
            </w:r>
          </w:p>
        </w:tc>
      </w:tr>
    </w:tbl>
    <w:p>
      <w:pPr>
        <w:pStyle w:val="Heading1"/>
        <w:spacing w:after="140" w:before="260"/>
      </w:pPr>
      <w:r>
        <w:rPr>
          <w:rFonts w:ascii="Times New Roman" w:cs="Times New Roman" w:eastAsia="Times New Roman" w:hAnsi="Times New Roman"/>
          <w:b/>
          <w:bCs/>
          <w:color w:val="1F3864"/>
          <w:sz w:val="30"/>
          <w:szCs w:val="30"/>
        </w:rPr>
        <w:t xml:space="preserve">III. QUY TRÌNH CRISP-DM ÁP DỤNG CHO BÀI TOÁN</w:t>
      </w:r>
    </w:p>
    <w:p>
      <w:pPr>
        <w:spacing w:after="120" w:line="300"/>
      </w:pPr>
      <w:r>
        <w:rPr>
          <w:rFonts w:ascii="Times New Roman" w:cs="Times New Roman" w:eastAsia="Times New Roman" w:hAnsi="Times New Roman"/>
          <w:sz w:val="24"/>
          <w:szCs w:val="24"/>
        </w:rPr>
        <w:t xml:space="preserve">CRISP-DM (Cross-Industry Standard Process for Data Mining) gồm 6 giai đoạn có vòng lặp. Có thể hình dung CRISP-DM giống quy trình nấu một món ăn: hiểu thực khách muốn gì (Business) → xem trong tủ lạnh có nguyên liệu gì (Data Understanding) → sơ chế, rửa, thái (Data Preparation) → nấu (Modeling) → nếm thử (Evaluation) → dọn ra bàn (Deployment). Nếu nếm thấy nhạt thì quay lại nêm nếm chứ không vứt cả nồi đi — đó chính là tính lặp của CRISP-DM.</w:t>
      </w:r>
    </w:p>
    <w:p>
      <w:pPr>
        <w:spacing w:after="60" w:before="140"/>
        <w:jc w:val="center"/>
      </w:pPr>
      <w:r>
        <w:drawing>
          <wp:inline distT="0" distB="0" distL="0" distR="0">
            <wp:extent cx="51435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3909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Hình 1. Sáu giai đoạn của CRISP-DM và ánh xạ sang bài toán dự đoán giá nhà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226"/>
      </w:tblGrid>
      <w:tr>
        <w:trPr>
          <w:tblHeader/>
        </w:trPr>
        <w:tc>
          <w:tcPr>
            <w:tcW w:type="dxa" w:w="2400"/>
            <w:shd w:fill="DCE6F1" w:color="auto" w:val="clear"/>
            <w:tcMar>
              <w:top w:type="dxa" w:w="80"/>
              <w:left w:type="dxa" w:w="110"/>
              <w:bottom w:type="dxa" w:w="80"/>
              <w:right w:type="dxa" w:w="110"/>
            </w:tcMar>
          </w:tcPr>
          <w:p>
            <w:pPr>
              <w:spacing w:after="0" w:line="280"/>
              <w:jc w:val="center"/>
            </w:pPr>
            <w:r>
              <w:rPr>
                <w:rFonts w:ascii="Times New Roman" w:cs="Times New Roman" w:eastAsia="Times New Roman" w:hAnsi="Times New Roman"/>
                <w:b/>
                <w:bCs/>
                <w:sz w:val="22"/>
                <w:szCs w:val="22"/>
              </w:rPr>
              <w:t xml:space="preserve">Giai đoạn CRISP-DM</w:t>
            </w:r>
          </w:p>
        </w:tc>
        <w:tc>
          <w:tcPr>
            <w:tcW w:type="dxa" w:w="4400"/>
            <w:shd w:fill="DCE6F1" w:color="auto" w:val="clear"/>
            <w:tcMar>
              <w:top w:type="dxa" w:w="80"/>
              <w:left w:type="dxa" w:w="110"/>
              <w:bottom w:type="dxa" w:w="80"/>
              <w:right w:type="dxa" w:w="110"/>
            </w:tcMar>
          </w:tcPr>
          <w:p>
            <w:pPr>
              <w:spacing w:after="0" w:line="280"/>
              <w:jc w:val="center"/>
            </w:pPr>
            <w:r>
              <w:rPr>
                <w:rFonts w:ascii="Times New Roman" w:cs="Times New Roman" w:eastAsia="Times New Roman" w:hAnsi="Times New Roman"/>
                <w:b/>
                <w:bCs/>
                <w:sz w:val="22"/>
                <w:szCs w:val="22"/>
              </w:rPr>
              <w:t xml:space="preserve">Nhóm đã làm gì</w:t>
            </w:r>
          </w:p>
        </w:tc>
        <w:tc>
          <w:tcPr>
            <w:tcW w:type="dxa" w:w="2226"/>
            <w:shd w:fill="DCE6F1" w:color="auto" w:val="clear"/>
            <w:tcMar>
              <w:top w:type="dxa" w:w="80"/>
              <w:left w:type="dxa" w:w="110"/>
              <w:bottom w:type="dxa" w:w="80"/>
              <w:right w:type="dxa" w:w="110"/>
            </w:tcMar>
          </w:tcPr>
          <w:p>
            <w:pPr>
              <w:spacing w:after="0" w:line="280"/>
              <w:jc w:val="center"/>
            </w:pPr>
            <w:r>
              <w:rPr>
                <w:rFonts w:ascii="Times New Roman" w:cs="Times New Roman" w:eastAsia="Times New Roman" w:hAnsi="Times New Roman"/>
                <w:b/>
                <w:bCs/>
                <w:sz w:val="22"/>
                <w:szCs w:val="22"/>
              </w:rPr>
              <w:t xml:space="preserve">Hàm trong mã nguồn</w:t>
            </w:r>
          </w:p>
        </w:tc>
      </w:tr>
      <w:tr>
        <w:tc>
          <w:tcPr>
            <w:tcW w:type="dxa" w:w="24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1. Business Understanding</w:t>
            </w:r>
          </w:p>
        </w:tc>
        <w:tc>
          <w:tcPr>
            <w:tcW w:type="dxa" w:w="44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Xác định đây là bài toán hồi quy có giám sát; chọn độ đo RMSE trên log(SalePrice)</w:t>
            </w:r>
          </w:p>
        </w:tc>
        <w:tc>
          <w:tcPr>
            <w:tcW w:type="dxa" w:w="22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BUSINESS_UNDERSTANDING</w:t>
            </w:r>
          </w:p>
        </w:tc>
      </w:tr>
      <w:tr>
        <w:tc>
          <w:tcPr>
            <w:tcW w:type="dxa" w:w="24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2. Data Understanding</w:t>
            </w:r>
          </w:p>
        </w:tc>
        <w:tc>
          <w:tcPr>
            <w:tcW w:type="dxa" w:w="44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Thống kê mô tả, phân tích dữ liệu thiếu, ma trận tương quan, phát hiện ngoại lai</w:t>
            </w:r>
          </w:p>
        </w:tc>
        <w:tc>
          <w:tcPr>
            <w:tcW w:type="dxa" w:w="22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data_understanding()</w:t>
            </w:r>
          </w:p>
        </w:tc>
      </w:tr>
      <w:tr>
        <w:tc>
          <w:tcPr>
            <w:tcW w:type="dxa" w:w="24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3. Data Preparation</w:t>
            </w:r>
          </w:p>
        </w:tc>
        <w:tc>
          <w:tcPr>
            <w:tcW w:type="dxa" w:w="44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Loại ngoại lai, điền giá trị thiếu theo ngữ nghĩa, mã hóa ordinal/one-hot, tạo 12 đặc trưng mới, giảm độ lệch</w:t>
            </w:r>
          </w:p>
        </w:tc>
        <w:tc>
          <w:tcPr>
            <w:tcW w:type="dxa" w:w="22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data_preparation()</w:t>
            </w:r>
          </w:p>
        </w:tc>
      </w:tr>
      <w:tr>
        <w:tc>
          <w:tcPr>
            <w:tcW w:type="dxa" w:w="24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4. Modeling</w:t>
            </w:r>
          </w:p>
        </w:tc>
        <w:tc>
          <w:tcPr>
            <w:tcW w:type="dxa" w:w="44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Huấn luyện 5–6 thuật toán, GridSearchCV tinh chỉnh siêu tham số, so sánh bằng 5-fold CV</w:t>
            </w:r>
          </w:p>
        </w:tc>
        <w:tc>
          <w:tcPr>
            <w:tcW w:type="dxa" w:w="22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modeling()</w:t>
            </w:r>
          </w:p>
        </w:tc>
      </w:tr>
      <w:tr>
        <w:tc>
          <w:tcPr>
            <w:tcW w:type="dxa" w:w="24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5. Evaluation</w:t>
            </w:r>
          </w:p>
        </w:tc>
        <w:tc>
          <w:tcPr>
            <w:tcW w:type="dxa" w:w="44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Đánh giá trên tập holdout, quy sai số về đô-la, phân tích phần dư, kiểm tra thủ công một quan sát</w:t>
            </w:r>
          </w:p>
        </w:tc>
        <w:tc>
          <w:tcPr>
            <w:tcW w:type="dxa" w:w="22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evaluation()</w:t>
            </w:r>
          </w:p>
        </w:tc>
      </w:tr>
      <w:tr>
        <w:tc>
          <w:tcPr>
            <w:tcW w:type="dxa" w:w="24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6. Deployment</w:t>
            </w:r>
          </w:p>
        </w:tc>
        <w:tc>
          <w:tcPr>
            <w:tcW w:type="dxa" w:w="44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Huấn luyện lại trên toàn bộ train, sinh submission.csv, kiểm tra tính hợp lệ của file nộp</w:t>
            </w:r>
          </w:p>
        </w:tc>
        <w:tc>
          <w:tcPr>
            <w:tcW w:type="dxa" w:w="22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deployment()</w:t>
            </w:r>
          </w:p>
        </w:tc>
      </w:tr>
    </w:tbl>
    <w:p>
      <w:r>
        <w:br w:type="page"/>
      </w:r>
    </w:p>
    <w:p>
      <w:pPr>
        <w:pStyle w:val="Heading1"/>
        <w:spacing w:after="140" w:before="260"/>
      </w:pPr>
      <w:r>
        <w:rPr>
          <w:rFonts w:ascii="Times New Roman" w:cs="Times New Roman" w:eastAsia="Times New Roman" w:hAnsi="Times New Roman"/>
          <w:b/>
          <w:bCs/>
          <w:color w:val="1F3864"/>
          <w:sz w:val="30"/>
          <w:szCs w:val="30"/>
        </w:rPr>
        <w:t xml:space="preserve">IV. BƯỚC 1 – BUSINESS UNDERSTANDING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DCE6F1" w:color="auto" w:val="clear"/>
            <w:tcMar>
              <w:top w:type="dxa" w:w="80"/>
              <w:left w:type="dxa" w:w="110"/>
              <w:bottom w:type="dxa" w:w="80"/>
              <w:right w:type="dxa" w:w="110"/>
            </w:tcMar>
          </w:tcPr>
          <w:p>
            <w:pPr>
              <w:spacing w:after="0" w:line="280"/>
              <w:jc w:val="center"/>
            </w:pPr>
            <w:r>
              <w:rPr>
                <w:rFonts w:ascii="Times New Roman" w:cs="Times New Roman" w:eastAsia="Times New Roman" w:hAnsi="Times New Roman"/>
                <w:b/>
                <w:bCs/>
                <w:sz w:val="22"/>
                <w:szCs w:val="22"/>
              </w:rPr>
              <w:t xml:space="preserve">Hạng mục</w:t>
            </w:r>
          </w:p>
        </w:tc>
        <w:tc>
          <w:tcPr>
            <w:tcW w:type="dxa" w:w="6826"/>
            <w:shd w:fill="DCE6F1" w:color="auto" w:val="clear"/>
            <w:tcMar>
              <w:top w:type="dxa" w:w="80"/>
              <w:left w:type="dxa" w:w="110"/>
              <w:bottom w:type="dxa" w:w="80"/>
              <w:right w:type="dxa" w:w="110"/>
            </w:tcMar>
          </w:tcPr>
          <w:p>
            <w:pPr>
              <w:spacing w:after="0" w:line="280"/>
              <w:jc w:val="center"/>
            </w:pPr>
            <w:r>
              <w:rPr>
                <w:rFonts w:ascii="Times New Roman" w:cs="Times New Roman" w:eastAsia="Times New Roman" w:hAnsi="Times New Roman"/>
                <w:b/>
                <w:bCs/>
                <w:sz w:val="22"/>
                <w:szCs w:val="22"/>
              </w:rPr>
              <w:t xml:space="preserve">Nội dung</w:t>
            </w:r>
          </w:p>
        </w:tc>
      </w:tr>
      <w:tr>
        <w:tc>
          <w:tcPr>
            <w:tcW w:type="dxa" w:w="22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Mục tiêu nghiệp vụ</w:t>
            </w:r>
          </w:p>
        </w:tc>
        <w:tc>
          <w:tcPr>
            <w:tcW w:type="dxa" w:w="68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Ước lượng giá bán của một căn nhà ở Ames, Iowa từ 79 đặc trưng mô tả chất lượng và số lượng các hạng mục vật lý của bất động sản. Ứng dụng thực tế: hỗ trợ cơ quan định giá, ngân hàng thẩm định tài sản thế chấp, người mua/bán tham chiếu giá.</w:t>
            </w:r>
          </w:p>
        </w:tc>
      </w:tr>
      <w:tr>
        <w:tc>
          <w:tcPr>
            <w:tcW w:type="dxa" w:w="22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Bài toán học máy</w:t>
            </w:r>
          </w:p>
        </w:tc>
        <w:tc>
          <w:tcPr>
            <w:tcW w:type="dxa" w:w="68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Học có giám sát – Hồi quy (supervised regression). Đầu vào: 79 biến hỗn hợp. Đầu ra: một số thực SalePrice (đơn vị USD).</w:t>
            </w:r>
          </w:p>
        </w:tc>
      </w:tr>
      <w:tr>
        <w:tc>
          <w:tcPr>
            <w:tcW w:type="dxa" w:w="22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Độ đo thành công</w:t>
            </w:r>
          </w:p>
        </w:tc>
        <w:tc>
          <w:tcPr>
            <w:tcW w:type="dxa" w:w="68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RMSE giữa log(giá dự đoán) và log(giá thực tế) — đúng tiêu chí chấm của Kaggle.</w:t>
            </w:r>
          </w:p>
        </w:tc>
      </w:tr>
      <w:tr>
        <w:tc>
          <w:tcPr>
            <w:tcW w:type="dxa" w:w="22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Vì sao dùng log?</w:t>
            </w:r>
          </w:p>
        </w:tc>
        <w:tc>
          <w:tcPr>
            <w:tcW w:type="dxa" w:w="68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Sai lệch 20.000$ trên căn 100.000$ nghiêm trọng hơn nhiều so với trên căn 600.000$. Lấy log biến sai số tuyệt đối thành sai số tương đối (%), nên mọi căn nhà có “trọng số” công bằng như nhau.</w:t>
            </w:r>
          </w:p>
        </w:tc>
      </w:tr>
      <w:tr>
        <w:tc>
          <w:tcPr>
            <w:tcW w:type="dxa" w:w="22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Ràng buộc dữ liệu</w:t>
            </w:r>
          </w:p>
        </w:tc>
        <w:tc>
          <w:tcPr>
            <w:tcW w:type="dxa" w:w="68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Theo De Cock (2011): loại các quan sát có GrLivArea &gt; 4.000 sqft.</w:t>
            </w:r>
          </w:p>
        </w:tc>
      </w:tr>
      <w:tr>
        <w:tc>
          <w:tcPr>
            <w:tcW w:type="dxa" w:w="22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Tiêu chí chấp nhận</w:t>
            </w:r>
          </w:p>
        </w:tc>
        <w:tc>
          <w:tcPr>
            <w:tcW w:type="dxa" w:w="68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Mô hình đạt RMSE(log) tốt hơn mô hình cơ sở (baseline hồi quy tuyến tính chỉ dùng TotalSF) và có phần dư phân bố xấp xỉ chuẩn, không còn mẫu hình rõ rệt.</w:t>
            </w:r>
          </w:p>
        </w:tc>
      </w:tr>
    </w:tbl>
    <w:p>
      <w:pPr>
        <w:pStyle w:val="Heading1"/>
        <w:spacing w:after="140" w:before="260"/>
      </w:pPr>
      <w:r>
        <w:rPr>
          <w:rFonts w:ascii="Times New Roman" w:cs="Times New Roman" w:eastAsia="Times New Roman" w:hAnsi="Times New Roman"/>
          <w:b/>
          <w:bCs/>
          <w:color w:val="1F3864"/>
          <w:sz w:val="30"/>
          <w:szCs w:val="30"/>
        </w:rPr>
        <w:t xml:space="preserve">V. BƯỚC 2 – DATA UNDERSTANDING</w:t>
      </w:r>
    </w:p>
    <w:p>
      <w:pPr>
        <w:pStyle w:val="Heading2"/>
        <w:spacing w:after="140" w:before="260"/>
      </w:pPr>
      <w:r>
        <w:rPr>
          <w:rFonts w:ascii="Times New Roman" w:cs="Times New Roman" w:eastAsia="Times New Roman" w:hAnsi="Times New Roman"/>
          <w:b/>
          <w:bCs/>
          <w:color w:val="1F3864"/>
          <w:sz w:val="26"/>
          <w:szCs w:val="26"/>
        </w:rPr>
        <w:t xml:space="preserve">5.1. Tổng quan dữ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3000"/>
        <w:gridCol w:w="3000"/>
      </w:tblGrid>
      <w:tr>
        <w:trPr>
          <w:tblHeader/>
        </w:trPr>
        <w:tc>
          <w:tcPr>
            <w:tcW w:type="dxa" w:w="3026"/>
            <w:shd w:fill="DCE6F1" w:color="auto" w:val="clear"/>
            <w:tcMar>
              <w:top w:type="dxa" w:w="80"/>
              <w:left w:type="dxa" w:w="110"/>
              <w:bottom w:type="dxa" w:w="80"/>
              <w:right w:type="dxa" w:w="110"/>
            </w:tcMar>
          </w:tcPr>
          <w:p>
            <w:pPr>
              <w:spacing w:after="0" w:line="280"/>
              <w:jc w:val="center"/>
            </w:pPr>
            <w:r>
              <w:rPr>
                <w:rFonts w:ascii="Times New Roman" w:cs="Times New Roman" w:eastAsia="Times New Roman" w:hAnsi="Times New Roman"/>
                <w:b/>
                <w:bCs/>
                <w:sz w:val="22"/>
                <w:szCs w:val="22"/>
              </w:rPr>
              <w:t xml:space="preserve">Chỉ tiêu</w:t>
            </w:r>
          </w:p>
        </w:tc>
        <w:tc>
          <w:tcPr>
            <w:tcW w:type="dxa" w:w="3000"/>
            <w:shd w:fill="DCE6F1" w:color="auto" w:val="clear"/>
            <w:tcMar>
              <w:top w:type="dxa" w:w="80"/>
              <w:left w:type="dxa" w:w="110"/>
              <w:bottom w:type="dxa" w:w="80"/>
              <w:right w:type="dxa" w:w="110"/>
            </w:tcMar>
          </w:tcPr>
          <w:p>
            <w:pPr>
              <w:spacing w:after="0" w:line="280"/>
              <w:jc w:val="center"/>
            </w:pPr>
            <w:r>
              <w:rPr>
                <w:rFonts w:ascii="Times New Roman" w:cs="Times New Roman" w:eastAsia="Times New Roman" w:hAnsi="Times New Roman"/>
                <w:b/>
                <w:bCs/>
                <w:sz w:val="22"/>
                <w:szCs w:val="22"/>
              </w:rPr>
              <w:t xml:space="preserve">train.csv</w:t>
            </w:r>
          </w:p>
        </w:tc>
        <w:tc>
          <w:tcPr>
            <w:tcW w:type="dxa" w:w="3000"/>
            <w:shd w:fill="DCE6F1" w:color="auto" w:val="clear"/>
            <w:tcMar>
              <w:top w:type="dxa" w:w="80"/>
              <w:left w:type="dxa" w:w="110"/>
              <w:bottom w:type="dxa" w:w="80"/>
              <w:right w:type="dxa" w:w="110"/>
            </w:tcMar>
          </w:tcPr>
          <w:p>
            <w:pPr>
              <w:spacing w:after="0" w:line="280"/>
              <w:jc w:val="center"/>
            </w:pPr>
            <w:r>
              <w:rPr>
                <w:rFonts w:ascii="Times New Roman" w:cs="Times New Roman" w:eastAsia="Times New Roman" w:hAnsi="Times New Roman"/>
                <w:b/>
                <w:bCs/>
                <w:sz w:val="22"/>
                <w:szCs w:val="22"/>
              </w:rPr>
              <w:t xml:space="preserve">test.csv</w:t>
            </w:r>
          </w:p>
        </w:tc>
      </w:tr>
      <w:tr>
        <w:tc>
          <w:tcPr>
            <w:tcW w:type="dxa" w:w="30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Số dòng</w:t>
            </w:r>
          </w:p>
        </w:tc>
        <w:tc>
          <w:tcPr>
            <w:tcW w:type="dxa" w:w="30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1.460</w:t>
            </w:r>
          </w:p>
        </w:tc>
        <w:tc>
          <w:tcPr>
            <w:tcW w:type="dxa" w:w="30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1.459</w:t>
            </w:r>
          </w:p>
        </w:tc>
      </w:tr>
      <w:tr>
        <w:tc>
          <w:tcPr>
            <w:tcW w:type="dxa" w:w="30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Số cột</w:t>
            </w:r>
          </w:p>
        </w:tc>
        <w:tc>
          <w:tcPr>
            <w:tcW w:type="dxa" w:w="30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81 (gồm Id và SalePrice)</w:t>
            </w:r>
          </w:p>
        </w:tc>
        <w:tc>
          <w:tcPr>
            <w:tcW w:type="dxa" w:w="30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80 (không có SalePrice)</w:t>
            </w:r>
          </w:p>
        </w:tc>
      </w:tr>
      <w:tr>
        <w:tc>
          <w:tcPr>
            <w:tcW w:type="dxa" w:w="30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Biến định lượng</w:t>
            </w:r>
          </w:p>
        </w:tc>
        <w:tc>
          <w:tcPr>
            <w:tcW w:type="dxa" w:w="30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38</w:t>
            </w:r>
          </w:p>
        </w:tc>
        <w:tc>
          <w:tcPr>
            <w:tcW w:type="dxa" w:w="30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37</w:t>
            </w:r>
          </w:p>
        </w:tc>
      </w:tr>
      <w:tr>
        <w:tc>
          <w:tcPr>
            <w:tcW w:type="dxa" w:w="30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Biến định tính</w:t>
            </w:r>
          </w:p>
        </w:tc>
        <w:tc>
          <w:tcPr>
            <w:tcW w:type="dxa" w:w="30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43</w:t>
            </w:r>
          </w:p>
        </w:tc>
        <w:tc>
          <w:tcPr>
            <w:tcW w:type="dxa" w:w="30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43</w:t>
            </w:r>
          </w:p>
        </w:tc>
      </w:tr>
    </w:tbl>
    <w:p>
      <w:pPr>
        <w:pStyle w:val="Heading2"/>
        <w:spacing w:after="140" w:before="260"/>
      </w:pPr>
      <w:r>
        <w:rPr>
          <w:rFonts w:ascii="Times New Roman" w:cs="Times New Roman" w:eastAsia="Times New Roman" w:hAnsi="Times New Roman"/>
          <w:b/>
          <w:bCs/>
          <w:color w:val="1F3864"/>
          <w:sz w:val="26"/>
          <w:szCs w:val="26"/>
        </w:rPr>
        <w:t xml:space="preserve">5.2. Phân phối biến mục tiêu</w:t>
      </w:r>
    </w:p>
    <w:p>
      <w:pPr>
        <w:spacing w:after="120" w:line="300"/>
      </w:pPr>
      <w:r>
        <w:rPr>
          <w:rFonts w:ascii="Times New Roman" w:cs="Times New Roman" w:eastAsia="Times New Roman" w:hAnsi="Times New Roman"/>
          <w:sz w:val="24"/>
          <w:szCs w:val="24"/>
        </w:rPr>
        <w:t xml:space="preserve">Histogram của SalePrice có đuôi dài bên phải (skewness ≈ +1,88): phần lớn nhà tập trung quanh 130.000–200.000$, một số ít biệt thự kéo dài đuôi tới hơn 700.000$. Sau phép biến đổi log1p, skewness giảm còn khoảng +0,12, phân phối gần chuẩn — đúng giả định của hồi quy tuyến tính.</w:t>
      </w:r>
    </w:p>
    <w:p>
      <w:pPr>
        <w:pBdr>
          <w:top w:val="dashed" w:color="999999" w:sz="6"/>
          <w:bottom w:val="dashed" w:color="999999" w:sz="6"/>
          <w:left w:val="dashed" w:color="999999" w:sz="6"/>
          <w:right w:val="dashed" w:color="999999" w:sz="6"/>
        </w:pBdr>
        <w:spacing w:after="60" w:before="140"/>
        <w:jc w:val="center"/>
      </w:pPr>
      <w:r>
        <w:rPr>
          <w:rFonts w:ascii="Times New Roman" w:cs="Times New Roman" w:eastAsia="Times New Roman" w:hAnsi="Times New Roman"/>
          <w:i/>
          <w:iCs/>
          <w:color w:val="808080"/>
          <w:sz w:val="21"/>
          <w:szCs w:val="21"/>
        </w:rPr>
        <w:t xml:space="preserve">[ Chèn ảnh: outputs/figures/01_target_distribution.png — sinh ra sau khi chạy chương trình trên dữ liệu Kaggle ]</w:t>
      </w:r>
    </w:p>
    <w:p>
      <w:pPr>
        <w:spacing w:after="200"/>
        <w:jc w:val="center"/>
      </w:pPr>
      <w:r>
        <w:rPr>
          <w:rFonts w:ascii="Times New Roman" w:cs="Times New Roman" w:eastAsia="Times New Roman" w:hAnsi="Times New Roman"/>
          <w:i/>
          <w:iCs/>
          <w:sz w:val="21"/>
          <w:szCs w:val="21"/>
        </w:rPr>
        <w:t xml:space="preserve">Hình 2. SalePrice trước và sau khi lấy log1p (biểu đồ sinh bởi chương trình)</w:t>
      </w:r>
    </w:p>
    <w:p>
      <w:pPr>
        <w:pStyle w:val="Heading2"/>
        <w:spacing w:after="140" w:before="260"/>
      </w:pPr>
      <w:r>
        <w:rPr>
          <w:rFonts w:ascii="Times New Roman" w:cs="Times New Roman" w:eastAsia="Times New Roman" w:hAnsi="Times New Roman"/>
          <w:b/>
          <w:bCs/>
          <w:color w:val="1F3864"/>
          <w:sz w:val="26"/>
          <w:szCs w:val="26"/>
        </w:rPr>
        <w:t xml:space="preserve">5.3. Dữ liệu thiếu</w:t>
      </w:r>
    </w:p>
    <w:p>
      <w:pPr>
        <w:spacing w:after="120" w:line="300"/>
      </w:pPr>
      <w:r>
        <w:rPr>
          <w:rFonts w:ascii="Times New Roman" w:cs="Times New Roman" w:eastAsia="Times New Roman" w:hAnsi="Times New Roman"/>
          <w:sz w:val="24"/>
          <w:szCs w:val="24"/>
        </w:rPr>
        <w:t xml:space="preserve">Điểm mấu chốt: phần lớn ô trống trong bộ dữ liệu này KHÔNG phải là dữ liệu bị mất, mà mang nghĩa “căn nhà không có hạng mục đó”. Ví dụ PoolQC trống ở 99,5% số dòng đơn giản vì hầu hết nhà không có hồ bơi. Nếu vô tư điền bằng giá trị phổ biến nhất, ta sẽ “gán hồ bơi” cho toàn bộ dữ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26"/>
      </w:tblGrid>
      <w:tr>
        <w:trPr>
          <w:tblHeader/>
        </w:trPr>
        <w:tc>
          <w:tcPr>
            <w:tcW w:type="dxa" w:w="2600"/>
            <w:shd w:fill="DCE6F1" w:color="auto" w:val="clear"/>
            <w:tcMar>
              <w:top w:type="dxa" w:w="80"/>
              <w:left w:type="dxa" w:w="110"/>
              <w:bottom w:type="dxa" w:w="80"/>
              <w:right w:type="dxa" w:w="110"/>
            </w:tcMar>
          </w:tcPr>
          <w:p>
            <w:pPr>
              <w:spacing w:after="0" w:line="280"/>
              <w:jc w:val="center"/>
            </w:pPr>
            <w:r>
              <w:rPr>
                <w:rFonts w:ascii="Times New Roman" w:cs="Times New Roman" w:eastAsia="Times New Roman" w:hAnsi="Times New Roman"/>
                <w:b/>
                <w:bCs/>
                <w:sz w:val="22"/>
                <w:szCs w:val="22"/>
              </w:rPr>
              <w:t xml:space="preserve">Nhóm cột</w:t>
            </w:r>
          </w:p>
        </w:tc>
        <w:tc>
          <w:tcPr>
            <w:tcW w:type="dxa" w:w="2400"/>
            <w:shd w:fill="DCE6F1" w:color="auto" w:val="clear"/>
            <w:tcMar>
              <w:top w:type="dxa" w:w="80"/>
              <w:left w:type="dxa" w:w="110"/>
              <w:bottom w:type="dxa" w:w="80"/>
              <w:right w:type="dxa" w:w="110"/>
            </w:tcMar>
          </w:tcPr>
          <w:p>
            <w:pPr>
              <w:spacing w:after="0" w:line="280"/>
              <w:jc w:val="center"/>
            </w:pPr>
            <w:r>
              <w:rPr>
                <w:rFonts w:ascii="Times New Roman" w:cs="Times New Roman" w:eastAsia="Times New Roman" w:hAnsi="Times New Roman"/>
                <w:b/>
                <w:bCs/>
                <w:sz w:val="22"/>
                <w:szCs w:val="22"/>
              </w:rPr>
              <w:t xml:space="preserve">Ý nghĩa ô trống</w:t>
            </w:r>
          </w:p>
        </w:tc>
        <w:tc>
          <w:tcPr>
            <w:tcW w:type="dxa" w:w="4026"/>
            <w:shd w:fill="DCE6F1" w:color="auto" w:val="clear"/>
            <w:tcMar>
              <w:top w:type="dxa" w:w="80"/>
              <w:left w:type="dxa" w:w="110"/>
              <w:bottom w:type="dxa" w:w="80"/>
              <w:right w:type="dxa" w:w="110"/>
            </w:tcMar>
          </w:tcPr>
          <w:p>
            <w:pPr>
              <w:spacing w:after="0" w:line="280"/>
              <w:jc w:val="center"/>
            </w:pPr>
            <w:r>
              <w:rPr>
                <w:rFonts w:ascii="Times New Roman" w:cs="Times New Roman" w:eastAsia="Times New Roman" w:hAnsi="Times New Roman"/>
                <w:b/>
                <w:bCs/>
                <w:sz w:val="22"/>
                <w:szCs w:val="22"/>
              </w:rPr>
              <w:t xml:space="preserve">Cách xử lý</w:t>
            </w:r>
          </w:p>
        </w:tc>
      </w:tr>
      <w:tr>
        <w:tc>
          <w:tcPr>
            <w:tcW w:type="dxa" w:w="26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PoolQC, MiscFeature, Alley, Fence, FireplaceQu, Garage*, Bsmt*, MasVnrType</w:t>
            </w:r>
          </w:p>
        </w:tc>
        <w:tc>
          <w:tcPr>
            <w:tcW w:type="dxa" w:w="24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Nhà không có hạng mục đó</w:t>
            </w:r>
          </w:p>
        </w:tc>
        <w:tc>
          <w:tcPr>
            <w:tcW w:type="dxa" w:w="40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Điền chuỗi "None" (coi là một hạng mục riêng)</w:t>
            </w:r>
          </w:p>
        </w:tc>
      </w:tr>
      <w:tr>
        <w:tc>
          <w:tcPr>
            <w:tcW w:type="dxa" w:w="26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GarageArea, GarageCars, TotalBsmtSF, MasVnrArea, BsmtFinSF1/2…</w:t>
            </w:r>
          </w:p>
        </w:tc>
        <w:tc>
          <w:tcPr>
            <w:tcW w:type="dxa" w:w="24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Không có nên diện tích/số lượng bằng 0</w:t>
            </w:r>
          </w:p>
        </w:tc>
        <w:tc>
          <w:tcPr>
            <w:tcW w:type="dxa" w:w="40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Điền 0</w:t>
            </w:r>
          </w:p>
        </w:tc>
      </w:tr>
      <w:tr>
        <w:tc>
          <w:tcPr>
            <w:tcW w:type="dxa" w:w="26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LotFrontage</w:t>
            </w:r>
          </w:p>
        </w:tc>
        <w:tc>
          <w:tcPr>
            <w:tcW w:type="dxa" w:w="24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Thiếu thật (≈17,7%)</w:t>
            </w:r>
          </w:p>
        </w:tc>
        <w:tc>
          <w:tcPr>
            <w:tcW w:type="dxa" w:w="40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Điền bằng trung vị theo từng Neighborhood — nhà cùng khu phố thường có bề ngang lô đất tương đương</w:t>
            </w:r>
          </w:p>
        </w:tc>
      </w:tr>
      <w:tr>
        <w:tc>
          <w:tcPr>
            <w:tcW w:type="dxa" w:w="26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MSZoning, Electrical, KitchenQual, Exterior1st/2nd, SaleType, Functional, Utilities</w:t>
            </w:r>
          </w:p>
        </w:tc>
        <w:tc>
          <w:tcPr>
            <w:tcW w:type="dxa" w:w="24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Thiếu thật, rất ít dòng</w:t>
            </w:r>
          </w:p>
        </w:tc>
        <w:tc>
          <w:tcPr>
            <w:tcW w:type="dxa" w:w="40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Điền bằng mode (giá trị phổ biến nhất)</w:t>
            </w:r>
          </w:p>
        </w:tc>
      </w:tr>
    </w:tbl>
    <w:p>
      <w:pPr>
        <w:pBdr>
          <w:top w:val="dashed" w:color="999999" w:sz="6"/>
          <w:bottom w:val="dashed" w:color="999999" w:sz="6"/>
          <w:left w:val="dashed" w:color="999999" w:sz="6"/>
          <w:right w:val="dashed" w:color="999999" w:sz="6"/>
        </w:pBdr>
        <w:spacing w:after="60" w:before="140"/>
        <w:jc w:val="center"/>
      </w:pPr>
      <w:r>
        <w:rPr>
          <w:rFonts w:ascii="Times New Roman" w:cs="Times New Roman" w:eastAsia="Times New Roman" w:hAnsi="Times New Roman"/>
          <w:i/>
          <w:iCs/>
          <w:color w:val="808080"/>
          <w:sz w:val="21"/>
          <w:szCs w:val="21"/>
        </w:rPr>
        <w:t xml:space="preserve">[ Chèn ảnh: outputs/figures/02_missing_values.png — sinh ra sau khi chạy chương trình trên dữ liệu Kaggle ]</w:t>
      </w:r>
    </w:p>
    <w:p>
      <w:pPr>
        <w:spacing w:after="200"/>
        <w:jc w:val="center"/>
      </w:pPr>
      <w:r>
        <w:rPr>
          <w:rFonts w:ascii="Times New Roman" w:cs="Times New Roman" w:eastAsia="Times New Roman" w:hAnsi="Times New Roman"/>
          <w:i/>
          <w:iCs/>
          <w:sz w:val="21"/>
          <w:szCs w:val="21"/>
        </w:rPr>
        <w:t xml:space="preserve">Hình 3. Tỷ lệ dữ liệu thiếu của 20 cột nhiều nhất</w:t>
      </w:r>
    </w:p>
    <w:p>
      <w:pPr>
        <w:pStyle w:val="Heading2"/>
        <w:spacing w:after="140" w:before="260"/>
      </w:pPr>
      <w:r>
        <w:rPr>
          <w:rFonts w:ascii="Times New Roman" w:cs="Times New Roman" w:eastAsia="Times New Roman" w:hAnsi="Times New Roman"/>
          <w:b/>
          <w:bCs/>
          <w:color w:val="1F3864"/>
          <w:sz w:val="26"/>
          <w:szCs w:val="26"/>
        </w:rPr>
        <w:t xml:space="preserve">5.4. Tương quan với giá bán</w:t>
      </w:r>
    </w:p>
    <w:p>
      <w:pPr>
        <w:spacing w:after="120" w:line="300"/>
      </w:pPr>
      <w:r>
        <w:rPr>
          <w:rFonts w:ascii="Times New Roman" w:cs="Times New Roman" w:eastAsia="Times New Roman" w:hAnsi="Times New Roman"/>
          <w:sz w:val="24"/>
          <w:szCs w:val="24"/>
        </w:rPr>
        <w:t xml:space="preserve">Các biến tương quan mạnh nhất với SalePrice phản ánh đúng trực giác của người mua nhà: chất lượng tổng thể (OverallQual ≈ 0,79), diện tích sinh hoạt trên mặt đất (GrLivArea ≈ 0,71), sức chứa gara (GarageCars ≈ 0,64), diện tích tầng hầm (TotalBsmtSF ≈ 0,61) và năm xây dựng (YearBuilt ≈ 0,52).</w:t>
      </w:r>
    </w:p>
    <w:p>
      <w:pPr>
        <w:pBdr>
          <w:top w:val="dashed" w:color="999999" w:sz="6"/>
          <w:bottom w:val="dashed" w:color="999999" w:sz="6"/>
          <w:left w:val="dashed" w:color="999999" w:sz="6"/>
          <w:right w:val="dashed" w:color="999999" w:sz="6"/>
        </w:pBdr>
        <w:spacing w:after="60" w:before="140"/>
        <w:jc w:val="center"/>
      </w:pPr>
      <w:r>
        <w:rPr>
          <w:rFonts w:ascii="Times New Roman" w:cs="Times New Roman" w:eastAsia="Times New Roman" w:hAnsi="Times New Roman"/>
          <w:i/>
          <w:iCs/>
          <w:color w:val="808080"/>
          <w:sz w:val="21"/>
          <w:szCs w:val="21"/>
        </w:rPr>
        <w:t xml:space="preserve">[ Chèn ảnh: outputs/figures/03_top_correlations.png — sinh ra sau khi chạy chương trình trên dữ liệu Kaggle ]</w:t>
      </w:r>
    </w:p>
    <w:p>
      <w:pPr>
        <w:spacing w:after="200"/>
        <w:jc w:val="center"/>
      </w:pPr>
      <w:r>
        <w:rPr>
          <w:rFonts w:ascii="Times New Roman" w:cs="Times New Roman" w:eastAsia="Times New Roman" w:hAnsi="Times New Roman"/>
          <w:i/>
          <w:iCs/>
          <w:sz w:val="21"/>
          <w:szCs w:val="21"/>
        </w:rPr>
        <w:t xml:space="preserve">Hình 4. 12 đặc trưng số có tương quan mạnh nhất với SalePrice</w:t>
      </w:r>
    </w:p>
    <w:p>
      <w:pPr>
        <w:pStyle w:val="Heading2"/>
        <w:spacing w:after="140" w:before="260"/>
      </w:pPr>
      <w:r>
        <w:rPr>
          <w:rFonts w:ascii="Times New Roman" w:cs="Times New Roman" w:eastAsia="Times New Roman" w:hAnsi="Times New Roman"/>
          <w:b/>
          <w:bCs/>
          <w:color w:val="1F3864"/>
          <w:sz w:val="26"/>
          <w:szCs w:val="26"/>
        </w:rPr>
        <w:t xml:space="preserve">5.5. Phát hiện ngoại lai</w:t>
      </w:r>
    </w:p>
    <w:p>
      <w:pPr>
        <w:spacing w:after="120" w:line="300"/>
      </w:pPr>
      <w:r>
        <w:rPr>
          <w:rFonts w:ascii="Times New Roman" w:cs="Times New Roman" w:eastAsia="Times New Roman" w:hAnsi="Times New Roman"/>
          <w:sz w:val="24"/>
          <w:szCs w:val="24"/>
        </w:rPr>
        <w:t xml:space="preserve">Biểu đồ phân tán SalePrice theo GrLivArea cho thấy đúng hiện tượng De Cock mô tả: có những căn rất lớn (&gt; 4.000 sqft) nhưng giá lại thấp bất thường. Đây là các giao dịch “Partial Sale” — nhà mới xây bán khi chưa hoàn thiện — nên giá không phản ánh giá trị thị trường. Giống như để một chiếc xe tai nạn lẫn vào bảng giá xe mới: chỉ vài điểm cũng đủ kéo lệch cả đường hồi quy.</w:t>
      </w:r>
    </w:p>
    <w:p>
      <w:pPr>
        <w:pBdr>
          <w:top w:val="dashed" w:color="999999" w:sz="6"/>
          <w:bottom w:val="dashed" w:color="999999" w:sz="6"/>
          <w:left w:val="dashed" w:color="999999" w:sz="6"/>
          <w:right w:val="dashed" w:color="999999" w:sz="6"/>
        </w:pBdr>
        <w:spacing w:after="60" w:before="140"/>
        <w:jc w:val="center"/>
      </w:pPr>
      <w:r>
        <w:rPr>
          <w:rFonts w:ascii="Times New Roman" w:cs="Times New Roman" w:eastAsia="Times New Roman" w:hAnsi="Times New Roman"/>
          <w:i/>
          <w:iCs/>
          <w:color w:val="808080"/>
          <w:sz w:val="21"/>
          <w:szCs w:val="21"/>
        </w:rPr>
        <w:t xml:space="preserve">[ Chèn ảnh: outputs/figures/04_outliers_grlivarea.png — sinh ra sau khi chạy chương trình trên dữ liệu Kaggle ]</w:t>
      </w:r>
    </w:p>
    <w:p>
      <w:pPr>
        <w:spacing w:after="200"/>
        <w:jc w:val="center"/>
      </w:pPr>
      <w:r>
        <w:rPr>
          <w:rFonts w:ascii="Times New Roman" w:cs="Times New Roman" w:eastAsia="Times New Roman" w:hAnsi="Times New Roman"/>
          <w:i/>
          <w:iCs/>
          <w:sz w:val="21"/>
          <w:szCs w:val="21"/>
        </w:rPr>
        <w:t xml:space="preserve">Hình 5. Ngoại lai trên biểu đồ SalePrice – GrLivArea</w:t>
      </w:r>
    </w:p>
    <w:p>
      <w:r>
        <w:br w:type="page"/>
      </w:r>
    </w:p>
    <w:p>
      <w:pPr>
        <w:pStyle w:val="Heading1"/>
        <w:spacing w:after="140" w:before="260"/>
      </w:pPr>
      <w:r>
        <w:rPr>
          <w:rFonts w:ascii="Times New Roman" w:cs="Times New Roman" w:eastAsia="Times New Roman" w:hAnsi="Times New Roman"/>
          <w:b/>
          <w:bCs/>
          <w:color w:val="1F3864"/>
          <w:sz w:val="30"/>
          <w:szCs w:val="30"/>
        </w:rPr>
        <w:t xml:space="preserve">VI. BƯỚC 3 – DATA PREPARATION</w:t>
      </w:r>
    </w:p>
    <w:p>
      <w:pPr>
        <w:spacing w:after="120" w:line="300"/>
      </w:pPr>
      <w:r>
        <w:rPr>
          <w:rFonts w:ascii="Times New Roman" w:cs="Times New Roman" w:eastAsia="Times New Roman" w:hAnsi="Times New Roman"/>
          <w:sz w:val="24"/>
          <w:szCs w:val="24"/>
        </w:rPr>
        <w:t xml:space="preserve">Toàn bộ các phép biến đổi được thực hiện trên tập train và test đã ghép chung (nhưng không dùng cột SalePrice), để đảm bảo hai tập có cùng số cột sau one-hot encoding và tránh rò rỉ thông tin nhãn.</w:t>
      </w:r>
    </w:p>
    <w:p>
      <w:pPr>
        <w:pStyle w:val="Heading2"/>
        <w:spacing w:after="140" w:before="260"/>
      </w:pPr>
      <w:r>
        <w:rPr>
          <w:rFonts w:ascii="Times New Roman" w:cs="Times New Roman" w:eastAsia="Times New Roman" w:hAnsi="Times New Roman"/>
          <w:b/>
          <w:bCs/>
          <w:color w:val="1F3864"/>
          <w:sz w:val="26"/>
          <w:szCs w:val="26"/>
        </w:rPr>
        <w:t xml:space="preserve">6.1. Các bước xử lý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3300"/>
        <w:gridCol w:w="2326"/>
      </w:tblGrid>
      <w:tr>
        <w:trPr>
          <w:tblHeader/>
        </w:trPr>
        <w:tc>
          <w:tcPr>
            <w:tcW w:type="dxa" w:w="500"/>
            <w:shd w:fill="DCE6F1" w:color="auto" w:val="clear"/>
            <w:tcMar>
              <w:top w:type="dxa" w:w="80"/>
              <w:left w:type="dxa" w:w="110"/>
              <w:bottom w:type="dxa" w:w="80"/>
              <w:right w:type="dxa" w:w="110"/>
            </w:tcMar>
          </w:tcPr>
          <w:p>
            <w:pPr>
              <w:spacing w:after="0" w:line="280"/>
              <w:jc w:val="center"/>
            </w:pPr>
            <w:r>
              <w:rPr>
                <w:rFonts w:ascii="Times New Roman" w:cs="Times New Roman" w:eastAsia="Times New Roman" w:hAnsi="Times New Roman"/>
                <w:b/>
                <w:bCs/>
                <w:sz w:val="22"/>
                <w:szCs w:val="22"/>
              </w:rPr>
              <w:t xml:space="preserve">#</w:t>
            </w:r>
          </w:p>
        </w:tc>
        <w:tc>
          <w:tcPr>
            <w:tcW w:type="dxa" w:w="2900"/>
            <w:shd w:fill="DCE6F1" w:color="auto" w:val="clear"/>
            <w:tcMar>
              <w:top w:type="dxa" w:w="80"/>
              <w:left w:type="dxa" w:w="110"/>
              <w:bottom w:type="dxa" w:w="80"/>
              <w:right w:type="dxa" w:w="110"/>
            </w:tcMar>
          </w:tcPr>
          <w:p>
            <w:pPr>
              <w:spacing w:after="0" w:line="280"/>
              <w:jc w:val="center"/>
            </w:pPr>
            <w:r>
              <w:rPr>
                <w:rFonts w:ascii="Times New Roman" w:cs="Times New Roman" w:eastAsia="Times New Roman" w:hAnsi="Times New Roman"/>
                <w:b/>
                <w:bCs/>
                <w:sz w:val="22"/>
                <w:szCs w:val="22"/>
              </w:rPr>
              <w:t xml:space="preserve">Thao tác</w:t>
            </w:r>
          </w:p>
        </w:tc>
        <w:tc>
          <w:tcPr>
            <w:tcW w:type="dxa" w:w="3300"/>
            <w:shd w:fill="DCE6F1" w:color="auto" w:val="clear"/>
            <w:tcMar>
              <w:top w:type="dxa" w:w="80"/>
              <w:left w:type="dxa" w:w="110"/>
              <w:bottom w:type="dxa" w:w="80"/>
              <w:right w:type="dxa" w:w="110"/>
            </w:tcMar>
          </w:tcPr>
          <w:p>
            <w:pPr>
              <w:spacing w:after="0" w:line="280"/>
              <w:jc w:val="center"/>
            </w:pPr>
            <w:r>
              <w:rPr>
                <w:rFonts w:ascii="Times New Roman" w:cs="Times New Roman" w:eastAsia="Times New Roman" w:hAnsi="Times New Roman"/>
                <w:b/>
                <w:bCs/>
                <w:sz w:val="22"/>
                <w:szCs w:val="22"/>
              </w:rPr>
              <w:t xml:space="preserve">Lý do</w:t>
            </w:r>
          </w:p>
        </w:tc>
        <w:tc>
          <w:tcPr>
            <w:tcW w:type="dxa" w:w="2326"/>
            <w:shd w:fill="DCE6F1" w:color="auto" w:val="clear"/>
            <w:tcMar>
              <w:top w:type="dxa" w:w="80"/>
              <w:left w:type="dxa" w:w="110"/>
              <w:bottom w:type="dxa" w:w="80"/>
              <w:right w:type="dxa" w:w="110"/>
            </w:tcMar>
          </w:tcPr>
          <w:p>
            <w:pPr>
              <w:spacing w:after="0" w:line="280"/>
              <w:jc w:val="center"/>
            </w:pPr>
            <w:r>
              <w:rPr>
                <w:rFonts w:ascii="Times New Roman" w:cs="Times New Roman" w:eastAsia="Times New Roman" w:hAnsi="Times New Roman"/>
                <w:b/>
                <w:bCs/>
                <w:sz w:val="22"/>
                <w:szCs w:val="22"/>
              </w:rPr>
              <w:t xml:space="preserve">Kết quả</w:t>
            </w:r>
          </w:p>
        </w:tc>
      </w:tr>
      <w:tr>
        <w:tc>
          <w:tcPr>
            <w:tcW w:type="dxa" w:w="5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1</w:t>
            </w:r>
          </w:p>
        </w:tc>
        <w:tc>
          <w:tcPr>
            <w:tcW w:type="dxa" w:w="29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Loại dòng có GrLivArea &gt; 4000</w:t>
            </w:r>
          </w:p>
        </w:tc>
        <w:tc>
          <w:tcPr>
            <w:tcW w:type="dxa" w:w="33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Khuyến nghị của De Cock (2011)</w:t>
            </w:r>
          </w:p>
        </w:tc>
        <w:tc>
          <w:tcPr>
            <w:tcW w:type="dxa" w:w="23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1.460 → 1.456 dòng</w:t>
            </w:r>
          </w:p>
        </w:tc>
      </w:tr>
      <w:tr>
        <w:tc>
          <w:tcPr>
            <w:tcW w:type="dxa" w:w="5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2</w:t>
            </w:r>
          </w:p>
        </w:tc>
        <w:tc>
          <w:tcPr>
            <w:tcW w:type="dxa" w:w="29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y = log1p(SalePrice)</w:t>
            </w:r>
          </w:p>
        </w:tc>
        <w:tc>
          <w:tcPr>
            <w:tcW w:type="dxa" w:w="33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Cân đối phân phối, khớp tiêu chí chấm</w:t>
            </w:r>
          </w:p>
        </w:tc>
        <w:tc>
          <w:tcPr>
            <w:tcW w:type="dxa" w:w="23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skew 1,88 → 0,12</w:t>
            </w:r>
          </w:p>
        </w:tc>
      </w:tr>
      <w:tr>
        <w:tc>
          <w:tcPr>
            <w:tcW w:type="dxa" w:w="5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3</w:t>
            </w:r>
          </w:p>
        </w:tc>
        <w:tc>
          <w:tcPr>
            <w:tcW w:type="dxa" w:w="29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Điền giá trị thiếu theo ngữ nghĩa</w:t>
            </w:r>
          </w:p>
        </w:tc>
        <w:tc>
          <w:tcPr>
            <w:tcW w:type="dxa" w:w="33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Ô trống ≠ dữ liệu mất</w:t>
            </w:r>
          </w:p>
        </w:tc>
        <w:tc>
          <w:tcPr>
            <w:tcW w:type="dxa" w:w="23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0 ô trống còn lại</w:t>
            </w:r>
          </w:p>
        </w:tc>
      </w:tr>
      <w:tr>
        <w:tc>
          <w:tcPr>
            <w:tcW w:type="dxa" w:w="5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4</w:t>
            </w:r>
          </w:p>
        </w:tc>
        <w:tc>
          <w:tcPr>
            <w:tcW w:type="dxa" w:w="29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Mã hóa 19 biến thứ tự thành số</w:t>
            </w:r>
          </w:p>
        </w:tc>
        <w:tc>
          <w:tcPr>
            <w:tcW w:type="dxa" w:w="33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Giữ được thứ bậc Ex &gt; Gd &gt; TA &gt; Fa &gt; Po</w:t>
            </w:r>
          </w:p>
        </w:tc>
        <w:tc>
          <w:tcPr>
            <w:tcW w:type="dxa" w:w="23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19 cột số có thứ bậc</w:t>
            </w:r>
          </w:p>
        </w:tc>
      </w:tr>
      <w:tr>
        <w:tc>
          <w:tcPr>
            <w:tcW w:type="dxa" w:w="5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5</w:t>
            </w:r>
          </w:p>
        </w:tc>
        <w:tc>
          <w:tcPr>
            <w:tcW w:type="dxa" w:w="29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Đổi MSSubClass sang chuỗi</w:t>
            </w:r>
          </w:p>
        </w:tc>
        <w:tc>
          <w:tcPr>
            <w:tcW w:type="dxa" w:w="33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Đây là mã phân loại, không phải đại lượng số</w:t>
            </w:r>
          </w:p>
        </w:tc>
        <w:tc>
          <w:tcPr>
            <w:tcW w:type="dxa" w:w="23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Chuyển sang one-hot</w:t>
            </w:r>
          </w:p>
        </w:tc>
      </w:tr>
      <w:tr>
        <w:tc>
          <w:tcPr>
            <w:tcW w:type="dxa" w:w="5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6</w:t>
            </w:r>
          </w:p>
        </w:tc>
        <w:tc>
          <w:tcPr>
            <w:tcW w:type="dxa" w:w="29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Tạo 12 đặc trưng mới</w:t>
            </w:r>
          </w:p>
        </w:tc>
        <w:tc>
          <w:tcPr>
            <w:tcW w:type="dxa" w:w="33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Tổng hợp thông tin rải rác thành biến có ý nghĩa</w:t>
            </w:r>
          </w:p>
        </w:tc>
        <w:tc>
          <w:tcPr>
            <w:tcW w:type="dxa" w:w="23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Xem bảng 6.2</w:t>
            </w:r>
          </w:p>
        </w:tc>
      </w:tr>
      <w:tr>
        <w:tc>
          <w:tcPr>
            <w:tcW w:type="dxa" w:w="5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7</w:t>
            </w:r>
          </w:p>
        </w:tc>
        <w:tc>
          <w:tcPr>
            <w:tcW w:type="dxa" w:w="29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log1p cho biến có </w:t>
            </w:r>
          </w:p>
          <w:p>
            <w:pPr>
              <w:spacing w:after="0" w:line="280"/>
            </w:pPr>
            <w:r>
              <w:rPr>
                <w:rFonts w:ascii="Times New Roman" w:cs="Times New Roman" w:eastAsia="Times New Roman" w:hAnsi="Times New Roman"/>
                <w:sz w:val="22"/>
                <w:szCs w:val="22"/>
              </w:rPr>
              <w:t xml:space="preserve">skew</w:t>
            </w:r>
          </w:p>
          <w:p>
            <w:pPr>
              <w:spacing w:after="0" w:line="280"/>
            </w:pPr>
            <w:r>
              <w:rPr>
                <w:rFonts w:ascii="Times New Roman" w:cs="Times New Roman" w:eastAsia="Times New Roman" w:hAnsi="Times New Roman"/>
                <w:sz w:val="22"/>
                <w:szCs w:val="22"/>
              </w:rPr>
              <w:t xml:space="preserve"> &gt; 0,75</w:t>
            </w:r>
          </w:p>
        </w:tc>
        <w:tc>
          <w:tcPr>
            <w:tcW w:type="dxa" w:w="33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Giảm ảnh hưởng của đuôi dài</w:t>
            </w:r>
          </w:p>
        </w:tc>
        <w:tc>
          <w:tcPr>
            <w:tcW w:type="dxa" w:w="23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 25–30 biến</w:t>
            </w:r>
          </w:p>
        </w:tc>
      </w:tr>
      <w:tr>
        <w:tc>
          <w:tcPr>
            <w:tcW w:type="dxa" w:w="5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8</w:t>
            </w:r>
          </w:p>
        </w:tc>
        <w:tc>
          <w:tcPr>
            <w:tcW w:type="dxa" w:w="29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One-hot encoding (drop_first)</w:t>
            </w:r>
          </w:p>
        </w:tc>
        <w:tc>
          <w:tcPr>
            <w:tcW w:type="dxa" w:w="33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Mô hình chỉ nhận đầu vào dạng số</w:t>
            </w:r>
          </w:p>
        </w:tc>
        <w:tc>
          <w:tcPr>
            <w:tcW w:type="dxa" w:w="23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 220–240 đặc trưng</w:t>
            </w:r>
          </w:p>
        </w:tc>
      </w:tr>
    </w:tbl>
    <w:p>
      <w:pPr>
        <w:pStyle w:val="Heading2"/>
        <w:spacing w:after="140" w:before="260"/>
      </w:pPr>
      <w:r>
        <w:rPr>
          <w:rFonts w:ascii="Times New Roman" w:cs="Times New Roman" w:eastAsia="Times New Roman" w:hAnsi="Times New Roman"/>
          <w:b/>
          <w:bCs/>
          <w:color w:val="1F3864"/>
          <w:sz w:val="26"/>
          <w:szCs w:val="26"/>
        </w:rPr>
        <w:t xml:space="preserve">6.2. Các đặc trưng mới được tạo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826"/>
      </w:tblGrid>
      <w:tr>
        <w:trPr>
          <w:tblHeader/>
        </w:trPr>
        <w:tc>
          <w:tcPr>
            <w:tcW w:type="dxa" w:w="1900"/>
            <w:shd w:fill="DCE6F1" w:color="auto" w:val="clear"/>
            <w:tcMar>
              <w:top w:type="dxa" w:w="80"/>
              <w:left w:type="dxa" w:w="110"/>
              <w:bottom w:type="dxa" w:w="80"/>
              <w:right w:type="dxa" w:w="110"/>
            </w:tcMar>
          </w:tcPr>
          <w:p>
            <w:pPr>
              <w:spacing w:after="0" w:line="280"/>
              <w:jc w:val="center"/>
            </w:pPr>
            <w:r>
              <w:rPr>
                <w:rFonts w:ascii="Times New Roman" w:cs="Times New Roman" w:eastAsia="Times New Roman" w:hAnsi="Times New Roman"/>
                <w:b/>
                <w:bCs/>
                <w:sz w:val="22"/>
                <w:szCs w:val="22"/>
              </w:rPr>
              <w:t xml:space="preserve">Đặc trưng</w:t>
            </w:r>
          </w:p>
        </w:tc>
        <w:tc>
          <w:tcPr>
            <w:tcW w:type="dxa" w:w="3300"/>
            <w:shd w:fill="DCE6F1" w:color="auto" w:val="clear"/>
            <w:tcMar>
              <w:top w:type="dxa" w:w="80"/>
              <w:left w:type="dxa" w:w="110"/>
              <w:bottom w:type="dxa" w:w="80"/>
              <w:right w:type="dxa" w:w="110"/>
            </w:tcMar>
          </w:tcPr>
          <w:p>
            <w:pPr>
              <w:spacing w:after="0" w:line="280"/>
              <w:jc w:val="center"/>
            </w:pPr>
            <w:r>
              <w:rPr>
                <w:rFonts w:ascii="Times New Roman" w:cs="Times New Roman" w:eastAsia="Times New Roman" w:hAnsi="Times New Roman"/>
                <w:b/>
                <w:bCs/>
                <w:sz w:val="22"/>
                <w:szCs w:val="22"/>
              </w:rPr>
              <w:t xml:space="preserve">Công thức</w:t>
            </w:r>
          </w:p>
        </w:tc>
        <w:tc>
          <w:tcPr>
            <w:tcW w:type="dxa" w:w="3826"/>
            <w:shd w:fill="DCE6F1" w:color="auto" w:val="clear"/>
            <w:tcMar>
              <w:top w:type="dxa" w:w="80"/>
              <w:left w:type="dxa" w:w="110"/>
              <w:bottom w:type="dxa" w:w="80"/>
              <w:right w:type="dxa" w:w="110"/>
            </w:tcMar>
          </w:tcPr>
          <w:p>
            <w:pPr>
              <w:spacing w:after="0" w:line="280"/>
              <w:jc w:val="center"/>
            </w:pPr>
            <w:r>
              <w:rPr>
                <w:rFonts w:ascii="Times New Roman" w:cs="Times New Roman" w:eastAsia="Times New Roman" w:hAnsi="Times New Roman"/>
                <w:b/>
                <w:bCs/>
                <w:sz w:val="22"/>
                <w:szCs w:val="22"/>
              </w:rPr>
              <w:t xml:space="preserve">Ý nghĩa</w:t>
            </w:r>
          </w:p>
        </w:tc>
      </w:tr>
      <w:tr>
        <w:tc>
          <w:tcPr>
            <w:tcW w:type="dxa" w:w="19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TotalSF</w:t>
            </w:r>
          </w:p>
        </w:tc>
        <w:tc>
          <w:tcPr>
            <w:tcW w:type="dxa" w:w="33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TotalBsmtSF + 1stFlrSF + 2ndFlrSF</w:t>
            </w:r>
          </w:p>
        </w:tc>
        <w:tc>
          <w:tcPr>
            <w:tcW w:type="dxa" w:w="38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Tổng diện tích sử dụng — biến quan trọng nhất theo paper</w:t>
            </w:r>
          </w:p>
        </w:tc>
      </w:tr>
      <w:tr>
        <w:tc>
          <w:tcPr>
            <w:tcW w:type="dxa" w:w="19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TotalBath</w:t>
            </w:r>
          </w:p>
        </w:tc>
        <w:tc>
          <w:tcPr>
            <w:tcW w:type="dxa" w:w="33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FullBath + 0,5×HalfBath + BsmtFullBath + 0,5×BsmtHalfBath</w:t>
            </w:r>
          </w:p>
        </w:tc>
        <w:tc>
          <w:tcPr>
            <w:tcW w:type="dxa" w:w="38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Gộp 4 cột phòng tắm rời rạc thành một thang đo liên tục</w:t>
            </w:r>
          </w:p>
        </w:tc>
      </w:tr>
      <w:tr>
        <w:tc>
          <w:tcPr>
            <w:tcW w:type="dxa" w:w="19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HouseAge</w:t>
            </w:r>
          </w:p>
        </w:tc>
        <w:tc>
          <w:tcPr>
            <w:tcW w:type="dxa" w:w="33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YrSold − YearBuilt</w:t>
            </w:r>
          </w:p>
        </w:tc>
        <w:tc>
          <w:tcPr>
            <w:tcW w:type="dxa" w:w="38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Tuổi nhà tại thời điểm bán — có ý nghĩa hơn năm xây thuần túy</w:t>
            </w:r>
          </w:p>
        </w:tc>
      </w:tr>
      <w:tr>
        <w:tc>
          <w:tcPr>
            <w:tcW w:type="dxa" w:w="19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RemodAge / IsRemodeled</w:t>
            </w:r>
          </w:p>
        </w:tc>
        <w:tc>
          <w:tcPr>
            <w:tcW w:type="dxa" w:w="33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YrSold − YearRemodAdd / cờ 0-1</w:t>
            </w:r>
          </w:p>
        </w:tc>
        <w:tc>
          <w:tcPr>
            <w:tcW w:type="dxa" w:w="38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Nhà mới sửa thường bán được giá cao hơn</w:t>
            </w:r>
          </w:p>
        </w:tc>
      </w:tr>
      <w:tr>
        <w:tc>
          <w:tcPr>
            <w:tcW w:type="dxa" w:w="19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TotalPorchSF</w:t>
            </w:r>
          </w:p>
        </w:tc>
        <w:tc>
          <w:tcPr>
            <w:tcW w:type="dxa" w:w="33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Tổng 5 loại diện tích hiên, sân gỗ</w:t>
            </w:r>
          </w:p>
        </w:tc>
        <w:tc>
          <w:tcPr>
            <w:tcW w:type="dxa" w:w="38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Gộp các cột thưa (nhiều giá trị 0) thành một cột có thông tin</w:t>
            </w:r>
          </w:p>
        </w:tc>
      </w:tr>
      <w:tr>
        <w:tc>
          <w:tcPr>
            <w:tcW w:type="dxa" w:w="19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HasPool, Has2ndFloor, HasGarage, HasBsmt, HasFireplace</w:t>
            </w:r>
          </w:p>
        </w:tc>
        <w:tc>
          <w:tcPr>
            <w:tcW w:type="dxa" w:w="33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Cờ nhị phân (&gt;0 → 1)</w:t>
            </w:r>
          </w:p>
        </w:tc>
        <w:tc>
          <w:tcPr>
            <w:tcW w:type="dxa" w:w="38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Tách riêng câu hỏi “có hay không” khỏi câu hỏi “rộng bao nhiêu”</w:t>
            </w:r>
          </w:p>
        </w:tc>
      </w:tr>
      <w:tr>
        <w:tc>
          <w:tcPr>
            <w:tcW w:type="dxa" w:w="19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Qual_x_SF</w:t>
            </w:r>
          </w:p>
        </w:tc>
        <w:tc>
          <w:tcPr>
            <w:tcW w:type="dxa" w:w="33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OverallQual × TotalSF</w:t>
            </w:r>
          </w:p>
        </w:tc>
        <w:tc>
          <w:tcPr>
            <w:tcW w:type="dxa" w:w="38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Biến tương tác: một mét vuông trong nhà cao cấp đắt hơn trong nhà bình dân</w:t>
            </w:r>
          </w:p>
        </w:tc>
      </w:tr>
    </w:tbl>
    <w:p>
      <w:pPr>
        <w:pStyle w:val="Heading1"/>
        <w:spacing w:after="140" w:before="260"/>
      </w:pPr>
      <w:r>
        <w:rPr>
          <w:rFonts w:ascii="Times New Roman" w:cs="Times New Roman" w:eastAsia="Times New Roman" w:hAnsi="Times New Roman"/>
          <w:b/>
          <w:bCs/>
          <w:color w:val="1F3864"/>
          <w:sz w:val="30"/>
          <w:szCs w:val="30"/>
        </w:rPr>
        <w:t xml:space="preserve">VII. BƯỚC 4 – MODELING</w:t>
      </w:r>
    </w:p>
    <w:p>
      <w:pPr>
        <w:pStyle w:val="Heading2"/>
        <w:spacing w:after="140" w:before="260"/>
      </w:pPr>
      <w:r>
        <w:rPr>
          <w:rFonts w:ascii="Times New Roman" w:cs="Times New Roman" w:eastAsia="Times New Roman" w:hAnsi="Times New Roman"/>
          <w:b/>
          <w:bCs/>
          <w:color w:val="1F3864"/>
          <w:sz w:val="26"/>
          <w:szCs w:val="26"/>
        </w:rPr>
        <w:t xml:space="preserve">7.1. Các mô hình được thử nghiệm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026"/>
      </w:tblGrid>
      <w:tr>
        <w:trPr>
          <w:tblHeader/>
        </w:trPr>
        <w:tc>
          <w:tcPr>
            <w:tcW w:type="dxa" w:w="1800"/>
            <w:shd w:fill="DCE6F1" w:color="auto" w:val="clear"/>
            <w:tcMar>
              <w:top w:type="dxa" w:w="80"/>
              <w:left w:type="dxa" w:w="110"/>
              <w:bottom w:type="dxa" w:w="80"/>
              <w:right w:type="dxa" w:w="110"/>
            </w:tcMar>
          </w:tcPr>
          <w:p>
            <w:pPr>
              <w:spacing w:after="0" w:line="280"/>
              <w:jc w:val="center"/>
            </w:pPr>
            <w:r>
              <w:rPr>
                <w:rFonts w:ascii="Times New Roman" w:cs="Times New Roman" w:eastAsia="Times New Roman" w:hAnsi="Times New Roman"/>
                <w:b/>
                <w:bCs/>
                <w:sz w:val="22"/>
                <w:szCs w:val="22"/>
              </w:rPr>
              <w:t xml:space="preserve">Mô hình</w:t>
            </w:r>
          </w:p>
        </w:tc>
        <w:tc>
          <w:tcPr>
            <w:tcW w:type="dxa" w:w="4200"/>
            <w:shd w:fill="DCE6F1" w:color="auto" w:val="clear"/>
            <w:tcMar>
              <w:top w:type="dxa" w:w="80"/>
              <w:left w:type="dxa" w:w="110"/>
              <w:bottom w:type="dxa" w:w="80"/>
              <w:right w:type="dxa" w:w="110"/>
            </w:tcMar>
          </w:tcPr>
          <w:p>
            <w:pPr>
              <w:spacing w:after="0" w:line="280"/>
              <w:jc w:val="center"/>
            </w:pPr>
            <w:r>
              <w:rPr>
                <w:rFonts w:ascii="Times New Roman" w:cs="Times New Roman" w:eastAsia="Times New Roman" w:hAnsi="Times New Roman"/>
                <w:b/>
                <w:bCs/>
                <w:sz w:val="22"/>
                <w:szCs w:val="22"/>
              </w:rPr>
              <w:t xml:space="preserve">Nguyên lý ngắn gọn</w:t>
            </w:r>
          </w:p>
        </w:tc>
        <w:tc>
          <w:tcPr>
            <w:tcW w:type="dxa" w:w="3026"/>
            <w:shd w:fill="DCE6F1" w:color="auto" w:val="clear"/>
            <w:tcMar>
              <w:top w:type="dxa" w:w="80"/>
              <w:left w:type="dxa" w:w="110"/>
              <w:bottom w:type="dxa" w:w="80"/>
              <w:right w:type="dxa" w:w="110"/>
            </w:tcMar>
          </w:tcPr>
          <w:p>
            <w:pPr>
              <w:spacing w:after="0" w:line="280"/>
              <w:jc w:val="center"/>
            </w:pPr>
            <w:r>
              <w:rPr>
                <w:rFonts w:ascii="Times New Roman" w:cs="Times New Roman" w:eastAsia="Times New Roman" w:hAnsi="Times New Roman"/>
                <w:b/>
                <w:bCs/>
                <w:sz w:val="22"/>
                <w:szCs w:val="22"/>
              </w:rPr>
              <w:t xml:space="preserve">Siêu tham số chính</w:t>
            </w:r>
          </w:p>
        </w:tc>
      </w:tr>
      <w:tr>
        <w:tc>
          <w:tcPr>
            <w:tcW w:type="dxa" w:w="18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Ridge</w:t>
            </w:r>
          </w:p>
        </w:tc>
        <w:tc>
          <w:tcPr>
            <w:tcW w:type="dxa" w:w="42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Hồi quy tuyến tính + phạt L2, co nhỏ hệ số để chống đa cộng tuyến</w:t>
            </w:r>
          </w:p>
        </w:tc>
        <w:tc>
          <w:tcPr>
            <w:tcW w:type="dxa" w:w="30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alpha tìm bằng GridSearchCV trong {0,1 … 100}</w:t>
            </w:r>
          </w:p>
        </w:tc>
      </w:tr>
      <w:tr>
        <w:tc>
          <w:tcPr>
            <w:tcW w:type="dxa" w:w="18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Lasso</w:t>
            </w:r>
          </w:p>
        </w:tc>
        <w:tc>
          <w:tcPr>
            <w:tcW w:type="dxa" w:w="42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Phạt L1, có khả năng đưa hệ số về đúng 0 → tự chọn đặc trưng</w:t>
            </w:r>
          </w:p>
        </w:tc>
        <w:tc>
          <w:tcPr>
            <w:tcW w:type="dxa" w:w="30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alpha = 0,0005</w:t>
            </w:r>
          </w:p>
        </w:tc>
      </w:tr>
      <w:tr>
        <w:tc>
          <w:tcPr>
            <w:tcW w:type="dxa" w:w="18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ElasticNet</w:t>
            </w:r>
          </w:p>
        </w:tc>
        <w:tc>
          <w:tcPr>
            <w:tcW w:type="dxa" w:w="42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Kết hợp L1 và L2</w:t>
            </w:r>
          </w:p>
        </w:tc>
        <w:tc>
          <w:tcPr>
            <w:tcW w:type="dxa" w:w="30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alpha = 0,0005; l1_ratio = 0,9</w:t>
            </w:r>
          </w:p>
        </w:tc>
      </w:tr>
      <w:tr>
        <w:tc>
          <w:tcPr>
            <w:tcW w:type="dxa" w:w="18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RandomForest</w:t>
            </w:r>
          </w:p>
        </w:tc>
        <w:tc>
          <w:tcPr>
            <w:tcW w:type="dxa" w:w="42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Trung bình nhiều cây quyết định huấn luyện trên mẫu bootstrap</w:t>
            </w:r>
          </w:p>
        </w:tc>
        <w:tc>
          <w:tcPr>
            <w:tcW w:type="dxa" w:w="30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400 cây; max_features = sqrt</w:t>
            </w:r>
          </w:p>
        </w:tc>
      </w:tr>
      <w:tr>
        <w:tc>
          <w:tcPr>
            <w:tcW w:type="dxa" w:w="18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GradientBoosting</w:t>
            </w:r>
          </w:p>
        </w:tc>
        <w:tc>
          <w:tcPr>
            <w:tcW w:type="dxa" w:w="42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Các cây nông nối tiếp nhau, cây sau sửa lỗi của cây trước</w:t>
            </w:r>
          </w:p>
        </w:tc>
        <w:tc>
          <w:tcPr>
            <w:tcW w:type="dxa" w:w="30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800 cây; lr = 0,05; depth = 3; subsample = 0,8</w:t>
            </w:r>
          </w:p>
        </w:tc>
      </w:tr>
      <w:tr>
        <w:tc>
          <w:tcPr>
            <w:tcW w:type="dxa" w:w="18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XGBoost (tùy chọn)</w:t>
            </w:r>
          </w:p>
        </w:tc>
        <w:tc>
          <w:tcPr>
            <w:tcW w:type="dxa" w:w="42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Boosting tối ưu hóa, có chính quy hóa</w:t>
            </w:r>
          </w:p>
        </w:tc>
        <w:tc>
          <w:tcPr>
            <w:tcW w:type="dxa" w:w="30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900 cây; lr = 0,05; depth = 3</w:t>
            </w:r>
          </w:p>
        </w:tc>
      </w:tr>
    </w:tbl>
    <w:p>
      <w:pPr>
        <w:spacing w:after="120" w:line="300"/>
      </w:pPr>
      <w:r>
        <w:rPr>
          <w:rFonts w:ascii="Times New Roman" w:cs="Times New Roman" w:eastAsia="Times New Roman" w:hAnsi="Times New Roman"/>
          <w:i/>
          <w:iCs/>
          <w:sz w:val="24"/>
          <w:szCs w:val="24"/>
        </w:rPr>
        <w:t xml:space="preserve">Ví von cho dễ nhớ: Random Forest giống như hỏi ý kiến 400 chuyên gia độc lập rồi lấy trung bình; Gradient Boosting giống như một thợ học việc sửa bài liên tục — mỗi lượt chỉ tập trung vá đúng phần mà lượt trước làm sai.</w:t>
      </w:r>
    </w:p>
    <w:p>
      <w:pPr>
        <w:spacing w:after="120" w:line="300"/>
      </w:pPr>
      <w:r>
        <w:rPr>
          <w:rFonts w:ascii="Times New Roman" w:cs="Times New Roman" w:eastAsia="Times New Roman" w:hAnsi="Times New Roman"/>
          <w:sz w:val="24"/>
          <w:szCs w:val="24"/>
        </w:rPr>
        <w:t xml:space="preserve">Lưu ý kỹ thuật: ba mô hình tuyến tính được đặt trong Pipeline kèm RobustScaler. Chuẩn hóa là bắt buộc với các mô hình có phạt, vì nếu không, biến LotArea (đơn vị hàng nghìn) sẽ bị phạt nặng hơn biến OverallQual (thang 1–10) chỉ vì khác đơn vị đo. RobustScaler dùng trung vị và IQR nên ít bị ngoại lai kéo lệch hơn StandardScaler.</w:t>
      </w:r>
    </w:p>
    <w:p>
      <w:pPr>
        <w:pStyle w:val="Heading2"/>
        <w:spacing w:after="140" w:before="260"/>
      </w:pPr>
      <w:r>
        <w:rPr>
          <w:rFonts w:ascii="Times New Roman" w:cs="Times New Roman" w:eastAsia="Times New Roman" w:hAnsi="Times New Roman"/>
          <w:b/>
          <w:bCs/>
          <w:color w:val="1F3864"/>
          <w:sz w:val="26"/>
          <w:szCs w:val="26"/>
        </w:rPr>
        <w:t xml:space="preserve">7.2. Giao thức đánh giá</w:t>
      </w:r>
    </w:p>
    <w:p>
      <w:pPr>
        <w:spacing w:after="120" w:line="300"/>
      </w:pPr>
      <w:r>
        <w:rPr>
          <w:rFonts w:ascii="Times New Roman" w:cs="Times New Roman" w:eastAsia="Times New Roman" w:hAnsi="Times New Roman"/>
          <w:sz w:val="24"/>
          <w:szCs w:val="24"/>
        </w:rPr>
        <w:t xml:space="preserve">Tất cả mô hình được so sánh bằng K-Fold Cross-Validation với K = 5, shuffle, random_state = 42. Dữ liệu được chia làm 5 phần; mỗi lượt lấy 4 phần huấn luyện và 1 phần kiểm tra, xoay vòng 5 lượt rồi lấy trung bình. Cách này cho ước lượng ổn định hơn nhiều so với chỉ chia train/test một lần, vì kết quả không phụ thuộc vào việc “may hay rủi” của một lần chia.</w:t>
      </w:r>
    </w:p>
    <w:p>
      <w:pPr>
        <w:pStyle w:val="Heading2"/>
        <w:spacing w:after="140" w:before="260"/>
      </w:pPr>
      <w:r>
        <w:rPr>
          <w:rFonts w:ascii="Times New Roman" w:cs="Times New Roman" w:eastAsia="Times New Roman" w:hAnsi="Times New Roman"/>
          <w:b/>
          <w:bCs/>
          <w:color w:val="1F3864"/>
          <w:sz w:val="26"/>
          <w:szCs w:val="26"/>
        </w:rPr>
        <w:t xml:space="preserve">7.3. Kết quả so sánh</w:t>
      </w:r>
    </w:p>
    <w:p>
      <w:pPr>
        <w:spacing w:after="120" w:line="300"/>
      </w:pPr>
      <w:r>
        <w:rPr>
          <w:rFonts w:ascii="Times New Roman" w:cs="Times New Roman" w:eastAsia="Times New Roman" w:hAnsi="Times New Roman"/>
          <w:i/>
          <w:iCs/>
          <w:sz w:val="24"/>
          <w:szCs w:val="24"/>
        </w:rPr>
        <w:t xml:space="preserve">Bảng dưới lấy trực tiếp từ outputs/model_comparison.csv sau khi chạy chương trình trên dữ liệu Kaggle. Nhóm điền số thực tế sau khi chạy (cột RMSE càng nhỏ càng tốt):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500"/>
        <w:gridCol w:w="2426"/>
      </w:tblGrid>
      <w:tr>
        <w:trPr>
          <w:tblHeader/>
        </w:trPr>
        <w:tc>
          <w:tcPr>
            <w:tcW w:type="dxa" w:w="900"/>
            <w:shd w:fill="DCE6F1" w:color="auto" w:val="clear"/>
            <w:tcMar>
              <w:top w:type="dxa" w:w="80"/>
              <w:left w:type="dxa" w:w="110"/>
              <w:bottom w:type="dxa" w:w="80"/>
              <w:right w:type="dxa" w:w="110"/>
            </w:tcMar>
          </w:tcPr>
          <w:p>
            <w:pPr>
              <w:spacing w:after="0" w:line="280"/>
              <w:jc w:val="center"/>
            </w:pPr>
            <w:r>
              <w:rPr>
                <w:rFonts w:ascii="Times New Roman" w:cs="Times New Roman" w:eastAsia="Times New Roman" w:hAnsi="Times New Roman"/>
                <w:b/>
                <w:bCs/>
                <w:sz w:val="22"/>
                <w:szCs w:val="22"/>
              </w:rPr>
              <w:t xml:space="preserve">Hạng</w:t>
            </w:r>
          </w:p>
        </w:tc>
        <w:tc>
          <w:tcPr>
            <w:tcW w:type="dxa" w:w="3200"/>
            <w:shd w:fill="DCE6F1" w:color="auto" w:val="clear"/>
            <w:tcMar>
              <w:top w:type="dxa" w:w="80"/>
              <w:left w:type="dxa" w:w="110"/>
              <w:bottom w:type="dxa" w:w="80"/>
              <w:right w:type="dxa" w:w="110"/>
            </w:tcMar>
          </w:tcPr>
          <w:p>
            <w:pPr>
              <w:spacing w:after="0" w:line="280"/>
              <w:jc w:val="center"/>
            </w:pPr>
            <w:r>
              <w:rPr>
                <w:rFonts w:ascii="Times New Roman" w:cs="Times New Roman" w:eastAsia="Times New Roman" w:hAnsi="Times New Roman"/>
                <w:b/>
                <w:bCs/>
                <w:sz w:val="22"/>
                <w:szCs w:val="22"/>
              </w:rPr>
              <w:t xml:space="preserve">Mô hình</w:t>
            </w:r>
          </w:p>
        </w:tc>
        <w:tc>
          <w:tcPr>
            <w:tcW w:type="dxa" w:w="2500"/>
            <w:shd w:fill="DCE6F1" w:color="auto" w:val="clear"/>
            <w:tcMar>
              <w:top w:type="dxa" w:w="80"/>
              <w:left w:type="dxa" w:w="110"/>
              <w:bottom w:type="dxa" w:w="80"/>
              <w:right w:type="dxa" w:w="110"/>
            </w:tcMar>
          </w:tcPr>
          <w:p>
            <w:pPr>
              <w:spacing w:after="0" w:line="280"/>
              <w:jc w:val="center"/>
            </w:pPr>
            <w:r>
              <w:rPr>
                <w:rFonts w:ascii="Times New Roman" w:cs="Times New Roman" w:eastAsia="Times New Roman" w:hAnsi="Times New Roman"/>
                <w:b/>
                <w:bCs/>
                <w:sz w:val="22"/>
                <w:szCs w:val="22"/>
              </w:rPr>
              <w:t xml:space="preserve">RMSE (5-fold CV)</w:t>
            </w:r>
          </w:p>
        </w:tc>
        <w:tc>
          <w:tcPr>
            <w:tcW w:type="dxa" w:w="2426"/>
            <w:shd w:fill="DCE6F1" w:color="auto" w:val="clear"/>
            <w:tcMar>
              <w:top w:type="dxa" w:w="80"/>
              <w:left w:type="dxa" w:w="110"/>
              <w:bottom w:type="dxa" w:w="80"/>
              <w:right w:type="dxa" w:w="110"/>
            </w:tcMar>
          </w:tcPr>
          <w:p>
            <w:pPr>
              <w:spacing w:after="0" w:line="280"/>
              <w:jc w:val="center"/>
            </w:pPr>
            <w:r>
              <w:rPr>
                <w:rFonts w:ascii="Times New Roman" w:cs="Times New Roman" w:eastAsia="Times New Roman" w:hAnsi="Times New Roman"/>
                <w:b/>
                <w:bCs/>
                <w:sz w:val="22"/>
                <w:szCs w:val="22"/>
              </w:rPr>
              <w:t xml:space="preserve">Độ lệch chuẩn</w:t>
            </w:r>
          </w:p>
        </w:tc>
      </w:tr>
      <w:tr>
        <w:tc>
          <w:tcPr>
            <w:tcW w:type="dxa" w:w="9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1</w:t>
            </w:r>
          </w:p>
        </w:tc>
        <w:tc>
          <w:tcPr>
            <w:tcW w:type="dxa" w:w="32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w:t>
            </w:r>
          </w:p>
        </w:tc>
        <w:tc>
          <w:tcPr>
            <w:tcW w:type="dxa" w:w="25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w:t>
            </w:r>
          </w:p>
        </w:tc>
        <w:tc>
          <w:tcPr>
            <w:tcW w:type="dxa" w:w="24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w:t>
            </w:r>
          </w:p>
        </w:tc>
      </w:tr>
      <w:tr>
        <w:tc>
          <w:tcPr>
            <w:tcW w:type="dxa" w:w="9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2</w:t>
            </w:r>
          </w:p>
        </w:tc>
        <w:tc>
          <w:tcPr>
            <w:tcW w:type="dxa" w:w="32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w:t>
            </w:r>
          </w:p>
        </w:tc>
        <w:tc>
          <w:tcPr>
            <w:tcW w:type="dxa" w:w="25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w:t>
            </w:r>
          </w:p>
        </w:tc>
        <w:tc>
          <w:tcPr>
            <w:tcW w:type="dxa" w:w="24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w:t>
            </w:r>
          </w:p>
        </w:tc>
      </w:tr>
      <w:tr>
        <w:tc>
          <w:tcPr>
            <w:tcW w:type="dxa" w:w="9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3</w:t>
            </w:r>
          </w:p>
        </w:tc>
        <w:tc>
          <w:tcPr>
            <w:tcW w:type="dxa" w:w="32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w:t>
            </w:r>
          </w:p>
        </w:tc>
        <w:tc>
          <w:tcPr>
            <w:tcW w:type="dxa" w:w="25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w:t>
            </w:r>
          </w:p>
        </w:tc>
        <w:tc>
          <w:tcPr>
            <w:tcW w:type="dxa" w:w="24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w:t>
            </w:r>
          </w:p>
        </w:tc>
      </w:tr>
      <w:tr>
        <w:tc>
          <w:tcPr>
            <w:tcW w:type="dxa" w:w="9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4</w:t>
            </w:r>
          </w:p>
        </w:tc>
        <w:tc>
          <w:tcPr>
            <w:tcW w:type="dxa" w:w="32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w:t>
            </w:r>
          </w:p>
        </w:tc>
        <w:tc>
          <w:tcPr>
            <w:tcW w:type="dxa" w:w="25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w:t>
            </w:r>
          </w:p>
        </w:tc>
        <w:tc>
          <w:tcPr>
            <w:tcW w:type="dxa" w:w="24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w:t>
            </w:r>
          </w:p>
        </w:tc>
      </w:tr>
      <w:tr>
        <w:tc>
          <w:tcPr>
            <w:tcW w:type="dxa" w:w="9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5</w:t>
            </w:r>
          </w:p>
        </w:tc>
        <w:tc>
          <w:tcPr>
            <w:tcW w:type="dxa" w:w="32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w:t>
            </w:r>
          </w:p>
        </w:tc>
        <w:tc>
          <w:tcPr>
            <w:tcW w:type="dxa" w:w="25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w:t>
            </w:r>
          </w:p>
        </w:tc>
        <w:tc>
          <w:tcPr>
            <w:tcW w:type="dxa" w:w="24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w:t>
            </w:r>
          </w:p>
        </w:tc>
      </w:tr>
    </w:tbl>
    <w:p>
      <w:pPr>
        <w:pBdr>
          <w:top w:val="dashed" w:color="999999" w:sz="6"/>
          <w:bottom w:val="dashed" w:color="999999" w:sz="6"/>
          <w:left w:val="dashed" w:color="999999" w:sz="6"/>
          <w:right w:val="dashed" w:color="999999" w:sz="6"/>
        </w:pBdr>
        <w:spacing w:after="60" w:before="140"/>
        <w:jc w:val="center"/>
      </w:pPr>
      <w:r>
        <w:rPr>
          <w:rFonts w:ascii="Times New Roman" w:cs="Times New Roman" w:eastAsia="Times New Roman" w:hAnsi="Times New Roman"/>
          <w:i/>
          <w:iCs/>
          <w:color w:val="808080"/>
          <w:sz w:val="21"/>
          <w:szCs w:val="21"/>
        </w:rPr>
        <w:t xml:space="preserve">[ Chèn ảnh: outputs/figures/06_model_comparison.png — sinh ra sau khi chạy chương trình trên dữ liệu Kaggle ]</w:t>
      </w:r>
    </w:p>
    <w:p>
      <w:pPr>
        <w:spacing w:after="200"/>
        <w:jc w:val="center"/>
      </w:pPr>
      <w:r>
        <w:rPr>
          <w:rFonts w:ascii="Times New Roman" w:cs="Times New Roman" w:eastAsia="Times New Roman" w:hAnsi="Times New Roman"/>
          <w:i/>
          <w:iCs/>
          <w:sz w:val="21"/>
          <w:szCs w:val="21"/>
        </w:rPr>
        <w:t xml:space="preserve">Hình 6. So sánh RMSE của các mô hình (thanh lỗi = độ lệch chuẩn giữa các fold)</w:t>
      </w:r>
    </w:p>
    <w:p>
      <w:r>
        <w:br w:type="page"/>
      </w:r>
    </w:p>
    <w:p>
      <w:pPr>
        <w:pStyle w:val="Heading1"/>
        <w:spacing w:after="140" w:before="260"/>
      </w:pPr>
      <w:r>
        <w:rPr>
          <w:rFonts w:ascii="Times New Roman" w:cs="Times New Roman" w:eastAsia="Times New Roman" w:hAnsi="Times New Roman"/>
          <w:b/>
          <w:bCs/>
          <w:color w:val="1F3864"/>
          <w:sz w:val="30"/>
          <w:szCs w:val="30"/>
        </w:rPr>
        <w:t xml:space="preserve">VIII. BƯỚC 5 – EVALUATION</w:t>
      </w:r>
    </w:p>
    <w:p>
      <w:pPr>
        <w:pStyle w:val="Heading2"/>
        <w:spacing w:after="140" w:before="260"/>
      </w:pPr>
      <w:r>
        <w:rPr>
          <w:rFonts w:ascii="Times New Roman" w:cs="Times New Roman" w:eastAsia="Times New Roman" w:hAnsi="Times New Roman"/>
          <w:b/>
          <w:bCs/>
          <w:color w:val="1F3864"/>
          <w:sz w:val="26"/>
          <w:szCs w:val="26"/>
        </w:rPr>
        <w:t xml:space="preserve">8.1. Các độ đo sử dụng</w:t>
      </w:r>
    </w:p>
    <w:p>
      <w:pPr>
        <w:spacing w:after="120" w:line="300"/>
      </w:pPr>
      <w:r>
        <w:rPr>
          <w:rFonts w:ascii="Times New Roman" w:cs="Times New Roman" w:eastAsia="Times New Roman" w:hAnsi="Times New Roman"/>
          <w:sz w:val="24"/>
          <w:szCs w:val="24"/>
        </w:rPr>
        <w:t xml:space="preserve">Ngoài RMSE trên thang log (dùng để xếp hạng), nhóm quy đổi sai số về đô-la trên tập holdout 20% để kết quả có thể diễn giải được với người dùng cuối. Bốn độ đo dưới đây chính là bốn tiêu chí De Cock dùng để chấm bài sinh viên.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3400"/>
        <w:gridCol w:w="1626"/>
      </w:tblGrid>
      <w:tr>
        <w:trPr>
          <w:tblHeader/>
        </w:trPr>
        <w:tc>
          <w:tcPr>
            <w:tcW w:type="dxa" w:w="1700"/>
            <w:shd w:fill="DCE6F1" w:color="auto" w:val="clear"/>
            <w:tcMar>
              <w:top w:type="dxa" w:w="80"/>
              <w:left w:type="dxa" w:w="110"/>
              <w:bottom w:type="dxa" w:w="80"/>
              <w:right w:type="dxa" w:w="110"/>
            </w:tcMar>
          </w:tcPr>
          <w:p>
            <w:pPr>
              <w:spacing w:after="0" w:line="280"/>
              <w:jc w:val="center"/>
            </w:pPr>
            <w:r>
              <w:rPr>
                <w:rFonts w:ascii="Times New Roman" w:cs="Times New Roman" w:eastAsia="Times New Roman" w:hAnsi="Times New Roman"/>
                <w:b/>
                <w:bCs/>
                <w:sz w:val="22"/>
                <w:szCs w:val="22"/>
              </w:rPr>
              <w:t xml:space="preserve">Độ đo</w:t>
            </w:r>
          </w:p>
        </w:tc>
        <w:tc>
          <w:tcPr>
            <w:tcW w:type="dxa" w:w="2300"/>
            <w:shd w:fill="DCE6F1" w:color="auto" w:val="clear"/>
            <w:tcMar>
              <w:top w:type="dxa" w:w="80"/>
              <w:left w:type="dxa" w:w="110"/>
              <w:bottom w:type="dxa" w:w="80"/>
              <w:right w:type="dxa" w:w="110"/>
            </w:tcMar>
          </w:tcPr>
          <w:p>
            <w:pPr>
              <w:spacing w:after="0" w:line="280"/>
              <w:jc w:val="center"/>
            </w:pPr>
            <w:r>
              <w:rPr>
                <w:rFonts w:ascii="Times New Roman" w:cs="Times New Roman" w:eastAsia="Times New Roman" w:hAnsi="Times New Roman"/>
                <w:b/>
                <w:bCs/>
                <w:sz w:val="22"/>
                <w:szCs w:val="22"/>
              </w:rPr>
              <w:t xml:space="preserve">Công thức</w:t>
            </w:r>
          </w:p>
        </w:tc>
        <w:tc>
          <w:tcPr>
            <w:tcW w:type="dxa" w:w="3400"/>
            <w:shd w:fill="DCE6F1" w:color="auto" w:val="clear"/>
            <w:tcMar>
              <w:top w:type="dxa" w:w="80"/>
              <w:left w:type="dxa" w:w="110"/>
              <w:bottom w:type="dxa" w:w="80"/>
              <w:right w:type="dxa" w:w="110"/>
            </w:tcMar>
          </w:tcPr>
          <w:p>
            <w:pPr>
              <w:spacing w:after="0" w:line="280"/>
              <w:jc w:val="center"/>
            </w:pPr>
            <w:r>
              <w:rPr>
                <w:rFonts w:ascii="Times New Roman" w:cs="Times New Roman" w:eastAsia="Times New Roman" w:hAnsi="Times New Roman"/>
                <w:b/>
                <w:bCs/>
                <w:sz w:val="22"/>
                <w:szCs w:val="22"/>
              </w:rPr>
              <w:t xml:space="preserve">Ý nghĩa</w:t>
            </w:r>
          </w:p>
        </w:tc>
        <w:tc>
          <w:tcPr>
            <w:tcW w:type="dxa" w:w="1626"/>
            <w:shd w:fill="DCE6F1" w:color="auto" w:val="clear"/>
            <w:tcMar>
              <w:top w:type="dxa" w:w="80"/>
              <w:left w:type="dxa" w:w="110"/>
              <w:bottom w:type="dxa" w:w="80"/>
              <w:right w:type="dxa" w:w="110"/>
            </w:tcMar>
          </w:tcPr>
          <w:p>
            <w:pPr>
              <w:spacing w:after="0" w:line="280"/>
              <w:jc w:val="center"/>
            </w:pPr>
            <w:r>
              <w:rPr>
                <w:rFonts w:ascii="Times New Roman" w:cs="Times New Roman" w:eastAsia="Times New Roman" w:hAnsi="Times New Roman"/>
                <w:b/>
                <w:bCs/>
                <w:sz w:val="22"/>
                <w:szCs w:val="22"/>
              </w:rPr>
              <w:t xml:space="preserve">Kết quả</w:t>
            </w:r>
          </w:p>
        </w:tc>
      </w:tr>
      <w:tr>
        <w:tc>
          <w:tcPr>
            <w:tcW w:type="dxa" w:w="17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Bias</w:t>
            </w:r>
          </w:p>
        </w:tc>
        <w:tc>
          <w:tcPr>
            <w:tcW w:type="dxa" w:w="23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trung bình (ŷ − y)</w:t>
            </w:r>
          </w:p>
        </w:tc>
        <w:tc>
          <w:tcPr>
            <w:tcW w:type="dxa" w:w="34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Dương: mô hình định giá cao hơn thực tế; âm: định giá thấp hơn</w:t>
            </w:r>
          </w:p>
        </w:tc>
        <w:tc>
          <w:tcPr>
            <w:tcW w:type="dxa" w:w="16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 $</w:t>
            </w:r>
          </w:p>
        </w:tc>
      </w:tr>
      <w:tr>
        <w:tc>
          <w:tcPr>
            <w:tcW w:type="dxa" w:w="17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MAE</w:t>
            </w:r>
          </w:p>
        </w:tc>
        <w:tc>
          <w:tcPr>
            <w:tcW w:type="dxa" w:w="23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trung bình </w:t>
            </w:r>
          </w:p>
          <w:p>
            <w:pPr>
              <w:spacing w:after="0" w:line="280"/>
            </w:pPr>
            <w:r>
              <w:rPr>
                <w:rFonts w:ascii="Times New Roman" w:cs="Times New Roman" w:eastAsia="Times New Roman" w:hAnsi="Times New Roman"/>
                <w:sz w:val="22"/>
                <w:szCs w:val="22"/>
              </w:rPr>
              <w:t xml:space="preserve">y − ŷ</w:t>
            </w:r>
          </w:p>
          <w:p>
            <w:pPr>
              <w:spacing w:after="0" w:line="280"/>
            </w:pPr>
            <w:r>
              <w:rPr>
                <w:rFonts w:ascii="Times New Roman" w:cs="Times New Roman" w:eastAsia="Times New Roman" w:hAnsi="Times New Roman"/>
                <w:sz w:val="22"/>
                <w:szCs w:val="22"/>
              </w:rPr>
              <w:t xml:space="preserve"/>
            </w:r>
          </w:p>
        </w:tc>
        <w:tc>
          <w:tcPr>
            <w:tcW w:type="dxa" w:w="34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Sai số trung bình, không quan tâm dấu</w:t>
            </w:r>
          </w:p>
        </w:tc>
        <w:tc>
          <w:tcPr>
            <w:tcW w:type="dxa" w:w="16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 $</w:t>
            </w:r>
          </w:p>
        </w:tc>
      </w:tr>
      <w:tr>
        <w:tc>
          <w:tcPr>
            <w:tcW w:type="dxa" w:w="17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Max Deviation</w:t>
            </w:r>
          </w:p>
        </w:tc>
        <w:tc>
          <w:tcPr>
            <w:tcW w:type="dxa" w:w="23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max </w:t>
            </w:r>
          </w:p>
          <w:p>
            <w:pPr>
              <w:spacing w:after="0" w:line="280"/>
            </w:pPr>
            <w:r>
              <w:rPr>
                <w:rFonts w:ascii="Times New Roman" w:cs="Times New Roman" w:eastAsia="Times New Roman" w:hAnsi="Times New Roman"/>
                <w:sz w:val="22"/>
                <w:szCs w:val="22"/>
              </w:rPr>
              <w:t xml:space="preserve">y − ŷ</w:t>
            </w:r>
          </w:p>
          <w:p>
            <w:pPr>
              <w:spacing w:after="0" w:line="280"/>
            </w:pPr>
            <w:r>
              <w:rPr>
                <w:rFonts w:ascii="Times New Roman" w:cs="Times New Roman" w:eastAsia="Times New Roman" w:hAnsi="Times New Roman"/>
                <w:sz w:val="22"/>
                <w:szCs w:val="22"/>
              </w:rPr>
              <w:t xml:space="preserve"/>
            </w:r>
          </w:p>
        </w:tc>
        <w:tc>
          <w:tcPr>
            <w:tcW w:type="dxa" w:w="34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Dự đoán tệ nhất trong tập kiểm tra</w:t>
            </w:r>
          </w:p>
        </w:tc>
        <w:tc>
          <w:tcPr>
            <w:tcW w:type="dxa" w:w="16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 $</w:t>
            </w:r>
          </w:p>
        </w:tc>
      </w:tr>
      <w:tr>
        <w:tc>
          <w:tcPr>
            <w:tcW w:type="dxa" w:w="17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RMSE ($)</w:t>
            </w:r>
          </w:p>
        </w:tc>
        <w:tc>
          <w:tcPr>
            <w:tcW w:type="dxa" w:w="23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căn của trung bình (y − ŷ)²</w:t>
            </w:r>
          </w:p>
        </w:tc>
        <w:tc>
          <w:tcPr>
            <w:tcW w:type="dxa" w:w="34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Phạt nặng các sai số lớn</w:t>
            </w:r>
          </w:p>
        </w:tc>
        <w:tc>
          <w:tcPr>
            <w:tcW w:type="dxa" w:w="16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 $</w:t>
            </w:r>
          </w:p>
        </w:tc>
      </w:tr>
      <w:tr>
        <w:tc>
          <w:tcPr>
            <w:tcW w:type="dxa" w:w="17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RMSE (log)</w:t>
            </w:r>
          </w:p>
        </w:tc>
        <w:tc>
          <w:tcPr>
            <w:tcW w:type="dxa" w:w="23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trên thang log1p</w:t>
            </w:r>
          </w:p>
        </w:tc>
        <w:tc>
          <w:tcPr>
            <w:tcW w:type="dxa" w:w="34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Tiêu chí chấm của Kaggle</w:t>
            </w:r>
          </w:p>
        </w:tc>
        <w:tc>
          <w:tcPr>
            <w:tcW w:type="dxa" w:w="16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w:t>
            </w:r>
          </w:p>
        </w:tc>
      </w:tr>
      <w:tr>
        <w:tc>
          <w:tcPr>
            <w:tcW w:type="dxa" w:w="17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R² (log)</w:t>
            </w:r>
          </w:p>
        </w:tc>
        <w:tc>
          <w:tcPr>
            <w:tcW w:type="dxa" w:w="23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tỷ lệ phương sai được giải thích</w:t>
            </w:r>
          </w:p>
        </w:tc>
        <w:tc>
          <w:tcPr>
            <w:tcW w:type="dxa" w:w="34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Càng gần 1 càng tốt</w:t>
            </w:r>
          </w:p>
        </w:tc>
        <w:tc>
          <w:tcPr>
            <w:tcW w:type="dxa" w:w="16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w:t>
            </w:r>
          </w:p>
        </w:tc>
      </w:tr>
    </w:tbl>
    <w:p>
      <w:pPr>
        <w:pStyle w:val="Heading2"/>
        <w:spacing w:after="140" w:before="260"/>
      </w:pPr>
      <w:r>
        <w:rPr>
          <w:rFonts w:ascii="Times New Roman" w:cs="Times New Roman" w:eastAsia="Times New Roman" w:hAnsi="Times New Roman"/>
          <w:b/>
          <w:bCs/>
          <w:color w:val="1F3864"/>
          <w:sz w:val="26"/>
          <w:szCs w:val="26"/>
        </w:rPr>
        <w:t xml:space="preserve">8.2. Phân tích phần dư</w:t>
      </w:r>
    </w:p>
    <w:p>
      <w:pPr>
        <w:spacing w:after="120" w:line="300"/>
      </w:pPr>
      <w:r>
        <w:rPr>
          <w:rFonts w:ascii="Times New Roman" w:cs="Times New Roman" w:eastAsia="Times New Roman" w:hAnsi="Times New Roman"/>
          <w:sz w:val="24"/>
          <w:szCs w:val="24"/>
        </w:rPr>
        <w:t xml:space="preserve">Ba biểu đồ kiểm tra giả định của mô hình. Biểu đồ phần dư theo giá trị dự đoán cần cho thấy các điểm rải đều quanh trục 0 như “đám mây không hình thù”; nếu xuất hiện hình phễu (phương sai tăng dần) hoặc hình cong chữ U (quan hệ phi tuyến chưa được mô hình hóa) thì mô hình còn thiếu sót. Histogram phần dư cần có dạng chuông đối xứng quanh 0. Biểu đồ giá thực tế – giá dự đoán cần bám sát đường chéo 45°.</w:t>
      </w:r>
    </w:p>
    <w:p>
      <w:pPr>
        <w:pBdr>
          <w:top w:val="dashed" w:color="999999" w:sz="6"/>
          <w:bottom w:val="dashed" w:color="999999" w:sz="6"/>
          <w:left w:val="dashed" w:color="999999" w:sz="6"/>
          <w:right w:val="dashed" w:color="999999" w:sz="6"/>
        </w:pBdr>
        <w:spacing w:after="60" w:before="140"/>
        <w:jc w:val="center"/>
      </w:pPr>
      <w:r>
        <w:rPr>
          <w:rFonts w:ascii="Times New Roman" w:cs="Times New Roman" w:eastAsia="Times New Roman" w:hAnsi="Times New Roman"/>
          <w:i/>
          <w:iCs/>
          <w:color w:val="808080"/>
          <w:sz w:val="21"/>
          <w:szCs w:val="21"/>
        </w:rPr>
        <w:t xml:space="preserve">[ Chèn ảnh: outputs/figures/05_residuals.png — sinh ra sau khi chạy chương trình trên dữ liệu Kaggle ]</w:t>
      </w:r>
    </w:p>
    <w:p>
      <w:pPr>
        <w:spacing w:after="200"/>
        <w:jc w:val="center"/>
      </w:pPr>
      <w:r>
        <w:rPr>
          <w:rFonts w:ascii="Times New Roman" w:cs="Times New Roman" w:eastAsia="Times New Roman" w:hAnsi="Times New Roman"/>
          <w:i/>
          <w:iCs/>
          <w:sz w:val="21"/>
          <w:szCs w:val="21"/>
        </w:rPr>
        <w:t xml:space="preserve">Hình 7. Phân tích phần dư và so sánh giá thực tế với giá dự đoán</w:t>
      </w:r>
    </w:p>
    <w:p>
      <w:pPr>
        <w:pStyle w:val="Heading2"/>
        <w:spacing w:after="140" w:before="260"/>
      </w:pPr>
      <w:r>
        <w:rPr>
          <w:rFonts w:ascii="Times New Roman" w:cs="Times New Roman" w:eastAsia="Times New Roman" w:hAnsi="Times New Roman"/>
          <w:b/>
          <w:bCs/>
          <w:color w:val="1F3864"/>
          <w:sz w:val="26"/>
          <w:szCs w:val="26"/>
        </w:rPr>
        <w:t xml:space="preserve">8.3. Kiểm tra thủ công một quan sát (Model Check)</w:t>
      </w:r>
    </w:p>
    <w:p>
      <w:pPr>
        <w:spacing w:after="120" w:line="300"/>
      </w:pPr>
      <w:r>
        <w:rPr>
          <w:rFonts w:ascii="Times New Roman" w:cs="Times New Roman" w:eastAsia="Times New Roman" w:hAnsi="Times New Roman"/>
          <w:sz w:val="24"/>
          <w:szCs w:val="24"/>
        </w:rPr>
        <w:t xml:space="preserve">De Cock nhấn mạnh sinh viên thường chấp nhận vô điều kiện kết quả phần mềm xuất ra mà không kiểm tra lại. Vì vậy chương trình in ra chi tiết dự đoán của một quan sát cụ thể để đối chiếu thủ công với giá thực tế — bước này giúp phát hiện sớm các lỗi như quên đảo ngược phép log1p hay nhầm thứ tự cột.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6000"/>
      </w:tblGrid>
      <w:tr>
        <w:trPr>
          <w:tblHeader/>
        </w:trPr>
        <w:tc>
          <w:tcPr>
            <w:tcW w:type="dxa" w:w="3026"/>
            <w:shd w:fill="DCE6F1" w:color="auto" w:val="clear"/>
            <w:tcMar>
              <w:top w:type="dxa" w:w="80"/>
              <w:left w:type="dxa" w:w="110"/>
              <w:bottom w:type="dxa" w:w="80"/>
              <w:right w:type="dxa" w:w="110"/>
            </w:tcMar>
          </w:tcPr>
          <w:p>
            <w:pPr>
              <w:spacing w:after="0" w:line="280"/>
              <w:jc w:val="center"/>
            </w:pPr>
            <w:r>
              <w:rPr>
                <w:rFonts w:ascii="Times New Roman" w:cs="Times New Roman" w:eastAsia="Times New Roman" w:hAnsi="Times New Roman"/>
                <w:b/>
                <w:bCs/>
                <w:sz w:val="22"/>
                <w:szCs w:val="22"/>
              </w:rPr>
              <w:t xml:space="preserve">Hạng mục</w:t>
            </w:r>
          </w:p>
        </w:tc>
        <w:tc>
          <w:tcPr>
            <w:tcW w:type="dxa" w:w="6000"/>
            <w:shd w:fill="DCE6F1" w:color="auto" w:val="clear"/>
            <w:tcMar>
              <w:top w:type="dxa" w:w="80"/>
              <w:left w:type="dxa" w:w="110"/>
              <w:bottom w:type="dxa" w:w="80"/>
              <w:right w:type="dxa" w:w="110"/>
            </w:tcMar>
          </w:tcPr>
          <w:p>
            <w:pPr>
              <w:spacing w:after="0" w:line="280"/>
              <w:jc w:val="center"/>
            </w:pPr>
            <w:r>
              <w:rPr>
                <w:rFonts w:ascii="Times New Roman" w:cs="Times New Roman" w:eastAsia="Times New Roman" w:hAnsi="Times New Roman"/>
                <w:b/>
                <w:bCs/>
                <w:sz w:val="22"/>
                <w:szCs w:val="22"/>
              </w:rPr>
              <w:t xml:space="preserve">Giá trị</w:t>
            </w:r>
          </w:p>
        </w:tc>
      </w:tr>
      <w:tr>
        <w:tc>
          <w:tcPr>
            <w:tcW w:type="dxa" w:w="30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Giá dự đoán</w:t>
            </w:r>
          </w:p>
        </w:tc>
        <w:tc>
          <w:tcPr>
            <w:tcW w:type="dxa" w:w="60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 $</w:t>
            </w:r>
          </w:p>
        </w:tc>
      </w:tr>
      <w:tr>
        <w:tc>
          <w:tcPr>
            <w:tcW w:type="dxa" w:w="30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Giá thực tế</w:t>
            </w:r>
          </w:p>
        </w:tc>
        <w:tc>
          <w:tcPr>
            <w:tcW w:type="dxa" w:w="60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 $</w:t>
            </w:r>
          </w:p>
        </w:tc>
      </w:tr>
      <w:tr>
        <w:tc>
          <w:tcPr>
            <w:tcW w:type="dxa" w:w="30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Sai số</w:t>
            </w:r>
          </w:p>
        </w:tc>
        <w:tc>
          <w:tcPr>
            <w:tcW w:type="dxa" w:w="60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 $ (…… %)</w:t>
            </w:r>
          </w:p>
        </w:tc>
      </w:tr>
      <w:tr>
        <w:tc>
          <w:tcPr>
            <w:tcW w:type="dxa" w:w="30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Kết luận</w:t>
            </w:r>
          </w:p>
        </w:tc>
        <w:tc>
          <w:tcPr>
            <w:tcW w:type="dxa" w:w="60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Mô hình cho kết quả hợp lý / cần xem lại</w:t>
            </w:r>
          </w:p>
        </w:tc>
      </w:tr>
    </w:tbl>
    <w:p>
      <w:pPr>
        <w:pStyle w:val="Heading2"/>
        <w:spacing w:after="140" w:before="260"/>
      </w:pPr>
      <w:r>
        <w:rPr>
          <w:rFonts w:ascii="Times New Roman" w:cs="Times New Roman" w:eastAsia="Times New Roman" w:hAnsi="Times New Roman"/>
          <w:b/>
          <w:bCs/>
          <w:color w:val="1F3864"/>
          <w:sz w:val="26"/>
          <w:szCs w:val="26"/>
        </w:rPr>
        <w:t xml:space="preserve">8.4. Đặc trưng quan trọng nhất</w:t>
      </w:r>
    </w:p>
    <w:p>
      <w:pPr>
        <w:spacing w:after="120" w:line="300"/>
      </w:pPr>
      <w:r>
        <w:rPr>
          <w:rFonts w:ascii="Times New Roman" w:cs="Times New Roman" w:eastAsia="Times New Roman" w:hAnsi="Times New Roman"/>
          <w:sz w:val="24"/>
          <w:szCs w:val="24"/>
        </w:rPr>
        <w:t xml:space="preserve">Kết quả xếp hạng độ quan trọng của đặc trưng thường xác nhận lại phát hiện trong paper: các biến liên quan đến tổng diện tích (TotalSF, GrLivArea, Qual_x_SF), chất lượng tổng thể (OverallQual) và khu phố (các biến Neighborhood_*) chiếm phần lớn khả năng giải thích.</w:t>
      </w:r>
    </w:p>
    <w:p>
      <w:pPr>
        <w:pBdr>
          <w:top w:val="dashed" w:color="999999" w:sz="6"/>
          <w:bottom w:val="dashed" w:color="999999" w:sz="6"/>
          <w:left w:val="dashed" w:color="999999" w:sz="6"/>
          <w:right w:val="dashed" w:color="999999" w:sz="6"/>
        </w:pBdr>
        <w:spacing w:after="60" w:before="140"/>
        <w:jc w:val="center"/>
      </w:pPr>
      <w:r>
        <w:rPr>
          <w:rFonts w:ascii="Times New Roman" w:cs="Times New Roman" w:eastAsia="Times New Roman" w:hAnsi="Times New Roman"/>
          <w:i/>
          <w:iCs/>
          <w:color w:val="808080"/>
          <w:sz w:val="21"/>
          <w:szCs w:val="21"/>
        </w:rPr>
        <w:t xml:space="preserve">[ Chèn ảnh: outputs/figures/07_feature_importance.png — sinh ra sau khi chạy chương trình trên dữ liệu Kaggle ]</w:t>
      </w:r>
    </w:p>
    <w:p>
      <w:pPr>
        <w:spacing w:after="200"/>
        <w:jc w:val="center"/>
      </w:pPr>
      <w:r>
        <w:rPr>
          <w:rFonts w:ascii="Times New Roman" w:cs="Times New Roman" w:eastAsia="Times New Roman" w:hAnsi="Times New Roman"/>
          <w:i/>
          <w:iCs/>
          <w:sz w:val="21"/>
          <w:szCs w:val="21"/>
        </w:rPr>
        <w:t xml:space="preserve">Hình 8. 15 đặc trưng ảnh hưởng mạnh nhất đến giá nhà</w:t>
      </w:r>
    </w:p>
    <w:p>
      <w:pPr>
        <w:pStyle w:val="Heading1"/>
        <w:spacing w:after="140" w:before="260"/>
      </w:pPr>
      <w:r>
        <w:rPr>
          <w:rFonts w:ascii="Times New Roman" w:cs="Times New Roman" w:eastAsia="Times New Roman" w:hAnsi="Times New Roman"/>
          <w:b/>
          <w:bCs/>
          <w:color w:val="1F3864"/>
          <w:sz w:val="30"/>
          <w:szCs w:val="30"/>
        </w:rPr>
        <w:t xml:space="preserve">IX. BƯỚC 6 – DEPLOYMENT</w:t>
      </w:r>
    </w:p>
    <w:p>
      <w:pPr>
        <w:spacing w:after="120" w:line="300"/>
      </w:pPr>
      <w:r>
        <w:rPr>
          <w:rFonts w:ascii="Times New Roman" w:cs="Times New Roman" w:eastAsia="Times New Roman" w:hAnsi="Times New Roman"/>
          <w:sz w:val="24"/>
          <w:szCs w:val="24"/>
        </w:rPr>
        <w:t xml:space="preserve">Sau khi chọn được mô hình tốt nhất (hoặc tổ hợp 50/50 của hai mô hình tốt nhất nếu tổ hợp cho RMSE thấp hơn), chương trình huấn luyện lại trên TOÀN BỘ tập train rồi dự đoán cho test.csv. Vì mô hình học trên thang log1p, kết quả phải được đảo ngược bằng expm1 trước khi ghi file — đây là lỗi rất thường gặp khi làm bài này.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DCE6F1" w:color="auto" w:val="clear"/>
            <w:tcMar>
              <w:top w:type="dxa" w:w="80"/>
              <w:left w:type="dxa" w:w="110"/>
              <w:bottom w:type="dxa" w:w="80"/>
              <w:right w:type="dxa" w:w="110"/>
            </w:tcMar>
          </w:tcPr>
          <w:p>
            <w:pPr>
              <w:spacing w:after="0" w:line="280"/>
              <w:jc w:val="center"/>
            </w:pPr>
            <w:r>
              <w:rPr>
                <w:rFonts w:ascii="Times New Roman" w:cs="Times New Roman" w:eastAsia="Times New Roman" w:hAnsi="Times New Roman"/>
                <w:b/>
                <w:bCs/>
                <w:sz w:val="22"/>
                <w:szCs w:val="22"/>
              </w:rPr>
              <w:t xml:space="preserve">Hạng mục</w:t>
            </w:r>
          </w:p>
        </w:tc>
        <w:tc>
          <w:tcPr>
            <w:tcW w:type="dxa" w:w="6626"/>
            <w:shd w:fill="DCE6F1" w:color="auto" w:val="clear"/>
            <w:tcMar>
              <w:top w:type="dxa" w:w="80"/>
              <w:left w:type="dxa" w:w="110"/>
              <w:bottom w:type="dxa" w:w="80"/>
              <w:right w:type="dxa" w:w="110"/>
            </w:tcMar>
          </w:tcPr>
          <w:p>
            <w:pPr>
              <w:spacing w:after="0" w:line="280"/>
              <w:jc w:val="center"/>
            </w:pPr>
            <w:r>
              <w:rPr>
                <w:rFonts w:ascii="Times New Roman" w:cs="Times New Roman" w:eastAsia="Times New Roman" w:hAnsi="Times New Roman"/>
                <w:b/>
                <w:bCs/>
                <w:sz w:val="22"/>
                <w:szCs w:val="22"/>
              </w:rPr>
              <w:t xml:space="preserve">Nội dung</w:t>
            </w:r>
          </w:p>
        </w:tc>
      </w:tr>
      <w:tr>
        <w:tc>
          <w:tcPr>
            <w:tcW w:type="dxa" w:w="24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File nộp</w:t>
            </w:r>
          </w:p>
        </w:tc>
        <w:tc>
          <w:tcPr>
            <w:tcW w:type="dxa" w:w="66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outputs/submission.csv — đúng định dạng Kaggle: 2 cột Id, SalePrice; 1.459 dòng</w:t>
            </w:r>
          </w:p>
        </w:tc>
      </w:tr>
      <w:tr>
        <w:tc>
          <w:tcPr>
            <w:tcW w:type="dxa" w:w="24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Kiểm tra tự động</w:t>
            </w:r>
          </w:p>
        </w:tc>
        <w:tc>
          <w:tcPr>
            <w:tcW w:type="dxa" w:w="66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Không có giá trị NaN; không có giá ≤ 0; số dòng khớp test.csv</w:t>
            </w:r>
          </w:p>
        </w:tc>
      </w:tr>
      <w:tr>
        <w:tc>
          <w:tcPr>
            <w:tcW w:type="dxa" w:w="24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Điểm Public Leaderboard</w:t>
            </w:r>
          </w:p>
        </w:tc>
        <w:tc>
          <w:tcPr>
            <w:tcW w:type="dxa" w:w="66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 (điền sau khi nộp lên Kaggle)</w:t>
            </w:r>
          </w:p>
        </w:tc>
      </w:tr>
      <w:tr>
        <w:tc>
          <w:tcPr>
            <w:tcW w:type="dxa" w:w="24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Hạn chế khi triển khai thực tế</w:t>
            </w:r>
          </w:p>
        </w:tc>
        <w:tc>
          <w:tcPr>
            <w:tcW w:type="dxa" w:w="66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Mô hình chỉ học từ giao dịch tại Ames, Iowa giai đoạn 2006–2010 nên không suy rộng cho thị trường khác hoặc thời điểm khác; cần huấn luyện lại định kỳ khi có dữ liệu mới</w:t>
            </w:r>
          </w:p>
        </w:tc>
      </w:tr>
    </w:tbl>
    <w:p>
      <w:pPr>
        <w:pStyle w:val="Heading1"/>
        <w:spacing w:after="140" w:before="260"/>
      </w:pPr>
      <w:r>
        <w:rPr>
          <w:rFonts w:ascii="Times New Roman" w:cs="Times New Roman" w:eastAsia="Times New Roman" w:hAnsi="Times New Roman"/>
          <w:b/>
          <w:bCs/>
          <w:color w:val="1F3864"/>
          <w:sz w:val="30"/>
          <w:szCs w:val="30"/>
        </w:rPr>
        <w:t xml:space="preserve">X. KIỂM THỬ MÃ NGUỒN</w:t>
      </w:r>
    </w:p>
    <w:p>
      <w:pPr>
        <w:spacing w:after="120" w:line="300"/>
      </w:pPr>
      <w:r>
        <w:rPr>
          <w:rFonts w:ascii="Times New Roman" w:cs="Times New Roman" w:eastAsia="Times New Roman" w:hAnsi="Times New Roman"/>
          <w:sz w:val="24"/>
          <w:szCs w:val="24"/>
        </w:rPr>
        <w:t xml:space="preserve">Nhóm viết tests/test_pipeline.py để kiểm thử tự động toàn bộ quy trình mà không cần dữ liệu Kaggle. Script sinh một bộ dữ liệu giả lập giữ đúng tên cột, kiểu dữ liệu, tỷ lệ giá trị thiếu và cả các ngoại lai &gt; 4.000 sqft của Ames, sau đó chạy đủ 6 bước CRISP-DM và kiểm tra các điều kiện sau:</w:t>
      </w:r>
    </w:p>
    <w:p>
      <w:pPr>
        <w:pStyle w:val="ListParagraph"/>
        <w:numPr>
          <w:ilvl w:val="0"/>
          <w:numId w:val="2"/>
        </w:numPr>
        <w:spacing w:after="80" w:line="300"/>
      </w:pPr>
      <w:r>
        <w:rPr>
          <w:rFonts w:ascii="Times New Roman" w:cs="Times New Roman" w:eastAsia="Times New Roman" w:hAnsi="Times New Roman"/>
          <w:sz w:val="24"/>
          <w:szCs w:val="24"/>
        </w:rPr>
        <w:t xml:space="preserve">Pipeline chạy từ đầu đến cuối không phát sinh lỗi.</w:t>
      </w:r>
    </w:p>
    <w:p>
      <w:pPr>
        <w:pStyle w:val="ListParagraph"/>
        <w:numPr>
          <w:ilvl w:val="0"/>
          <w:numId w:val="2"/>
        </w:numPr>
        <w:spacing w:after="80" w:line="300"/>
      </w:pPr>
      <w:r>
        <w:rPr>
          <w:rFonts w:ascii="Times New Roman" w:cs="Times New Roman" w:eastAsia="Times New Roman" w:hAnsi="Times New Roman"/>
          <w:sz w:val="24"/>
          <w:szCs w:val="24"/>
        </w:rPr>
        <w:t xml:space="preserve">Sau bước Data Preparation không còn ô dữ liệu thiếu nào.</w:t>
      </w:r>
    </w:p>
    <w:p>
      <w:pPr>
        <w:pStyle w:val="ListParagraph"/>
        <w:numPr>
          <w:ilvl w:val="0"/>
          <w:numId w:val="2"/>
        </w:numPr>
        <w:spacing w:after="80" w:line="300"/>
      </w:pPr>
      <w:r>
        <w:rPr>
          <w:rFonts w:ascii="Times New Roman" w:cs="Times New Roman" w:eastAsia="Times New Roman" w:hAnsi="Times New Roman"/>
          <w:sz w:val="24"/>
          <w:szCs w:val="24"/>
        </w:rPr>
        <w:t xml:space="preserve">Số cột của train và test khớp nhau sau one-hot encoding.</w:t>
      </w:r>
    </w:p>
    <w:p>
      <w:pPr>
        <w:pStyle w:val="ListParagraph"/>
        <w:numPr>
          <w:ilvl w:val="0"/>
          <w:numId w:val="2"/>
        </w:numPr>
        <w:spacing w:after="80" w:line="300"/>
      </w:pPr>
      <w:r>
        <w:rPr>
          <w:rFonts w:ascii="Times New Roman" w:cs="Times New Roman" w:eastAsia="Times New Roman" w:hAnsi="Times New Roman"/>
          <w:sz w:val="24"/>
          <w:szCs w:val="24"/>
        </w:rPr>
        <w:t xml:space="preserve">submission.csv được sinh ra, đúng tên cột, đủ số dòng, không có giá trị âm hay NaN.</w:t>
      </w:r>
    </w:p>
    <w:p>
      <w:pPr>
        <w:pStyle w:val="ListParagraph"/>
        <w:numPr>
          <w:ilvl w:val="0"/>
          <w:numId w:val="2"/>
        </w:numPr>
        <w:spacing w:after="80" w:line="300"/>
      </w:pPr>
      <w:r>
        <w:rPr>
          <w:rFonts w:ascii="Times New Roman" w:cs="Times New Roman" w:eastAsia="Times New Roman" w:hAnsi="Times New Roman"/>
          <w:sz w:val="24"/>
          <w:szCs w:val="24"/>
        </w:rPr>
        <w:t xml:space="preserve">Đủ 7 biểu đồ được xuất ra thư mục figures/.</w:t>
      </w:r>
    </w:p>
    <w:p>
      <w:pPr>
        <w:spacing w:after="120" w:line="300"/>
      </w:pPr>
      <w:r>
        <w:rPr>
          <w:rFonts w:ascii="Times New Roman" w:cs="Times New Roman" w:eastAsia="Times New Roman" w:hAnsi="Times New Roman"/>
          <w:sz w:val="24"/>
          <w:szCs w:val="24"/>
        </w:rPr>
        <w:t xml:space="preserve">Toàn bộ log của lần chạy thật trên dữ liệu Kaggle được lưu trong outputs/run_log.txt và nộp kèm.</w:t>
      </w:r>
    </w:p>
    <w:p>
      <w:pPr>
        <w:pStyle w:val="Heading1"/>
        <w:spacing w:after="140" w:before="260"/>
      </w:pPr>
      <w:r>
        <w:rPr>
          <w:rFonts w:ascii="Times New Roman" w:cs="Times New Roman" w:eastAsia="Times New Roman" w:hAnsi="Times New Roman"/>
          <w:b/>
          <w:bCs/>
          <w:color w:val="1F3864"/>
          <w:sz w:val="30"/>
          <w:szCs w:val="30"/>
        </w:rPr>
        <w:t xml:space="preserve">XI. KẾT LUẬN VÀ HƯỚNG PHÁT TRIỂN</w:t>
      </w:r>
    </w:p>
    <w:p>
      <w:pPr>
        <w:spacing w:after="120" w:line="300"/>
      </w:pPr>
      <w:r>
        <w:rPr>
          <w:rFonts w:ascii="Times New Roman" w:cs="Times New Roman" w:eastAsia="Times New Roman" w:hAnsi="Times New Roman"/>
          <w:sz w:val="24"/>
          <w:szCs w:val="24"/>
        </w:rPr>
        <w:t xml:space="preserve">Nhóm đã xây dựng hoàn chỉnh một mô hình dự đoán giá nhà theo đúng sáu bước CRISP-DM, từ việc đọc paper gốc để xác định bài toán cho đến khi sinh ra file nộp Kaggle. Bài học rút ra rõ nhất là phần lớn chất lượng mô hình đến từ khâu chuẩn bị dữ liệu (hiểu đúng nghĩa của ô trống, mã hóa đúng biến thứ tự, tạo đặc trưng tổng hợp) chứ không phải từ việc chọn thuật toán phức tạp.</w:t>
      </w:r>
    </w:p>
    <w:p>
      <w:pPr>
        <w:spacing w:after="120" w:line="300"/>
      </w:pPr>
      <w:r>
        <w:rPr>
          <w:rFonts w:ascii="Times New Roman" w:cs="Times New Roman" w:eastAsia="Times New Roman" w:hAnsi="Times New Roman"/>
          <w:sz w:val="24"/>
          <w:szCs w:val="24"/>
        </w:rPr>
        <w:t xml:space="preserve">Hướng phát triển:</w:t>
      </w:r>
    </w:p>
    <w:p>
      <w:pPr>
        <w:pStyle w:val="ListParagraph"/>
        <w:numPr>
          <w:ilvl w:val="0"/>
          <w:numId w:val="2"/>
        </w:numPr>
        <w:spacing w:after="80" w:line="300"/>
      </w:pPr>
      <w:r>
        <w:rPr>
          <w:rFonts w:ascii="Times New Roman" w:cs="Times New Roman" w:eastAsia="Times New Roman" w:hAnsi="Times New Roman"/>
          <w:sz w:val="24"/>
          <w:szCs w:val="24"/>
        </w:rPr>
        <w:t xml:space="preserve">Xếp chồng mô hình (stacking) với meta-learner thay cho blend 50/50 theo tỷ lệ cố định.</w:t>
      </w:r>
    </w:p>
    <w:p>
      <w:pPr>
        <w:pStyle w:val="ListParagraph"/>
        <w:numPr>
          <w:ilvl w:val="0"/>
          <w:numId w:val="2"/>
        </w:numPr>
        <w:spacing w:after="80" w:line="300"/>
      </w:pPr>
      <w:r>
        <w:rPr>
          <w:rFonts w:ascii="Times New Roman" w:cs="Times New Roman" w:eastAsia="Times New Roman" w:hAnsi="Times New Roman"/>
          <w:sz w:val="24"/>
          <w:szCs w:val="24"/>
        </w:rPr>
        <w:t xml:space="preserve">Bổ sung LightGBM và CatBoost — CatBoost xử lý biến danh mục trực tiếp, không cần one-hot.</w:t>
      </w:r>
    </w:p>
    <w:p>
      <w:pPr>
        <w:pStyle w:val="ListParagraph"/>
        <w:numPr>
          <w:ilvl w:val="0"/>
          <w:numId w:val="2"/>
        </w:numPr>
        <w:spacing w:after="80" w:line="300"/>
      </w:pPr>
      <w:r>
        <w:rPr>
          <w:rFonts w:ascii="Times New Roman" w:cs="Times New Roman" w:eastAsia="Times New Roman" w:hAnsi="Times New Roman"/>
          <w:sz w:val="24"/>
          <w:szCs w:val="24"/>
        </w:rPr>
        <w:t xml:space="preserve">Dùng target encoding cho biến Neighborhood để giảm số chiều.</w:t>
      </w:r>
    </w:p>
    <w:p>
      <w:pPr>
        <w:pStyle w:val="ListParagraph"/>
        <w:numPr>
          <w:ilvl w:val="0"/>
          <w:numId w:val="2"/>
        </w:numPr>
        <w:spacing w:after="80" w:line="300"/>
      </w:pPr>
      <w:r>
        <w:rPr>
          <w:rFonts w:ascii="Times New Roman" w:cs="Times New Roman" w:eastAsia="Times New Roman" w:hAnsi="Times New Roman"/>
          <w:sz w:val="24"/>
          <w:szCs w:val="24"/>
        </w:rPr>
        <w:t xml:space="preserve">Triển khai mô hình thành API nhỏ (Flask/FastAPI) để nhập thông số căn nhà và trả về giá ước lượng.</w:t>
      </w:r>
    </w:p>
    <w:p>
      <w:r>
        <w:br w:type="page"/>
      </w:r>
    </w:p>
    <w:p>
      <w:pPr>
        <w:pStyle w:val="Heading1"/>
        <w:spacing w:after="140" w:before="260"/>
      </w:pPr>
      <w:r>
        <w:rPr>
          <w:rFonts w:ascii="Times New Roman" w:cs="Times New Roman" w:eastAsia="Times New Roman" w:hAnsi="Times New Roman"/>
          <w:b/>
          <w:bCs/>
          <w:color w:val="1F3864"/>
          <w:sz w:val="30"/>
          <w:szCs w:val="30"/>
        </w:rPr>
        <w:t xml:space="preserve">PHỤ LỤC A – HƯỚNG DẪN CHẠY MÃ NGUỒN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DCE6F1" w:color="auto" w:val="clear"/>
            <w:tcMar>
              <w:top w:type="dxa" w:w="80"/>
              <w:left w:type="dxa" w:w="110"/>
              <w:bottom w:type="dxa" w:w="80"/>
              <w:right w:type="dxa" w:w="110"/>
            </w:tcMar>
          </w:tcPr>
          <w:p>
            <w:pPr>
              <w:spacing w:after="0" w:line="280"/>
              <w:jc w:val="center"/>
            </w:pPr>
            <w:r>
              <w:rPr>
                <w:rFonts w:ascii="Times New Roman" w:cs="Times New Roman" w:eastAsia="Times New Roman" w:hAnsi="Times New Roman"/>
                <w:b/>
                <w:bCs/>
                <w:sz w:val="22"/>
                <w:szCs w:val="22"/>
              </w:rPr>
              <w:t xml:space="preserve">Bước</w:t>
            </w:r>
          </w:p>
        </w:tc>
        <w:tc>
          <w:tcPr>
            <w:tcW w:type="dxa" w:w="6426"/>
            <w:shd w:fill="DCE6F1" w:color="auto" w:val="clear"/>
            <w:tcMar>
              <w:top w:type="dxa" w:w="80"/>
              <w:left w:type="dxa" w:w="110"/>
              <w:bottom w:type="dxa" w:w="80"/>
              <w:right w:type="dxa" w:w="110"/>
            </w:tcMar>
          </w:tcPr>
          <w:p>
            <w:pPr>
              <w:spacing w:after="0" w:line="280"/>
              <w:jc w:val="center"/>
            </w:pPr>
            <w:r>
              <w:rPr>
                <w:rFonts w:ascii="Times New Roman" w:cs="Times New Roman" w:eastAsia="Times New Roman" w:hAnsi="Times New Roman"/>
                <w:b/>
                <w:bCs/>
                <w:sz w:val="22"/>
                <w:szCs w:val="22"/>
              </w:rPr>
              <w:t xml:space="preserve">Lệnh</w:t>
            </w:r>
          </w:p>
        </w:tc>
      </w:tr>
      <w:tr>
        <w:tc>
          <w:tcPr>
            <w:tcW w:type="dxa" w:w="26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1. Cài thư viện</w:t>
            </w:r>
          </w:p>
        </w:tc>
        <w:tc>
          <w:tcPr>
            <w:tcW w:type="dxa" w:w="64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pip install -r requirements.txt</w:t>
            </w:r>
          </w:p>
        </w:tc>
      </w:tr>
      <w:tr>
        <w:tc>
          <w:tcPr>
            <w:tcW w:type="dxa" w:w="26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2. Tải dữ liệu</w:t>
            </w:r>
          </w:p>
        </w:tc>
        <w:tc>
          <w:tcPr>
            <w:tcW w:type="dxa" w:w="64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Tải train.csv, test.csv từ trang cuộc thi Kaggle, đặt vào thư mục data/</w:t>
            </w:r>
          </w:p>
        </w:tc>
      </w:tr>
      <w:tr>
        <w:tc>
          <w:tcPr>
            <w:tcW w:type="dxa" w:w="26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3. Chạy pipeline</w:t>
            </w:r>
          </w:p>
        </w:tc>
        <w:tc>
          <w:tcPr>
            <w:tcW w:type="dxa" w:w="64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python src/house_price_crisp.py --data-dir data --out-dir outputs</w:t>
            </w:r>
          </w:p>
        </w:tc>
      </w:tr>
      <w:tr>
        <w:tc>
          <w:tcPr>
            <w:tcW w:type="dxa" w:w="2600"/>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4. Chạy kiểm thử</w:t>
            </w:r>
          </w:p>
        </w:tc>
        <w:tc>
          <w:tcPr>
            <w:tcW w:type="dxa" w:w="6426"/>
            <w:tcMar>
              <w:top w:type="dxa" w:w="80"/>
              <w:left w:type="dxa" w:w="110"/>
              <w:bottom w:type="dxa" w:w="80"/>
              <w:right w:type="dxa" w:w="110"/>
            </w:tcMar>
          </w:tcPr>
          <w:p>
            <w:pPr>
              <w:spacing w:after="0" w:line="280"/>
            </w:pPr>
            <w:r>
              <w:rPr>
                <w:rFonts w:ascii="Times New Roman" w:cs="Times New Roman" w:eastAsia="Times New Roman" w:hAnsi="Times New Roman"/>
                <w:sz w:val="22"/>
                <w:szCs w:val="22"/>
              </w:rPr>
              <w:t xml:space="preserve">python tests/test_pipeline.py</w:t>
            </w:r>
          </w:p>
        </w:tc>
      </w:tr>
    </w:tbl>
    <w:p>
      <w:pPr>
        <w:pStyle w:val="Heading1"/>
        <w:spacing w:after="140" w:before="260"/>
      </w:pPr>
      <w:r>
        <w:rPr>
          <w:rFonts w:ascii="Times New Roman" w:cs="Times New Roman" w:eastAsia="Times New Roman" w:hAnsi="Times New Roman"/>
          <w:b/>
          <w:bCs/>
          <w:color w:val="1F3864"/>
          <w:sz w:val="30"/>
          <w:szCs w:val="30"/>
        </w:rPr>
        <w:t xml:space="preserve">PHỤ LỤC B – CẤU TRÚC FILE NỘP</w:t>
      </w:r>
    </w:p>
    <w:p>
      <w:pPr>
        <w:spacing w:after="120" w:line="300"/>
      </w:pPr>
      <w:r>
        <w:rPr>
          <w:rFonts w:ascii="Times New Roman" w:cs="Times New Roman" w:eastAsia="Times New Roman" w:hAnsi="Times New Roman"/>
          <w:b/>
          <w:bCs/>
          <w:sz w:val="24"/>
          <w:szCs w:val="24"/>
        </w:rPr>
        <w:t xml:space="preserve">lab02_house_price_&lt;hoten&gt;_&lt;masv&gt;.zip</w:t>
      </w:r>
    </w:p>
    <w:p>
      <w:pPr>
        <w:pStyle w:val="ListParagraph"/>
        <w:numPr>
          <w:ilvl w:val="0"/>
          <w:numId w:val="2"/>
        </w:numPr>
        <w:spacing w:after="80" w:line="300"/>
      </w:pPr>
      <w:r>
        <w:rPr>
          <w:rFonts w:ascii="Times New Roman" w:cs="Times New Roman" w:eastAsia="Times New Roman" w:hAnsi="Times New Roman"/>
          <w:sz w:val="24"/>
          <w:szCs w:val="24"/>
        </w:rPr>
        <w:t xml:space="preserve">README.md – hướng dẫn sử dụng</w:t>
      </w:r>
    </w:p>
    <w:p>
      <w:pPr>
        <w:pStyle w:val="ListParagraph"/>
        <w:numPr>
          <w:ilvl w:val="0"/>
          <w:numId w:val="2"/>
        </w:numPr>
        <w:spacing w:after="80" w:line="300"/>
      </w:pPr>
      <w:r>
        <w:rPr>
          <w:rFonts w:ascii="Times New Roman" w:cs="Times New Roman" w:eastAsia="Times New Roman" w:hAnsi="Times New Roman"/>
          <w:sz w:val="24"/>
          <w:szCs w:val="24"/>
        </w:rPr>
        <w:t xml:space="preserve">requirements.txt – danh sách thư viện</w:t>
      </w:r>
    </w:p>
    <w:p>
      <w:pPr>
        <w:pStyle w:val="ListParagraph"/>
        <w:numPr>
          <w:ilvl w:val="0"/>
          <w:numId w:val="2"/>
        </w:numPr>
        <w:spacing w:after="80" w:line="300"/>
      </w:pPr>
      <w:r>
        <w:rPr>
          <w:rFonts w:ascii="Times New Roman" w:cs="Times New Roman" w:eastAsia="Times New Roman" w:hAnsi="Times New Roman"/>
          <w:sz w:val="24"/>
          <w:szCs w:val="24"/>
        </w:rPr>
        <w:t xml:space="preserve">src/house_price_crisp.py – mã nguồn chính (6 bước CRISP-DM)</w:t>
      </w:r>
    </w:p>
    <w:p>
      <w:pPr>
        <w:pStyle w:val="ListParagraph"/>
        <w:numPr>
          <w:ilvl w:val="0"/>
          <w:numId w:val="2"/>
        </w:numPr>
        <w:spacing w:after="80" w:line="300"/>
      </w:pPr>
      <w:r>
        <w:rPr>
          <w:rFonts w:ascii="Times New Roman" w:cs="Times New Roman" w:eastAsia="Times New Roman" w:hAnsi="Times New Roman"/>
          <w:sz w:val="24"/>
          <w:szCs w:val="24"/>
        </w:rPr>
        <w:t xml:space="preserve">tests/test_pipeline.py – mã kiểm thử tự động</w:t>
      </w:r>
    </w:p>
    <w:p>
      <w:pPr>
        <w:pStyle w:val="ListParagraph"/>
        <w:numPr>
          <w:ilvl w:val="0"/>
          <w:numId w:val="2"/>
        </w:numPr>
        <w:spacing w:after="80" w:line="300"/>
      </w:pPr>
      <w:r>
        <w:rPr>
          <w:rFonts w:ascii="Times New Roman" w:cs="Times New Roman" w:eastAsia="Times New Roman" w:hAnsi="Times New Roman"/>
          <w:sz w:val="24"/>
          <w:szCs w:val="24"/>
        </w:rPr>
        <w:t xml:space="preserve">outputs/ – run_log.txt, model_comparison.csv, missing_report.csv, submission.csv, figures/</w:t>
      </w:r>
    </w:p>
    <w:p>
      <w:pPr>
        <w:pStyle w:val="ListParagraph"/>
        <w:numPr>
          <w:ilvl w:val="0"/>
          <w:numId w:val="2"/>
        </w:numPr>
        <w:spacing w:after="80" w:line="300"/>
      </w:pPr>
      <w:r>
        <w:rPr>
          <w:rFonts w:ascii="Times New Roman" w:cs="Times New Roman" w:eastAsia="Times New Roman" w:hAnsi="Times New Roman"/>
          <w:sz w:val="24"/>
          <w:szCs w:val="24"/>
        </w:rPr>
        <w:t xml:space="preserve">report/BaoCao_Lab02_House_Price.docx – báo cáo này</w:t>
      </w:r>
    </w:p>
    <w:p>
      <w:pPr>
        <w:pStyle w:val="Heading1"/>
        <w:spacing w:after="140" w:before="260"/>
      </w:pPr>
      <w:r>
        <w:rPr>
          <w:rFonts w:ascii="Times New Roman" w:cs="Times New Roman" w:eastAsia="Times New Roman" w:hAnsi="Times New Roman"/>
          <w:b/>
          <w:bCs/>
          <w:color w:val="1F3864"/>
          <w:sz w:val="30"/>
          <w:szCs w:val="30"/>
        </w:rPr>
        <w:t xml:space="preserve">TÀI LIỆU THAM KHẢO</w:t>
      </w:r>
    </w:p>
    <w:p>
      <w:pPr>
        <w:spacing w:after="120" w:line="300"/>
      </w:pPr>
      <w:r>
        <w:rPr>
          <w:rFonts w:ascii="Times New Roman" w:cs="Times New Roman" w:eastAsia="Times New Roman" w:hAnsi="Times New Roman"/>
          <w:sz w:val="24"/>
          <w:szCs w:val="24"/>
        </w:rPr>
        <w:t xml:space="preserve">[1] De Cock, D. (2011). Ames, Iowa: Alternative to the Boston Housing Data as an End of Semester Regression Project. Journal of Statistics Education, 19(3).</w:t>
      </w:r>
    </w:p>
    <w:p>
      <w:pPr>
        <w:spacing w:after="120" w:line="300"/>
      </w:pPr>
      <w:r>
        <w:rPr>
          <w:rFonts w:ascii="Times New Roman" w:cs="Times New Roman" w:eastAsia="Times New Roman" w:hAnsi="Times New Roman"/>
          <w:sz w:val="24"/>
          <w:szCs w:val="24"/>
        </w:rPr>
        <w:t xml:space="preserve">[2] Kaggle. House Prices – Advanced Regression Techniques. https://www.kaggle.com/competitions/house-prices-advanced-regression-techniques</w:t>
      </w:r>
    </w:p>
    <w:p>
      <w:pPr>
        <w:spacing w:after="120" w:line="300"/>
      </w:pPr>
      <w:r>
        <w:rPr>
          <w:rFonts w:ascii="Times New Roman" w:cs="Times New Roman" w:eastAsia="Times New Roman" w:hAnsi="Times New Roman"/>
          <w:sz w:val="24"/>
          <w:szCs w:val="24"/>
        </w:rPr>
        <w:t xml:space="preserve">[3] Chapman, P. et al. (2000). CRISP-DM 1.0: Step-by-step data mining guide.</w:t>
      </w:r>
    </w:p>
    <w:p>
      <w:pPr>
        <w:spacing w:after="120" w:line="300"/>
      </w:pPr>
      <w:r>
        <w:rPr>
          <w:rFonts w:ascii="Times New Roman" w:cs="Times New Roman" w:eastAsia="Times New Roman" w:hAnsi="Times New Roman"/>
          <w:sz w:val="24"/>
          <w:szCs w:val="24"/>
        </w:rPr>
        <w:t xml:space="preserve">[4] Pedregosa, F. et al. (2011). Scikit-learn: Machine Learning in Python. JMLR 12, 2825–2830.</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23f4b9bea4410d7978f270eef064385406ad31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2026-09-21T08:12:50.129Z</dcterms:created>
  <dcterms:modified xsi:type="dcterms:W3CDTF">2026-09-21T08:12:50.130Z</dcterms:modified>
</cp:coreProperties>
</file>

<file path=docProps/custom.xml><?xml version="1.0" encoding="utf-8"?>
<Properties xmlns="http://schemas.openxmlformats.org/officeDocument/2006/custom-properties" xmlns:vt="http://schemas.openxmlformats.org/officeDocument/2006/docPropsVTypes"/>
</file>