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branddocs_title"/>
        <w:id w:val="101"/>
        <w:placeholder>
          <w:docPart w:val="DefaultPlaceholder_Title"/>
        </w:placeholder>
        <w:text/>
      </w:sdtPr>
      <w:sdtEndPr/>
      <w:sdtContent>
        <w:p>
          <w:pPr>
            <w:pStyle w:val="BrandDocsCoverTitle"/>
          </w:pPr>
          <w:r>
            <w:rPr>
              <w:color w:val="16213F"/>
              <w:sz w:val="56"/>
              <w:b/>
            </w:rPr>
            <w:t>BrandDocs Brand Operations Review</w:t>
          </w:r>
        </w:p>
      </w:sdtContent>
    </w:sdt>
    <w:p>
      <w:pPr>
        <w:pStyle w:val="BrandDocsCoverSubtitle"/>
      </w:pPr>
      <w:r>
        <w:t>Annual Brand Operations Review - BrandDocs Corp (synthetic)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Document ID: DSK-BR-2026-014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June 5, 2026</w:t>
      </w:r>
    </w:p>
    <w:p>
      <w:pPr>
        <w:shd w:val="clear" w:color="auto" w:fill="16213F"/>
        <w:pBdr>
          <w:bottom w:val="single" w:sz="24" w:space="2" w:color="E0742B"/>
        </w:pBdr>
        <w:spacing w:before="60" w:after="18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4320"/>
            <wp:effectExtent l="0" t="0" r="0" b="0"/>
            <wp:wrapNone/>
            <wp:docPr id="400" name="BrandDocsCoverBackdrop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SpPr/>
                  <wps:spPr>
                    <ns2:xfrm>
                      <ns2:off x="0" y="0"/>
                      <ns2:ext cx="5943600" cy="274320"/>
                    </ns2:xfrm>
                    <ns2:prstGeom prst="rect">
                      <ns2:avLst/>
                    </ns2:prstGeom>
                    <ns2:solidFill>
                      <ns2:srgbClr val="16213F"/>
                    </ns2:solidFill>
                    <ns2:ln>
                      <ns2:noFill/>
                    </ns2:ln>
                  </wps:spPr>
                  <wps:bodyPr rtlIns="0" bIns="0"/>
                </wps:wsp>
              </ns2:graphicData>
            </ns2:graphic>
          </wp:anchor>
        </w:drawing>
      </w:r>
    </w:p>
    <w:tbl>
      <w:tblPr>
        <w:tblStyle w:val="BrandDocs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Brand health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Template coverage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Audit posture</w:t>
            </w:r>
          </w:p>
        </w:tc>
      </w:tr>
      <w:tr>
        <w:tc>
          <w:tcPr>
            <w:tcW w:type="dxa" w:w="2160"/>
          </w:tcPr>
          <w:p>
            <w:r>
              <w:fldChar w:fldCharType="begin" w:dirty="true"/>
            </w:r>
            <w:r>
              <w:instrText xml:space="preserve"> DOCPROPERTY BrandHealth \* MERGEFORMAT </w:instrText>
            </w:r>
            <w:r>
              <w:fldChar w:fldCharType="separate"/>
            </w:r>
            <w:r>
              <w:rPr>
                <w:color w:val="16213F"/>
                <w:rFonts w:ascii="Calibri" w:hAnsi="Calibri"/>
                <w:sz w:val="22"/>
                <w:szCs w:val="22"/>
              </w:rPr>
              <w:t xml:space="preserve">92</w:t>
            </w:r>
            <w:r>
              <w:fldChar w:fldCharType="end"/>
            </w:r>
          </w:p>
        </w:tc>
        <w:tc>
          <w:tcPr>
            <w:tcW w:type="dxa" w:w="2160"/>
          </w:tcPr>
          <w:p>
            <w:r>
              <w:fldChar w:fldCharType="begin" w:dirty="true"/>
            </w:r>
            <w:r>
              <w:instrText xml:space="preserve"> DOCPROPERTY FormatsAudited \* MERGEFORMAT </w:instrText>
            </w:r>
            <w:r>
              <w:fldChar w:fldCharType="separate"/>
            </w:r>
            <w:r>
              <w:rPr>
                <w:color w:val="16213F"/>
                <w:rFonts w:ascii="Calibri" w:hAnsi="Calibri"/>
                <w:sz w:val="22"/>
                <w:szCs w:val="22"/>
              </w:rPr>
              <w:t xml:space="preserve">3 formats</w:t>
            </w:r>
            <w:r>
              <w:fldChar w:fldCharType="end"/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Deep QA</w:t>
            </w:r>
          </w:p>
        </w:tc>
      </w:tr>
    </w:tbl>
    <w:p>
      <w:pPr>
        <w:spacing w:after="160"/>
      </w:pPr>
    </w:p>
    <w:tbl>
      <w:tblPr>
        <w:tblStyle w:val="BrandDocsTableCompact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0" w:lastRow="1" w:firstColumn="0" w:lastColumn="0" w:noHBand="1" w:noVBand="1"/>
        <w:tblLayout w:type="fixed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Templates audited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Roles captured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Open QA findings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color w:val="FFFFFF"/>
                <w:rFonts w:ascii="Calibri" w:hAnsi="Calibri"/>
                <w:sz w:val="22"/>
                <w:szCs w:val="22"/>
              </w:rPr>
              <w:t>Total checks passed</w:t>
            </w:r>
          </w:p>
        </w:tc>
        <w:tc>
          <w:tcPr>
            <w:tcW w:type="dxa" w:w="2160"/>
          </w:tcPr>
          <w:p>
            <w:r>
              <w:rPr>
                <w:color w:val="FFFFFF"/>
                <w:rFonts w:ascii="Calibri" w:hAnsi="Calibri"/>
                <w:sz w:val="22"/>
                <w:szCs w:val="22"/>
              </w:rPr>
              <w:t>27</w:t>
            </w:r>
          </w:p>
        </w:tc>
      </w:tr>
    </w:tbl>
    <w:p>
      <w:pPr>
        <w:spacing w:after="160"/>
      </w:pPr>
    </w:p>
    <w:p>
      <w:pPr>
        <w:pStyle w:val="TOCHeading"/>
      </w:pPr>
      <w:r>
        <w:t>Table of Contents</w:t>
      </w:r>
    </w:p>
    <w:p>
      <w:pPr>
        <w:spacing w:after="160"/>
      </w:pPr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3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3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4</w:t>
      </w:r>
      <w:r>
        <w:fldChar w:fldCharType="end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TOCHeading"/>
      </w:pPr>
      <w:r>
        <w:t>Table of Tables</w:t>
      </w:r>
    </w:p>
    <w:p>
      <w:pPr>
        <w:spacing w:after="160"/>
      </w:pPr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1. BrandDocs FY2026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2. BrandDocs risk and readiness matrix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3. BrandDocs program rollout matrix</w:t>
      </w:r>
      <w:r>
        <w:tab/>
      </w:r>
      <w:r>
        <w:fldChar w:fldCharType="begin"/>
      </w:r>
      <w:r>
        <w:instrText xml:space="preserve"> PAGEREF _Toc0007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7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TOCHeading"/>
      </w:pPr>
      <w:r>
        <w:t>Table of Figures</w:t>
      </w:r>
    </w:p>
    <w:p>
      <w:pPr>
        <w:spacing w:after="160"/>
      </w:pPr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Figure 1. BrandDocs Corp wordmark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2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Figure 2. BrandDocs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Heading1"/>
      </w:pPr>
      <w:r>
        <w:rPr>
          <w:rFonts w:ascii="Arial" w:hAnsi="Arial"/>
          <w:color w:val="16213F"/>
        </w:rPr>
        <w:t>Brand operating principles</w:t>
      </w:r>
    </w:p>
    <w:p>
      <w:pPr>
        <w:pStyle w:val="BrandDocsBulletL1"/>
      </w:pPr>
      <w:r>
        <w:rPr>
          <w:rFonts w:ascii="Calibri" w:hAnsi="Calibri"/>
          <w:color w:val="16213F"/>
          <w:sz w:val="22"/>
        </w:rPr>
        <w:t>Consistency before customization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One palette: navy, teal, amber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Type scale fixed across all templates</w:t>
      </w:r>
    </w:p>
    <w:p>
      <w:pPr>
        <w:pStyle w:val="BrandDocsBulletL1"/>
      </w:pPr>
      <w:r>
        <w:rPr>
          <w:rFonts w:ascii="Calibri" w:hAnsi="Calibri"/>
          <w:color w:val="16213F"/>
          <w:sz w:val="22"/>
        </w:rPr>
        <w:t>Templates are contracts, not suggestions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Cover, contents, and indices are preserved</w:t>
      </w:r>
    </w:p>
    <w:p>
      <w:pPr>
        <w:pStyle w:val="BrandDocsBulletL2"/>
      </w:pPr>
      <w:r>
        <w:rPr>
          <w:rFonts w:ascii="Calibri" w:hAnsi="Calibri"/>
          <w:color w:val="16213F"/>
          <w:sz w:val="22"/>
        </w:rPr>
        <w:t>Body content is regenerated per request</w:t>
      </w:r>
    </w:p>
    <w:p>
      <w:pPr>
        <w:pStyle w:val="Heading2"/>
      </w:pPr>
      <w:r>
        <w:rPr>
          <w:rFonts w:ascii="Arial" w:hAnsi="Arial"/>
          <w:color w:val="16213F"/>
        </w:rPr>
        <w:t>Rollout sequence</w:t>
      </w:r>
    </w:p>
    <w:p>
      <w:pPr>
        <w:pStyle w:val="BrandDocsNumberL1"/>
      </w:pPr>
      <w:r>
        <w:rPr>
          <w:rFonts w:ascii="Calibri" w:hAnsi="Calibri"/>
          <w:color w:val="16213F"/>
          <w:sz w:val="22"/>
        </w:rPr>
        <w:t>Extract the template surface and brand profile</w:t>
      </w:r>
    </w:p>
    <w:p>
      <w:pPr>
        <w:pStyle w:val="BrandDocsNumberL1"/>
      </w:pPr>
      <w:r>
        <w:rPr>
          <w:rFonts w:ascii="Calibri" w:hAnsi="Calibri"/>
          <w:color w:val="16213F"/>
          <w:sz w:val="22"/>
        </w:rPr>
        <w:t>Review the captured slots and index front matter</w:t>
      </w:r>
    </w:p>
    <w:p>
      <w:pPr>
        <w:pStyle w:val="BrandDocsNumberL1"/>
      </w:pPr>
      <w:r>
        <w:rPr>
          <w:rFonts w:ascii="Calibri" w:hAnsi="Calibri"/>
          <w:color w:val="16213F"/>
          <w:sz w:val="22"/>
        </w:rPr>
        <w:t>Generate the branded document</w:t>
      </w:r>
    </w:p>
    <w:p>
      <w:pPr>
        <w:pStyle w:val="Heading2"/>
      </w:pPr>
      <w:r>
        <w:rPr>
          <w:rFonts w:ascii="Arial" w:hAnsi="Arial"/>
          <w:color w:val="16213F"/>
        </w:rPr>
        <w:t>BrandDocs quarterly revenue</w:t>
      </w:r>
    </w:p>
    <w:tbl>
      <w:tblPr>
        <w:tblStyle w:val="BrandDocsTable"/>
        <w:tblW w:type="auto" w:w="0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Region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Q1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$3.20M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North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Q2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$3.48M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+8.8%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South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Q3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$3.91M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+12.4%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EMEA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Q4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$4.25M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+8.7%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APAC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FY2026 quarterly revenue by region (synthetic data).</w:t>
      </w:r>
    </w:p>
    <w:p>
      <w:pPr>
        <w:pStyle w:val="Heading2"/>
      </w:pPr>
      <w:r>
        <w:t>BrandDocs wordmark</w:t>
      </w:r>
    </w:p>
    <w:p>
      <w:pPr>
        <w:spacing w:after="160"/>
        <w:jc w:val="center"/>
      </w:pPr>
      <w:r>
        <w:drawing>
          <wp:inline distT="0" distB="0" distL="0" distR="0">
            <wp:extent cx="2743200" cy="685800"/>
            <wp:effectExtent l="0" t="0" r="0" b="0"/>
            <wp:docPr id="100" name="BrandDoc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43200" cy="685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Corp wordmark (synthetic).</w:t>
      </w:r>
    </w:p>
    <w:p>
      <w:pPr>
        <w:pStyle w:val="BrandDocsCallout"/>
      </w:pPr>
      <w:r>
        <w:rPr>
          <w:rStyle w:val="BrandDocsLeadIn"/>
          <w:color w:val="16213F"/>
        </w:rPr>
        <w:t xml:space="preserve">Note. </w:t>
      </w:r>
      <w:r>
        <w:rPr>
          <w:color w:val="16213F"/>
        </w:rPr>
        <w:t>BrandDocs Corp is a synthetic, fictional company used to demonstrate an on-brand internal brief. All figures, names, and regions in this template are illustrative.</w:t>
      </w:r>
    </w:p>
    <w:p>
      <w:pPr>
        <w:pStyle w:val="BrandDocsQuote"/>
      </w:pPr>
      <w:r>
        <w:rPr>
          <w:color w:val="16213F"/>
        </w:rPr>
        <w:t xml:space="preserve">Design rule: preserve proven structure only while it </w:t>
      </w:r>
      <w:r>
        <w:rPr>
          <w:rStyle w:val="BrandDocsEmphasis"/>
          <w:color w:val="2B7CD3"/>
        </w:rPr>
        <w:t>improves the final artifact</w:t>
      </w:r>
      <w:r>
        <w:rPr>
          <w:color w:val="16213F"/>
        </w:rPr>
        <w:t>. If visual QA shows blank space, stale content, or broken flow, repair the composition rather than copying the template blindly.</w:t>
      </w:r>
    </w:p>
    <w:p>
      <w:pPr>
        <w:pStyle w:val="Heading2"/>
      </w:pPr>
      <w:r>
        <w:rPr>
          <w:rFonts w:ascii="Arial" w:hAnsi="Arial"/>
          <w:color w:val="16213F"/>
        </w:rPr>
        <w:t>Readiness and risk matrix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The matrix below gives the template a realistic governance surface: it mixes status, owner, signal, and mitigation text in a branded table.</w:t>
      </w:r>
    </w:p>
    <w:tbl>
      <w:tblPr>
        <w:tblStyle w:val="BrandDocs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9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Area</w:t>
            </w:r>
          </w:p>
        </w:tc>
        <w:tc>
          <w:tcPr>
            <w:tcW w:type="dxa" w:w="19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Signal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Owner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Mitigation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Visual QA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Renderer drift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Platform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Smoke-test DOCX/PPTX/XLSX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Comprehension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Missing inventory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Model Ops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Fail closed on empty refs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Brand fidelity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Style fallback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Design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Re-assert captured styles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Delivery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Stale cache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Engineering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Refresh visible field results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risk and readiness matrix (synthetic).</w:t>
      </w:r>
    </w:p>
    <w:p>
      <w:pPr>
        <w:pStyle w:val="Heading2"/>
      </w:pPr>
      <w:r>
        <w:rPr>
          <w:rFonts w:ascii="Arial" w:hAnsi="Arial"/>
          <w:color w:val="16213F"/>
        </w:rPr>
        <w:t>BrandDocs footnote demo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BrandDocs Corp</w:t>
      </w:r>
      <w:r>
        <w:rPr>
          <w:rFonts w:ascii="Calibri" w:hAnsi="Calibri"/>
          <w:color w:val="16213F"/>
          <w:sz w:val="22"/>
        </w:rPr>
        <w:t xml:space="preserve"> is a registered placeholder brand</w:t>
      </w:r>
      <w:r>
        <w:rPr>
          <w:rStyle w:val="FootnoteReference"/>
        </w:rPr>
        <w:footnoteReference w:id="2"/>
      </w:r>
      <w:r>
        <w:rPr>
          <w:rFonts w:ascii="Calibri" w:hAnsi="Calibri"/>
          <w:color w:val="16213F"/>
          <w:sz w:val="22"/>
        </w:rPr>
        <w:t xml:space="preserve"> used throughout this template.</w:t>
      </w:r>
    </w:p>
    <w:p>
      <w:pPr>
        <w:pStyle w:val="Heading1"/>
      </w:pPr>
      <w:r>
        <w:rPr>
          <w:rFonts w:ascii="Arial" w:hAnsi="Arial"/>
          <w:color w:val="16213F"/>
        </w:rPr>
        <w:t>Overview</w:t>
      </w:r>
    </w:p>
    <w:p>
      <w:pPr>
        <w:pStyle w:val="BrandDocsLead"/>
      </w:pPr>
      <w:r>
        <w:rPr>
          <w:rFonts w:ascii="Calibri" w:hAnsi="Calibri"/>
          <w:color w:val="2B7CD3"/>
          <w:sz w:val="26"/>
        </w:rPr>
        <w:t>A complete, on-brand BrandDocs Corp template, captured and ready to drive branded generation.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This brief summarizes how the BrandDocs Corp brand system is applied across internal documents. It exists to show a complete, on-brand template; a generation run replaces this body with the requested content.</w:t>
      </w:r>
    </w:p>
    <w:p>
      <w:pPr>
        <w:pStyle w:val="Heading2"/>
      </w:pPr>
      <w:r>
        <w:rPr>
          <w:rFonts w:ascii="Arial" w:hAnsi="Arial"/>
          <w:color w:val="16213F"/>
        </w:rPr>
        <w:t>Methodology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Figures are drawn from a synthetic operations dataset maintained by the BrandDocs brand office. Revenue, growth, and regional splits are illustrative and should not be read as real performance data.</w:t>
      </w:r>
    </w:p>
    <w:p>
      <w:pPr>
        <w:spacing w:after="160"/>
      </w:pPr>
      <w:r>
        <w:rPr>
          <w:rFonts w:ascii="Arial" w:hAnsi="Arial"/>
          <w:color w:val="2B7CD3"/>
          <w:sz w:val="36"/>
        </w:rPr>
        <w:t>Key takeaways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 xml:space="preserve">Templates capture conventions, not content; the accent reserved for </w:t>
      </w:r>
      <w:r>
        <w:rPr>
          <w:rFonts w:ascii="Calibri" w:hAnsi="Calibri"/>
          <w:color w:val="C24D2B"/>
          <w:sz w:val="22"/>
        </w:rPr>
        <w:t>product callouts</w:t>
      </w:r>
      <w:r>
        <w:rPr>
          <w:rFonts w:ascii="Calibri" w:hAnsi="Calibri"/>
          <w:color w:val="16213F"/>
          <w:sz w:val="22"/>
        </w:rPr>
        <w:t xml:space="preserve"> never bleeds into body copy.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 xml:space="preserve">Full brand guidelines: </w:t>
      </w:r>
      <w:hyperlink r:id="rId13">
        <w:r>
          <w:rPr>
            <w:rStyle w:val="Hyperlink"/>
            <w:rFonts w:ascii="Calibri" w:hAnsi="Calibri"/>
            <w:color w:val="16213F"/>
            <w:sz w:val="22"/>
            <w:szCs w:val="22"/>
          </w:rPr>
          <w:t xml:space="preserve">brand.example.com</w:t>
        </w:r>
      </w:hyperlink>
    </w:p>
    <w:p>
      <w:pPr>
        <w:spacing w:after="160"/>
        <w:sectPr>
          <w:headerReference w:type="default" r:id="rId14"/>
          <w:footerReference w:type="default" r:id="rId15"/>
          <w:headerReference w:type="first" r:id="rId16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BrandDocs in brief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BrandDocs Corp is a synthetic brand used to exercise the on-brand document engine end to end. The template carries a cover, a contents block, indexed front matter, branded tables, figures, callouts, and a landscape appendix.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Everything visible here is illustrative. A generation run preserves the proven structure and replaces the body with the requested content while keeping the captured brand styles, palette, and typography intact.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The brand profile records what the template proves: named styles, theme colors and fonts, table conventions, list numbering, paragraph spacing, cover slots, and the index front matter that regenerates from new content.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Every captured fact is verified against this file before it is ever applied, so a generated document can only use what the template itself defines. That is the whole contract, in two columns.</w:t>
      </w:r>
    </w:p>
    <w:p>
      <w:pPr>
        <w:spacing w:after="160"/>
        <w:sectPr>
          <w:type w:val="continuous"/>
          <w:pgSz w:w="12240" w:h="15840"/>
          <w:pgMar w:top="1440" w:right="1800" w:bottom="1440" w:left="1800" w:header="720" w:footer="720" w:gutter="0"/>
          <w:docGrid w:linePitch="360"/>
          <w:cols w:num="2" w:space="720" w:sep="1" w:equalWidth="1"/>
        </w:sectPr>
      </w:pPr>
    </w:p>
    <w:p>
      <w:pPr>
        <w:pStyle w:val="Heading1"/>
      </w:pPr>
      <w:r>
        <w:t>BrandDocs landscape appendix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This appendix sits in a landscape section. It carries a wide program rollout matrix and a second brand figure that the portrait body cannot fit. Demo content the generator may clear.</w:t>
      </w:r>
    </w:p>
    <w:p>
      <w:pPr>
        <w:pStyle w:val="Heading2"/>
      </w:pPr>
      <w:r>
        <w:t>Program rollout matrix</w:t>
      </w:r>
    </w:p>
    <w:tbl>
      <w:tblPr>
        <w:tblStyle w:val="BrandDocs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rPr>
          <w:tblHeader/>
        </w:trPr>
        <w:tc>
          <w:tcPr>
            <w:tcW w:type="dxa" w:w="28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Workstream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Owner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Q1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Q2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Q3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Q4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Template surface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Brand Office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Scope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QA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Ship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Profile extraction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Platform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Spec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Verify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Tune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Generation engine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Platform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Design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Verify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At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Rollout &amp; training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Enablement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Plan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Draft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Pilot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Launch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Planned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FY2026 program rollout matrix (synthetic).</w:t>
      </w:r>
    </w:p>
    <w:p>
      <w:pPr>
        <w:pStyle w:val="Heading2"/>
      </w:pPr>
      <w:r>
        <w:t>BrandDocs growth curve</w:t>
      </w:r>
    </w:p>
    <w:p>
      <w:pPr>
        <w:spacing w:after="160"/>
        <w:jc w:val="center"/>
      </w:pPr>
      <w:r>
        <w:drawing>
          <wp:inline distT="0" distB="0" distL="0" distR="0">
            <wp:extent cx="2286000" cy="952500"/>
            <wp:effectExtent l="0" t="0" r="0" b="0"/>
            <wp:docPr id="300" name="BrandDocsGrowth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GrowthFigur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286000" cy="952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BrandDocs Corp growth curve (synthetic illustration).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BrandDocs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914400" cy="228600"/>
          <wp:effectExtent l="0" t="0" r="0" b="0"/>
          <wp:docPr id="200" name="BrandDoc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BrandDoc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914400" cy="2286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2" w:color="E0742B"/>
      </w:pBdr>
    </w:pPr>
    <w:r>
      <w:rPr>
        <w:rFonts w:ascii="Arial" w:hAnsi="Arial"/>
        <w:color w:val="16213F"/>
      </w:rPr>
      <w:t>BrandDocs Corp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Cs w:val="22"/>
        <w:lang w:val="en-US" w:eastAsia="en-US" w:bidi="ar-SA"/>
        <w:rFonts w:ascii="Calibri" w:hAnsi="Calibri"/>
        <w:color w:val="16213F"/>
        <w:sz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240" w:after="120"/>
      <w:outlineLvl w:val="0"/>
    </w:pPr>
    <w:rPr>
      <w:rFonts w:ascii="Arial" w:hAnsi="Arial"/>
      <w:b/>
      <w:color w:val="16213F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/>
      <w:outlineLvl w:val="1"/>
    </w:pPr>
    <w:rPr>
      <w:rFonts w:ascii="Arial" w:hAnsi="Arial"/>
      <w:b/>
      <w:color w:val="16213F"/>
      <w:sz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40" w:after="120"/>
      <w:outlineLvl w:val="2"/>
    </w:pPr>
    <w:rPr>
      <w:rFonts w:ascii="Arial" w:hAnsi="Arial"/>
      <w:b/>
      <w:color w:val="2B7CD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BrandDocsSectionNumber" w:customStyle="1">
    <w:name w:val="BrandDocs Section Number"/>
    <w:basedOn w:val="Normal"/>
    <w:qFormat/>
    <w:pPr/>
    <w:rPr>
      <w:b/>
      <w:color w:val="16213F"/>
      <w:sz w:val="22"/>
    </w:rPr>
  </w:style>
  <w:style w:type="paragraph" w:styleId="BrandDocsLead" w:customStyle="1">
    <w:name w:val="BrandDocs Lead"/>
    <w:basedOn w:val="Normal"/>
    <w:qFormat/>
    <w:pPr/>
    <w:rPr>
      <w:color w:val="2B7CD3"/>
      <w:sz w:val="26"/>
    </w:rPr>
  </w:style>
  <w:style w:type="character" w:styleId="BrandDocsEmphasis" w:customStyle="1">
    <w:name w:val="BrandDocs Emphasis"/>
    <w:uiPriority w:val="1"/>
    <w:qFormat/>
    <w:rPr>
      <w:b/>
      <w:color w:val="2B7CD3"/>
    </w:rPr>
  </w:style>
  <w:style w:type="character" w:styleId="BrandDocsLeadIn" w:customStyle="1">
    <w:name w:val="BrandDocs Lead-in"/>
    <w:uiPriority w:val="1"/>
    <w:qFormat/>
    <w:rPr>
      <w:b/>
      <w:smallCaps/>
      <w:color w:val="16213F"/>
    </w:rPr>
  </w:style>
  <w:style w:type="character" w:styleId="Hyperlink">
    <w:name w:val="Hyperlink"/>
    <w:uiPriority w:val="99"/>
    <w:rPr>
      <w:color w:val="2B7CD3"/>
      <w:u w:val="single"/>
    </w:rPr>
  </w:style>
  <w:style w:type="character" w:styleId="FollowedHyperlink">
    <w:name w:val="FollowedHyperlink"/>
    <w:uiPriority w:val="99"/>
    <w:rPr>
      <w:color w:val="16213F"/>
      <w:u w:val="single"/>
    </w:rPr>
  </w:style>
  <w:style w:type="paragraph" w:styleId="BrandDocsCoverTitle" w:customStyle="1">
    <w:name w:val="BrandDocs Cover Title"/>
    <w:basedOn w:val="Normal"/>
    <w:qFormat/>
    <w:pPr/>
    <w:rPr>
      <w:b/>
      <w:color w:val="16213F"/>
      <w:sz w:val="56"/>
    </w:rPr>
  </w:style>
  <w:style w:type="paragraph" w:styleId="BrandDocsCoverSubtitle" w:customStyle="1">
    <w:name w:val="BrandDocs Cover Subtitle"/>
    <w:basedOn w:val="Normal"/>
    <w:qFormat/>
    <w:pPr/>
    <w:rPr>
      <w:color w:val="2B7CD3"/>
      <w:sz w:val="28"/>
    </w:rPr>
  </w:style>
  <w:style w:type="paragraph" w:styleId="BrandDocsCallout" w:customStyle="1">
    <w:name w:val="BrandDocs Callout"/>
    <w:basedOn w:val="Normal"/>
    <w:qFormat/>
    <w:pPr>
      <w:shd w:val="clear" w:color="auto" w:fill="EAF1FF"/>
      <w:pBdr>
        <w:top w:val="single" w:sz="12" w:space="6" w:color="2B7CD3"/>
        <w:left w:val="single" w:sz="24" w:space="6" w:color="E0742B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BrandDocsQuote" w:customStyle="1">
    <w:name w:val="BrandDocs Quote"/>
    <w:basedOn w:val="Normal"/>
    <w:qFormat/>
    <w:pPr>
      <w:shd w:val="clear" w:color="auto" w:fill="DCE7FF"/>
      <w:pBdr>
        <w:top w:val="single" w:sz="12" w:space="6" w:color="16213F"/>
        <w:left w:val="single" w:sz="24" w:space="6" w:color="E0742B"/>
        <w:bottom w:val="single" w:sz="12" w:space="6" w:color="16213F"/>
        <w:right w:val="single" w:sz="12" w:space="6" w:color="16213F"/>
      </w:pBdr>
      <w:spacing w:before="120" w:after="120"/>
    </w:pPr>
    <w:rPr>
      <w:color w:val="16213F"/>
      <w:sz w:val="24"/>
    </w:rPr>
  </w:style>
  <w:style w:type="paragraph" w:styleId="BrandDocsBulletL1" w:customStyle="1">
    <w:name w:val="BrandDocs Bullet L1"/>
    <w:basedOn w:val="ListParagraph"/>
    <w:qFormat/>
    <w:pPr>
      <w:numPr>
        <w:ilvl w:val="0"/>
        <w:numId w:val="1"/>
      </w:numPr>
    </w:pPr>
  </w:style>
  <w:style w:type="paragraph" w:styleId="BrandDocsBulletL2" w:customStyle="1">
    <w:name w:val="BrandDocs Bullet L2"/>
    <w:basedOn w:val="ListParagraph"/>
    <w:qFormat/>
    <w:pPr>
      <w:numPr>
        <w:ilvl w:val="1"/>
        <w:numId w:val="2"/>
      </w:numPr>
    </w:pPr>
  </w:style>
  <w:style w:type="paragraph" w:styleId="BrandDocsNumberL1" w:customStyle="1">
    <w:name w:val="BrandDocs Number L1"/>
    <w:basedOn w:val="ListParagraph"/>
    <w:qFormat/>
    <w:pPr>
      <w:numPr>
        <w:ilvl w:val="0"/>
        <w:numId w:val="3"/>
      </w:numPr>
    </w:pPr>
  </w:style>
  <w:style w:type="table" w:styleId="BrandDocsTable" w:customStyle="1">
    <w:name w:val="BrandDoc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  <w:style w:type="table" w:styleId="BrandDocsTableCompact" w:customStyle="1">
    <w:name w:val="BrandDocs Table Compact"/>
    <w:basedOn w:val="TableNormal"/>
    <w:uiPriority w:val="99"/>
    <w:tblPr>
      <w:tblBorders>
        <w:top w:val="single" w:sz="2" w:space="0" w:color="16213F"/>
        <w:bottom w:val="single" w:sz="2" w:space="0" w:color="16213F"/>
        <w:insideH w:val="single" w:sz="2" w:space="0" w:color="16213F"/>
      </w:tblBorders>
      <w:tblCellMar>
        <w:top w:w="40" w:type="dxa"/>
        <w:bottom w:w="40" w:type="dxa"/>
        <w:left w:w="80" w:type="dxa"/>
        <w:right w:w="80" w:type="dxa"/>
      </w:tblCellMar>
    </w:tblPr>
    <w:rPr>
      <w:color w:val="16213F"/>
    </w:rPr>
    <w:tblStylePr w:type="lastRow">
      <w:rPr>
        <w:b/>
        <w:color w:val="FFFFFF"/>
      </w:rPr>
      <w:tcPr>
        <w:shd w:val="clear" w:color="auto" w:fill="2B7CD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ustom-properties" Target="../docProps/custom.xml"/><Relationship Id="rId13" Type="http://schemas.openxmlformats.org/officeDocument/2006/relationships/hyperlink" Target="https://example.com/brand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6213F"/>
      </a:dk1>
      <a:lt1>
        <a:srgbClr val="EAF1FF"/>
      </a:lt1>
      <a:dk2>
        <a:srgbClr val="2B7CD3"/>
      </a:dk2>
      <a:lt2>
        <a:srgbClr val="EAF1FF"/>
      </a:lt2>
      <a:accent1>
        <a:srgbClr val="2B7CD3"/>
      </a:accent1>
      <a:accent2>
        <a:srgbClr val="E0742B"/>
      </a:accent2>
      <a:accent3>
        <a:srgbClr val="DCE7FF"/>
      </a:accent3>
      <a:accent4>
        <a:srgbClr val="E0742B"/>
      </a:accent4>
      <a:accent5>
        <a:srgbClr val="2B7CD3"/>
      </a:accent5>
      <a:accent6>
        <a:srgbClr val="E0742B"/>
      </a:accent6>
      <a:hlink>
        <a:srgbClr val="2B7CD3"/>
      </a:hlink>
      <a:folHlink>
        <a:srgbClr val="E0742B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Health">
    <vt:lpwstr>92</vt:lpwstr>
  </property>
  <property fmtid="{D5CDD505-2E9C-101B-9397-08002B2CF9AE}" pid="3" name="FormatsAudited">
    <vt:lpwstr>3 formats</vt:lpwstr>
  </property>
</Properties>
</file>