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9F7F6A">
      <w:pPr>
        <w:spacing w:before="200"/>
        <w:jc w:val="center"/>
        <w:rPr>
          <w:rFonts w:ascii="黑体" w:hAnsi="黑体" w:eastAsia="黑体"/>
          <w:b/>
          <w:color w:val="C00000"/>
          <w:sz w:val="44"/>
          <w:szCs w:val="44"/>
        </w:rPr>
      </w:pPr>
      <w:r>
        <w:rPr>
          <w:rFonts w:hint="eastAsia" w:ascii="黑体" w:hAnsi="黑体" w:eastAsia="黑体"/>
          <w:b/>
          <w:color w:val="C00000"/>
          <w:sz w:val="44"/>
          <w:szCs w:val="44"/>
          <w:lang w:val="en-US" w:eastAsia="zh-CN"/>
        </w:rPr>
        <w:t>数学建模国赛{问题求解</w:t>
      </w:r>
      <w:bookmarkStart w:id="0" w:name="_GoBack"/>
      <w:bookmarkEnd w:id="0"/>
      <w:r>
        <w:rPr>
          <w:rFonts w:hint="eastAsia" w:ascii="黑体" w:hAnsi="黑体" w:eastAsia="黑体"/>
          <w:b/>
          <w:color w:val="C00000"/>
          <w:sz w:val="44"/>
          <w:szCs w:val="44"/>
          <w:lang w:val="en-US" w:eastAsia="zh-CN"/>
        </w:rPr>
        <w:t>}万能</w:t>
      </w:r>
      <w:r>
        <w:rPr>
          <w:rFonts w:ascii="黑体" w:hAnsi="黑体" w:eastAsia="黑体"/>
          <w:b/>
          <w:color w:val="C00000"/>
          <w:sz w:val="44"/>
          <w:szCs w:val="44"/>
        </w:rPr>
        <w:t>提示词</w:t>
      </w:r>
    </w:p>
    <w:p w14:paraId="3B6D7698">
      <w:pPr>
        <w:spacing w:before="200"/>
        <w:jc w:val="center"/>
        <w:rPr>
          <w:sz w:val="36"/>
          <w:szCs w:val="36"/>
        </w:rPr>
      </w:pPr>
      <w:r>
        <w:rPr>
          <w:rFonts w:ascii="黑体" w:hAnsi="黑体" w:eastAsia="黑体"/>
          <w:b/>
          <w:color w:val="C00000"/>
          <w:sz w:val="36"/>
          <w:szCs w:val="36"/>
        </w:rPr>
        <w:t>（</w:t>
      </w:r>
      <w:r>
        <w:rPr>
          <w:rFonts w:hint="eastAsia" w:ascii="黑体" w:hAnsi="黑体" w:eastAsia="黑体"/>
          <w:b/>
          <w:color w:val="C00000"/>
          <w:sz w:val="36"/>
          <w:szCs w:val="36"/>
          <w:lang w:val="en-US" w:eastAsia="zh-CN"/>
        </w:rPr>
        <w:t>检测/修改/撰写</w:t>
      </w:r>
      <w:r>
        <w:rPr>
          <w:rFonts w:ascii="黑体" w:hAnsi="黑体" w:eastAsia="黑体"/>
          <w:b/>
          <w:color w:val="C00000"/>
          <w:sz w:val="36"/>
          <w:szCs w:val="36"/>
        </w:rPr>
        <w:t>三模式完整版）</w:t>
      </w:r>
    </w:p>
    <w:p w14:paraId="42727296">
      <w:r>
        <w:rPr>
          <w:rFonts w:ascii="宋体" w:hAnsi="宋体" w:eastAsia="宋体"/>
          <w:b/>
          <w:sz w:val="22"/>
        </w:rPr>
        <w:t>第3步：基于国奖版推荐模型和预处理后数据，进行建模、编程、求解+标准化交接包。支持检测评估模式。</w:t>
      </w:r>
    </w:p>
    <w:p w14:paraId="38EDEAAD">
      <w:r>
        <w:rPr>
          <w:rFonts w:ascii="宋体" w:hAnsi="宋体" w:eastAsia="宋体"/>
          <w:b/>
          <w:color w:val="E65100"/>
          <w:sz w:val="22"/>
        </w:rPr>
        <w:t>【通用规范引用·V6.0】排版格式、公式零乱码、流程图与示意图、HTML要点解析、三模式运行机制、检测评估+自动整改、HTML整改报告格式等通用规范，详见《超级提示词V6.0》。V6.0核心：①三模式运行(串联+独立+检测整改) ②检测+自动整改一体化 ③标准化交接包 ④自动检测适配 ⑤章节对标优秀论文 ⑥C题数据侧写 ⑦示意图+算法步骤表+完整模型给出 ⑧检测整改强制输出HTML报告+整改后成果。</w:t>
      </w:r>
    </w:p>
    <w:p w14:paraId="6A516F66">
      <w:pPr>
        <w:jc w:val="center"/>
      </w:pPr>
      <w:r>
        <w:rPr>
          <w:rFonts w:ascii="宋体" w:hAnsi="宋体" w:eastAsia="宋体"/>
          <w:b w:val="0"/>
          <w:color w:val="1F497D"/>
          <w:sz w:val="18"/>
        </w:rPr>
        <w:t>──────────────────────────────────────────────────</w:t>
      </w:r>
    </w:p>
    <w:p w14:paraId="06720519">
      <w:r>
        <w:rPr>
          <w:rFonts w:ascii="黑体" w:hAnsi="黑体" w:eastAsia="黑体"/>
          <w:b/>
          <w:color w:val="2E75B6"/>
          <w:sz w:val="26"/>
        </w:rPr>
        <w:t>【三模式运行机制】V6.0核心</w:t>
      </w:r>
    </w:p>
    <w:p w14:paraId="024EC836">
      <w:r>
        <w:rPr>
          <w:rFonts w:ascii="宋体" w:hAnsi="宋体" w:eastAsia="宋体"/>
          <w:b/>
          <w:sz w:val="22"/>
        </w:rPr>
        <w:t>本提示词支持三种运行模式，自动检测适配，确保串联性、独立性、检测评估能力三保障：</w:t>
      </w:r>
    </w:p>
    <w:p w14:paraId="307F465B">
      <w:r>
        <w:rPr>
          <w:rFonts w:ascii="黑体" w:hAnsi="黑体" w:eastAsia="黑体"/>
          <w:b/>
          <w:color w:val="404040"/>
          <w:sz w:val="23"/>
        </w:rPr>
        <w:t>模式一：串联模式（按顺序运行时自动启用）</w:t>
      </w:r>
    </w:p>
    <w:p w14:paraId="12A03778">
      <w:pPr>
        <w:ind w:left="400"/>
      </w:pPr>
      <w:r>
        <w:rPr>
          <w:rFonts w:ascii="宋体" w:hAnsi="宋体" w:eastAsia="宋体"/>
          <w:b w:val="0"/>
          <w:sz w:val="21"/>
        </w:rPr>
        <w:t>• 运行开始时自动检测是否存在「赛题分析+数据预处理标准化交接包」</w:t>
      </w:r>
    </w:p>
    <w:p w14:paraId="796372E9">
      <w:pPr>
        <w:ind w:left="400"/>
      </w:pPr>
      <w:r>
        <w:rPr>
          <w:rFonts w:ascii="宋体" w:hAnsi="宋体" w:eastAsia="宋体"/>
          <w:b w:val="0"/>
          <w:sz w:val="21"/>
        </w:rPr>
        <w:t>• 检测到交接包 → 自动读取其中的国奖级推荐模型、创新点、预处理方案等核心数据，基于其继续执行</w:t>
      </w:r>
    </w:p>
    <w:p w14:paraId="763C13DC">
      <w:pPr>
        <w:ind w:left="400"/>
      </w:pPr>
      <w:r>
        <w:rPr>
          <w:rFonts w:ascii="宋体" w:hAnsi="宋体" w:eastAsia="宋体"/>
          <w:b w:val="0"/>
          <w:sz w:val="21"/>
        </w:rPr>
        <w:t>• 严格遵循前一步给出的国奖级建模方案，不得随意降级或更换模型</w:t>
      </w:r>
    </w:p>
    <w:p w14:paraId="7A4131D8">
      <w:pPr>
        <w:ind w:left="400"/>
      </w:pPr>
      <w:r>
        <w:rPr>
          <w:rFonts w:ascii="宋体" w:hAnsi="宋体" w:eastAsia="宋体"/>
          <w:b w:val="0"/>
          <w:sz w:val="21"/>
        </w:rPr>
        <w:t>• 本步完成后输出「建模求解标准化交接包」，供下一步读取</w:t>
      </w:r>
    </w:p>
    <w:p w14:paraId="16447C2E">
      <w:r>
        <w:rPr>
          <w:rFonts w:ascii="黑体" w:hAnsi="黑体" w:eastAsia="黑体"/>
          <w:b/>
          <w:color w:val="404040"/>
          <w:sz w:val="23"/>
        </w:rPr>
        <w:t>模式二：独立模式（单独使用本提示词时自动启用）</w:t>
      </w:r>
    </w:p>
    <w:p w14:paraId="17934F85">
      <w:pPr>
        <w:ind w:left="400"/>
      </w:pPr>
      <w:r>
        <w:rPr>
          <w:rFonts w:ascii="宋体" w:hAnsi="宋体" w:eastAsia="宋体"/>
          <w:b w:val="0"/>
          <w:sz w:val="21"/>
        </w:rPr>
        <w:t>• 未检测到前一步交接包 → 自动进入独立模式，无需依托任何前序提示词</w:t>
      </w:r>
    </w:p>
    <w:p w14:paraId="30B6D2B9">
      <w:pPr>
        <w:ind w:left="400"/>
      </w:pPr>
      <w:r>
        <w:rPr>
          <w:rFonts w:ascii="宋体" w:hAnsi="宋体" w:eastAsia="宋体"/>
          <w:b w:val="0"/>
          <w:sz w:val="21"/>
        </w:rPr>
        <w:t>• 独立模式下自行完成前置工作：自行进行赛题分析(确定国奖版推荐模型+创新点)+数据预处理(简要适配性处理)，然后进行完整建模求解</w:t>
      </w:r>
    </w:p>
    <w:p w14:paraId="3F03304D">
      <w:pPr>
        <w:ind w:left="400"/>
      </w:pPr>
      <w:r>
        <w:rPr>
          <w:rFonts w:ascii="宋体" w:hAnsi="宋体" w:eastAsia="宋体"/>
          <w:b w:val="0"/>
          <w:sz w:val="21"/>
        </w:rPr>
        <w:t>• 独立模式下输出质量与串联模式完全一致，同样达到国奖级标准</w:t>
      </w:r>
    </w:p>
    <w:p w14:paraId="54322B0D">
      <w:pPr>
        <w:ind w:left="400"/>
      </w:pPr>
      <w:r>
        <w:rPr>
          <w:rFonts w:ascii="宋体" w:hAnsi="宋体" w:eastAsia="宋体"/>
          <w:b w:val="0"/>
          <w:sz w:val="21"/>
        </w:rPr>
        <w:t>• 本步完成后同样输出「建模求解标准化交接包」，可与其他步骤衔接</w:t>
      </w:r>
    </w:p>
    <w:p w14:paraId="2978A903">
      <w:r>
        <w:rPr>
          <w:rFonts w:ascii="黑体" w:hAnsi="黑体" w:eastAsia="黑体"/>
          <w:b/>
          <w:color w:val="404040"/>
          <w:sz w:val="23"/>
        </w:rPr>
        <w:t>模式三：检测评估+自动整改模式（V6.0核心升级·学员上传成果时自动启用）</w:t>
      </w:r>
    </w:p>
    <w:p w14:paraId="282DB4F7">
      <w:r>
        <w:rPr>
          <w:rFonts w:ascii="宋体" w:hAnsi="宋体" w:eastAsia="宋体"/>
          <w:b/>
          <w:color w:val="C00000"/>
          <w:sz w:val="22"/>
        </w:rPr>
        <w:t>【V6.0核心升级】当检测到学员上传的是已有论文/解题思路/代码/图表等成果（而非原始题目+数据）时，自动进入检测评估+自动整改模式！不仅检测问题，还基于提示词要求自动修改优化，消除检测出的问题！</w:t>
      </w:r>
    </w:p>
    <w:p w14:paraId="189AC5C6">
      <w:pPr>
        <w:ind w:left="400"/>
      </w:pPr>
      <w:r>
        <w:rPr>
          <w:rFonts w:ascii="宋体" w:hAnsi="宋体" w:eastAsia="宋体"/>
          <w:b w:val="0"/>
          <w:sz w:val="21"/>
        </w:rPr>
        <w:t>• 功能1【检测】：将学员上传的成果与国奖级标准进行多维度对比检测，评估是否达到国赛国奖级要求</w:t>
      </w:r>
    </w:p>
    <w:p w14:paraId="4C6958B3">
      <w:pPr>
        <w:ind w:left="400"/>
      </w:pPr>
      <w:r>
        <w:rPr>
          <w:rFonts w:ascii="宋体" w:hAnsi="宋体" w:eastAsia="宋体"/>
          <w:b w:val="0"/>
          <w:sz w:val="21"/>
        </w:rPr>
        <w:t>• 功能2【自动整改】：基于检测出的问题，按照本提示词的国奖级要求自动修改和优化学员上传的成果，消除问题</w:t>
      </w:r>
    </w:p>
    <w:p w14:paraId="223C705C">
      <w:pPr>
        <w:ind w:left="400"/>
      </w:pPr>
      <w:r>
        <w:rPr>
          <w:rFonts w:ascii="宋体" w:hAnsi="宋体" w:eastAsia="宋体"/>
          <w:b w:val="0"/>
          <w:sz w:val="21"/>
        </w:rPr>
        <w:t>• 评估维度：模型选择合理性/创新点质量/公式推导严谨性/代码质量/结果分析深度/对比实验完整性/图片质量</w:t>
      </w:r>
    </w:p>
    <w:p w14:paraId="46F62069">
      <w:pPr>
        <w:ind w:left="400"/>
      </w:pPr>
      <w:r>
        <w:rPr>
          <w:rFonts w:ascii="宋体" w:hAnsi="宋体" w:eastAsia="宋体"/>
          <w:b w:val="0"/>
          <w:sz w:val="21"/>
        </w:rPr>
        <w:t>• 整改流程：①多维度检测→②生成HTML检测报告→③按优先级(P0→P1→P2)自动整改→④整改后复检→⑤输出整改后成果+HTML整改报告(含整改前后对比)</w:t>
      </w:r>
    </w:p>
    <w:p w14:paraId="12119173">
      <w:pPr>
        <w:ind w:left="400"/>
      </w:pPr>
      <w:r>
        <w:rPr>
          <w:rFonts w:ascii="宋体" w:hAnsi="宋体" w:eastAsia="宋体"/>
          <w:b w:val="0"/>
          <w:sz w:val="21"/>
        </w:rPr>
        <w:t>• 整改原则：能自动修改的自动修改（如格式/排版/公式/图表/代码），不能自动修改的给出详细修改方案（如模型重构/创新点设计），不得只检测不整改！</w:t>
      </w:r>
    </w:p>
    <w:p w14:paraId="31FEB59D">
      <w:pPr>
        <w:ind w:left="400"/>
      </w:pPr>
      <w:r>
        <w:rPr>
          <w:rFonts w:ascii="宋体" w:hAnsi="宋体" w:eastAsia="宋体"/>
          <w:b w:val="0"/>
          <w:sz w:val="21"/>
        </w:rPr>
        <w:t>• 输出：强制输出①整改后的成果文件（修改后的论文/代码/图表）②HTML格式的整改报告（文件名：整改报告_学员成果名称.html），报告最开始给出检测结果总览，然后列出整改清单+整改前后对比+复检结果</w:t>
      </w:r>
    </w:p>
    <w:p w14:paraId="2F9161A0">
      <w:pPr>
        <w:ind w:left="400"/>
      </w:pPr>
      <w:r>
        <w:rPr>
          <w:rFonts w:ascii="宋体" w:hAnsi="宋体" w:eastAsia="宋体"/>
          <w:b w:val="0"/>
          <w:sz w:val="21"/>
        </w:rPr>
        <w:t>• HTML整改报告必须包含8个部分：①检测结果总览(等级+总分+核心问题) ②多维度评分可视化 ③分维度详细分析 ④国奖级标准对照表 ⑤优先级整改清单(P0/P1/P2) ⑥整改前后对比(逐项展示修改内容) ⑦复检结果(整改后重新检测得分) ⑧底部信息栏</w:t>
      </w:r>
    </w:p>
    <w:p w14:paraId="1FBA6DE5">
      <w:pPr>
        <w:ind w:left="400"/>
      </w:pPr>
      <w:r>
        <w:rPr>
          <w:rFonts w:ascii="宋体" w:hAnsi="宋体" w:eastAsia="宋体"/>
          <w:b w:val="0"/>
          <w:sz w:val="21"/>
        </w:rPr>
        <w:t>• 评估等级：国奖级(≥90分) / 国一(80-89) / 国二(70-79) / 省一(60-69) / 省二(50-59) / 需大幅改进(&lt;50)</w:t>
      </w:r>
    </w:p>
    <w:p w14:paraId="0A0CB022">
      <w:pPr>
        <w:ind w:left="400"/>
      </w:pPr>
      <w:r>
        <w:rPr>
          <w:rFonts w:ascii="宋体" w:hAnsi="宋体" w:eastAsia="宋体"/>
          <w:b w:val="0"/>
          <w:sz w:val="21"/>
        </w:rPr>
        <w:t>• 如学员明确只需要检测不需要整改，则只输出HTML检测报告；默认执行检测+自动整改一体化</w:t>
      </w:r>
    </w:p>
    <w:p w14:paraId="60527147">
      <w:r>
        <w:rPr>
          <w:rFonts w:ascii="黑体" w:hAnsi="黑体" w:eastAsia="黑体"/>
          <w:b/>
          <w:color w:val="404040"/>
          <w:sz w:val="23"/>
        </w:rPr>
        <w:t>「建模求解标准化交接包」输出格式（强制）</w:t>
      </w:r>
    </w:p>
    <w:p w14:paraId="0044077D">
      <w:r>
        <w:rPr>
          <w:rFonts w:ascii="宋体" w:hAnsi="宋体" w:eastAsia="宋体"/>
          <w:b w:val="0"/>
          <w:sz w:val="22"/>
        </w:rPr>
        <w:t>本步完成后必须输出以下结构化交接包（JSON格式），供下一步自动读取：</w:t>
      </w:r>
    </w:p>
    <w:p w14:paraId="7113F617">
      <w:pPr>
        <w:shd w:val="clear" w:fill="F5F5F5"/>
      </w:pPr>
      <w:r>
        <w:rPr>
          <w:rFonts w:ascii="Consolas" w:hAnsi="Consolas"/>
          <w:color w:val="1A1A1A"/>
          <w:sz w:val="17"/>
        </w:rPr>
        <w:t>{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 xml:space="preserve">  "各小问模型": "问题一:XXX模型; 问题二:XXX模型..."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 xml:space="preserve">  "核心公式": "公式编号+公式内容(LaTeX)"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 xml:space="preserve">  "代码路径": "code/solve.py"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 xml:space="preserve">  "求解结果": "问题一结果:XXX; 问题二结果:XXX..."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 xml:space="preserve">  "中间过程数据": "迭代日志/参数扫描/多方案对比"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 xml:space="preserve">  "创新点落实情况": "创新点1已落实(XXX改进); 创新点2已落实..."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 xml:space="preserve">  "检验建议": "问题一:灵敏度分析; 问题二:误差分析..."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>}</w:t>
      </w:r>
    </w:p>
    <w:p w14:paraId="03D5ADDD">
      <w:r>
        <w:rPr>
          <w:rFonts w:ascii="宋体" w:hAnsi="宋体" w:eastAsia="宋体"/>
          <w:b/>
          <w:color w:val="C00000"/>
          <w:sz w:val="22"/>
        </w:rPr>
        <w:t>【三模式铁律】无论哪种模式，输出质量标准完全一致！串联模式必须严格遵循前一步方案，独立模式必须自行完成前置工作，检测评估+自动整改模式必须既检测又整改，不得只检测不整改！不得因模式不同而降低质量！</w:t>
      </w:r>
    </w:p>
    <w:p w14:paraId="2464189E">
      <w:pPr>
        <w:jc w:val="center"/>
      </w:pPr>
      <w:r>
        <w:rPr>
          <w:rFonts w:ascii="宋体" w:hAnsi="宋体" w:eastAsia="宋体"/>
          <w:b w:val="0"/>
          <w:color w:val="1F497D"/>
          <w:sz w:val="18"/>
        </w:rPr>
        <w:t>──────────────────────────────────────────────────</w:t>
      </w:r>
    </w:p>
    <w:p w14:paraId="5AF7A6A7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一、输入（三模式）</w:t>
      </w:r>
    </w:p>
    <w:p w14:paraId="57CB5BAC">
      <w:pPr>
        <w:ind w:left="400"/>
      </w:pPr>
      <w:r>
        <w:rPr>
          <w:rFonts w:ascii="宋体" w:hAnsi="宋体" w:eastAsia="宋体"/>
          <w:b w:val="0"/>
          <w:sz w:val="21"/>
        </w:rPr>
        <w:t>• 串联模式：自动读取「赛题分析交接包」(国奖版推荐模型+创新点)+「预处理交接包」(预处理后数据+特征清单)</w:t>
      </w:r>
    </w:p>
    <w:p w14:paraId="66E3FD21">
      <w:pPr>
        <w:ind w:left="400"/>
      </w:pPr>
      <w:r>
        <w:rPr>
          <w:rFonts w:ascii="宋体" w:hAnsi="宋体" w:eastAsia="宋体"/>
          <w:b w:val="0"/>
          <w:sz w:val="21"/>
        </w:rPr>
        <w:t>• 独立模式：题目+原始数据(自行简要赛题分析+预处理，确定推荐模型)</w:t>
      </w:r>
    </w:p>
    <w:p w14:paraId="671697D2">
      <w:pPr>
        <w:ind w:left="400"/>
      </w:pPr>
      <w:r>
        <w:rPr>
          <w:rFonts w:ascii="宋体" w:hAnsi="宋体" w:eastAsia="宋体"/>
          <w:b w:val="0"/>
          <w:sz w:val="21"/>
        </w:rPr>
        <w:t>• 检测评估模式：学员上传的模型代码/求解结果/建模报告</w:t>
      </w:r>
    </w:p>
    <w:p w14:paraId="680CFD25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二、输出</w:t>
      </w:r>
    </w:p>
    <w:p w14:paraId="77904AFB">
      <w:pPr>
        <w:ind w:left="400"/>
      </w:pPr>
      <w:r>
        <w:rPr>
          <w:rFonts w:ascii="宋体" w:hAnsi="宋体" w:eastAsia="宋体"/>
          <w:b w:val="0"/>
          <w:sz w:val="21"/>
        </w:rPr>
        <w:t>• 解题模式：①模型(含LaTeX公式) ②完整Python代码 ③求解结果 ④结果分析 ⑤中间过程数据 ⑥顶刊级图片 ⑦标准化交接包</w:t>
      </w:r>
    </w:p>
    <w:p w14:paraId="601891CA">
      <w:pPr>
        <w:ind w:left="400"/>
      </w:pPr>
      <w:r>
        <w:rPr>
          <w:rFonts w:ascii="宋体" w:hAnsi="宋体" w:eastAsia="宋体"/>
          <w:b w:val="0"/>
          <w:sz w:val="21"/>
        </w:rPr>
        <w:t>• 检测评估模式：HTML评估报告（强制）</w:t>
      </w:r>
    </w:p>
    <w:p w14:paraId="3E36625B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三、国奖级建模求解标准（补充原始细节）</w:t>
      </w:r>
    </w:p>
    <w:p w14:paraId="7533CF87">
      <w:pPr>
        <w:ind w:left="400"/>
      </w:pPr>
      <w:r>
        <w:rPr>
          <w:rFonts w:ascii="宋体" w:hAnsi="宋体" w:eastAsia="宋体"/>
          <w:b w:val="0"/>
          <w:sz w:val="21"/>
        </w:rPr>
        <w:t>• 三大创新方向必须落实：参数自适应/多模型对比/算法升级/同领域融合/跨领域迁移，至少选2个</w:t>
      </w:r>
    </w:p>
    <w:p w14:paraId="4DF89F42">
      <w:pPr>
        <w:ind w:left="400"/>
      </w:pPr>
      <w:r>
        <w:rPr>
          <w:rFonts w:ascii="宋体" w:hAnsi="宋体" w:eastAsia="宋体"/>
          <w:b w:val="0"/>
          <w:sz w:val="21"/>
        </w:rPr>
        <w:t>• 必须避免的网红模型：盲目使用深度学习(如Transformer/GPT)解决小数据问题、盲目使用集成模型不说明理由</w:t>
      </w:r>
    </w:p>
    <w:p w14:paraId="3F2D702C">
      <w:pPr>
        <w:ind w:left="400"/>
      </w:pPr>
      <w:r>
        <w:rPr>
          <w:rFonts w:ascii="宋体" w:hAnsi="宋体" w:eastAsia="宋体"/>
          <w:b w:val="0"/>
          <w:sz w:val="21"/>
        </w:rPr>
        <w:t>• 公式推导严谨：每步标注依据，不跳步，公式后有变量解释</w:t>
      </w:r>
    </w:p>
    <w:p w14:paraId="54AFB071">
      <w:pPr>
        <w:ind w:left="400"/>
      </w:pPr>
      <w:r>
        <w:rPr>
          <w:rFonts w:ascii="宋体" w:hAnsi="宋体" w:eastAsia="宋体"/>
          <w:b w:val="0"/>
          <w:sz w:val="21"/>
        </w:rPr>
        <w:t>• 图片顶刊级：配色专业(Nature风格)，标注完整，分辨率≥300dpi，中文字体正常</w:t>
      </w:r>
    </w:p>
    <w:p w14:paraId="632E9A6A">
      <w:pPr>
        <w:ind w:left="400"/>
      </w:pPr>
      <w:r>
        <w:rPr>
          <w:rFonts w:ascii="宋体" w:hAnsi="宋体" w:eastAsia="宋体"/>
          <w:b w:val="0"/>
          <w:sz w:val="21"/>
        </w:rPr>
        <w:t>• 结果分析四层：呈现/规律/原因/建议，≥3组对比</w:t>
      </w:r>
    </w:p>
    <w:p w14:paraId="7AC4AA34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四、模型选择（串联模式铁律）</w:t>
      </w:r>
    </w:p>
    <w:p w14:paraId="1F381B69">
      <w:r>
        <w:rPr>
          <w:rFonts w:ascii="宋体" w:hAnsi="宋体" w:eastAsia="宋体"/>
          <w:b/>
          <w:color w:val="C00000"/>
          <w:sz w:val="22"/>
        </w:rPr>
        <w:t>串联模式下必须严格遵循赛题分析交接包中的国奖版推荐模型，不得随意降级或更换！独立模式下按六大原则自行选择：贴合题意/适度复杂/可解释性/可求解性/可创新性/可评价性</w:t>
      </w:r>
    </w:p>
    <w:p w14:paraId="01DCE3C3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五、五大创新方向（至少选2个）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76A4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1F497D"/>
          </w:tcPr>
          <w:p w14:paraId="46A89A92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方向</w:t>
            </w:r>
          </w:p>
        </w:tc>
        <w:tc>
          <w:tcPr>
            <w:tcW w:w="4320" w:type="dxa"/>
            <w:shd w:val="clear" w:color="auto" w:fill="1F497D"/>
          </w:tcPr>
          <w:p w14:paraId="4F9CF5A0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示例</w:t>
            </w:r>
          </w:p>
        </w:tc>
      </w:tr>
      <w:tr w14:paraId="40AAD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70C6B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1 参数自适应</w:t>
            </w:r>
          </w:p>
        </w:tc>
        <w:tc>
          <w:tcPr>
            <w:tcW w:w="4320" w:type="dxa"/>
          </w:tcPr>
          <w:p w14:paraId="47E13B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自适应学习率/滚动窗口自适应权重</w:t>
            </w:r>
          </w:p>
        </w:tc>
      </w:tr>
      <w:tr w14:paraId="31462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C27CD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2 多模型对比</w:t>
            </w:r>
          </w:p>
        </w:tc>
        <w:tc>
          <w:tcPr>
            <w:tcW w:w="4320" w:type="dxa"/>
          </w:tcPr>
          <w:p w14:paraId="425432E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≥3种模型对比择优</w:t>
            </w:r>
          </w:p>
        </w:tc>
      </w:tr>
      <w:tr w14:paraId="00D29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F42A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3 算法升级</w:t>
            </w:r>
          </w:p>
        </w:tc>
        <w:tc>
          <w:tcPr>
            <w:tcW w:w="4320" w:type="dxa"/>
          </w:tcPr>
          <w:p w14:paraId="1A3A1B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GA→AGA/DE；PSO→自适应权重PSO</w:t>
            </w:r>
          </w:p>
        </w:tc>
      </w:tr>
      <w:tr w14:paraId="714CE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0415D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4 同领域融合</w:t>
            </w:r>
          </w:p>
        </w:tc>
        <w:tc>
          <w:tcPr>
            <w:tcW w:w="4320" w:type="dxa"/>
          </w:tcPr>
          <w:p w14:paraId="32C3242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ARIMA+LSTM残差修正；主客观赋权博弈论组合</w:t>
            </w:r>
          </w:p>
        </w:tc>
      </w:tr>
      <w:tr w14:paraId="2E09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0551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5 跨领域迁移</w:t>
            </w:r>
          </w:p>
        </w:tc>
        <w:tc>
          <w:tcPr>
            <w:tcW w:w="4320" w:type="dxa"/>
          </w:tcPr>
          <w:p w14:paraId="64693C4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物理熵增→系统有序度；生物Logistic→市场渗透</w:t>
            </w:r>
          </w:p>
        </w:tc>
      </w:tr>
    </w:tbl>
    <w:p w14:paraId="75BB7C06"/>
    <w:p w14:paraId="6126F837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六、模型建立规范（补充原始细节）</w:t>
      </w:r>
    </w:p>
    <w:p w14:paraId="0C6EF67E">
      <w:pPr>
        <w:ind w:left="400"/>
      </w:pPr>
      <w:r>
        <w:rPr>
          <w:rFonts w:ascii="宋体" w:hAnsi="宋体" w:eastAsia="宋体"/>
          <w:b w:val="0"/>
          <w:sz w:val="21"/>
        </w:rPr>
        <w:t>• 步骤化推导：步骤1/步骤2...，每步有LaTeX公式，公式后紧跟变量解释</w:t>
      </w:r>
    </w:p>
    <w:p w14:paraId="4A4E77C1">
      <w:pPr>
        <w:ind w:left="400"/>
      </w:pPr>
      <w:r>
        <w:rPr>
          <w:rFonts w:ascii="宋体" w:hAnsi="宋体" w:eastAsia="宋体"/>
          <w:b w:val="0"/>
          <w:sz w:val="21"/>
        </w:rPr>
        <w:t>• 完整模型给出：优化类问题必须有完整的「模型给出」公式块(目标函数+s.t.所有约束)，用一个编号</w:t>
      </w:r>
    </w:p>
    <w:p w14:paraId="5857B3F8">
      <w:pPr>
        <w:ind w:left="400"/>
      </w:pPr>
      <w:r>
        <w:rPr>
          <w:rFonts w:ascii="宋体" w:hAnsi="宋体" w:eastAsia="宋体"/>
          <w:b w:val="0"/>
          <w:sz w:val="21"/>
        </w:rPr>
        <w:t>• 原理示意图：每个模型建立前必须有1张原理/示意图(坐标系/几何关系/系统原理)</w:t>
      </w:r>
    </w:p>
    <w:p w14:paraId="1D50AFA8">
      <w:pPr>
        <w:ind w:left="400"/>
      </w:pPr>
      <w:r>
        <w:rPr>
          <w:rFonts w:ascii="宋体" w:hAnsi="宋体" w:eastAsia="宋体"/>
          <w:b w:val="0"/>
          <w:sz w:val="21"/>
        </w:rPr>
        <w:t>• 公式全文连续编号(1)(2)(3)...，总数≥30个，零乱码</w:t>
      </w:r>
    </w:p>
    <w:p w14:paraId="38C85152">
      <w:pPr>
        <w:ind w:left="400"/>
      </w:pPr>
      <w:r>
        <w:rPr>
          <w:rFonts w:ascii="宋体" w:hAnsi="宋体" w:eastAsia="宋体"/>
          <w:b w:val="0"/>
          <w:sz w:val="21"/>
        </w:rPr>
        <w:t>• 公式字体规范：变量斜体，向量粗体，运算符正体，函数名正体</w:t>
      </w:r>
    </w:p>
    <w:p w14:paraId="44BE6EC9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七、编程求解规范（补充原始细节）</w:t>
      </w:r>
    </w:p>
    <w:p w14:paraId="0A3B5E44">
      <w:pPr>
        <w:ind w:left="400"/>
      </w:pPr>
      <w:r>
        <w:rPr>
          <w:rFonts w:ascii="宋体" w:hAnsi="宋体" w:eastAsia="宋体"/>
          <w:b w:val="0"/>
          <w:sz w:val="21"/>
        </w:rPr>
        <w:t>• Python实现，固定随机种子，分模块(data_loader/model/solve/visualize)</w:t>
      </w:r>
    </w:p>
    <w:p w14:paraId="56B44435">
      <w:pPr>
        <w:ind w:left="400"/>
      </w:pPr>
      <w:r>
        <w:rPr>
          <w:rFonts w:ascii="宋体" w:hAnsi="宋体" w:eastAsia="宋体"/>
          <w:b w:val="0"/>
          <w:sz w:val="21"/>
        </w:rPr>
        <w:t>• 先跑通基础模型验证逻辑正确性，再实现创新模型</w:t>
      </w:r>
    </w:p>
    <w:p w14:paraId="7FD089B0">
      <w:pPr>
        <w:ind w:left="400"/>
      </w:pPr>
      <w:r>
        <w:rPr>
          <w:rFonts w:ascii="宋体" w:hAnsi="宋体" w:eastAsia="宋体"/>
          <w:b w:val="0"/>
          <w:sz w:val="21"/>
        </w:rPr>
        <w:t>• 算法步骤表格：使用启发式算法时必须用三线表列出步骤(Step1/Step2...)，每步有具体操作</w:t>
      </w:r>
    </w:p>
    <w:p w14:paraId="55033140">
      <w:pPr>
        <w:ind w:left="400"/>
      </w:pPr>
      <w:r>
        <w:rPr>
          <w:rFonts w:ascii="宋体" w:hAnsi="宋体" w:eastAsia="宋体"/>
          <w:b w:val="0"/>
          <w:sz w:val="21"/>
        </w:rPr>
        <w:t>• 记录求解日志：运行时间/迭代次数/收敛Gap/最优值</w:t>
      </w:r>
    </w:p>
    <w:p w14:paraId="71E515F4">
      <w:pPr>
        <w:ind w:left="400"/>
      </w:pPr>
      <w:r>
        <w:rPr>
          <w:rFonts w:ascii="宋体" w:hAnsi="宋体" w:eastAsia="宋体"/>
          <w:b w:val="0"/>
          <w:sz w:val="21"/>
        </w:rPr>
        <w:t>• 提供run_all.py一键运行脚本和requirements.txt</w:t>
      </w:r>
    </w:p>
    <w:p w14:paraId="01C488A9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八、图片质量规范（顶刊级·补充原始细节）</w:t>
      </w:r>
    </w:p>
    <w:p w14:paraId="4FD32E46">
      <w:pPr>
        <w:ind w:left="400"/>
      </w:pPr>
      <w:r>
        <w:rPr>
          <w:rFonts w:ascii="宋体" w:hAnsi="宋体" w:eastAsia="宋体"/>
          <w:b w:val="0"/>
          <w:sz w:val="21"/>
        </w:rPr>
        <w:t>• 配色专业：Nature风格低饱和配色，禁止jet彩虹渐变和高饱和原色</w:t>
      </w:r>
    </w:p>
    <w:p w14:paraId="0B92C2BF">
      <w:pPr>
        <w:ind w:left="400"/>
      </w:pPr>
      <w:r>
        <w:rPr>
          <w:rFonts w:ascii="宋体" w:hAnsi="宋体" w:eastAsia="宋体"/>
          <w:b w:val="0"/>
          <w:sz w:val="21"/>
        </w:rPr>
        <w:t>• 标注完整：标题/坐标轴名称/单位/图例/数据标签，缺一不可</w:t>
      </w:r>
    </w:p>
    <w:p w14:paraId="56E13006">
      <w:pPr>
        <w:ind w:left="400"/>
      </w:pPr>
      <w:r>
        <w:rPr>
          <w:rFonts w:ascii="宋体" w:hAnsi="宋体" w:eastAsia="宋体"/>
          <w:b w:val="0"/>
          <w:sz w:val="21"/>
        </w:rPr>
        <w:t>• 分辨率≥300dpi，保存为PNG格式，嵌入Word时宽度12-14cm</w:t>
      </w:r>
    </w:p>
    <w:p w14:paraId="33B7621E">
      <w:pPr>
        <w:ind w:left="400"/>
      </w:pPr>
      <w:r>
        <w:rPr>
          <w:rFonts w:ascii="宋体" w:hAnsi="宋体" w:eastAsia="宋体"/>
          <w:b w:val="0"/>
          <w:sz w:val="21"/>
        </w:rPr>
        <w:t>• 中文字体正常：matplotlib.use('Agg')+中文字体多级回退，axes.unicode_minus=False</w:t>
      </w:r>
    </w:p>
    <w:p w14:paraId="025DCDD8">
      <w:pPr>
        <w:ind w:left="400"/>
      </w:pPr>
      <w:r>
        <w:rPr>
          <w:rFonts w:ascii="宋体" w:hAnsi="宋体" w:eastAsia="宋体"/>
          <w:b w:val="0"/>
          <w:sz w:val="21"/>
        </w:rPr>
        <w:t>• 多子图用gridspec布局，间距均匀，字号协调</w:t>
      </w:r>
    </w:p>
    <w:p w14:paraId="7CE02D8F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九、结果分析四层深度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EC0E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1F497D"/>
          </w:tcPr>
          <w:p w14:paraId="2C0536DE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层次</w:t>
            </w:r>
          </w:p>
        </w:tc>
        <w:tc>
          <w:tcPr>
            <w:tcW w:w="4320" w:type="dxa"/>
            <w:shd w:val="clear" w:color="auto" w:fill="1F497D"/>
          </w:tcPr>
          <w:p w14:paraId="51304D65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内容</w:t>
            </w:r>
          </w:p>
        </w:tc>
      </w:tr>
      <w:tr w14:paraId="7D601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AD1C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第一层 结果呈现</w:t>
            </w:r>
          </w:p>
        </w:tc>
        <w:tc>
          <w:tcPr>
            <w:tcW w:w="4320" w:type="dxa"/>
          </w:tcPr>
          <w:p w14:paraId="26015BE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表格+图表，数据准确单位明确</w:t>
            </w:r>
          </w:p>
        </w:tc>
      </w:tr>
      <w:tr w14:paraId="0759B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67F3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第二层 规律发现</w:t>
            </w:r>
          </w:p>
        </w:tc>
        <w:tc>
          <w:tcPr>
            <w:tcW w:w="4320" w:type="dxa"/>
          </w:tcPr>
          <w:p w14:paraId="26784B3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对比/趋势/结构分析</w:t>
            </w:r>
          </w:p>
        </w:tc>
      </w:tr>
      <w:tr w14:paraId="06609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18B9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第三层 原因解释</w:t>
            </w:r>
          </w:p>
        </w:tc>
        <w:tc>
          <w:tcPr>
            <w:tcW w:w="4320" w:type="dxa"/>
          </w:tcPr>
          <w:p w14:paraId="0BE007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结合题目背景和模型机制</w:t>
            </w:r>
          </w:p>
        </w:tc>
      </w:tr>
      <w:tr w14:paraId="61414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0DA2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第四层 建议提炼</w:t>
            </w:r>
          </w:p>
        </w:tc>
        <w:tc>
          <w:tcPr>
            <w:tcW w:w="4320" w:type="dxa"/>
          </w:tcPr>
          <w:p w14:paraId="717455E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具体可操作有优先级</w:t>
            </w:r>
          </w:p>
        </w:tc>
      </w:tr>
    </w:tbl>
    <w:p w14:paraId="66B88994"/>
    <w:p w14:paraId="0BDFC9FD">
      <w:r>
        <w:rPr>
          <w:rFonts w:ascii="宋体" w:hAnsi="宋体" w:eastAsia="宋体"/>
          <w:b/>
          <w:color w:val="C00000"/>
          <w:sz w:val="22"/>
        </w:rPr>
        <w:t>禁止只罗列数字！每个结果表/图后必须有分析文字！每个问题必须≥3组对比分析！</w:t>
      </w:r>
    </w:p>
    <w:p w14:paraId="3EF02606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十、中间结果强制展示</w:t>
      </w:r>
    </w:p>
    <w:p w14:paraId="4B970787">
      <w:pPr>
        <w:ind w:left="400"/>
      </w:pPr>
      <w:r>
        <w:rPr>
          <w:rFonts w:ascii="宋体" w:hAnsi="宋体" w:eastAsia="宋体"/>
          <w:b w:val="0"/>
          <w:sz w:val="21"/>
        </w:rPr>
        <w:t>• 迭代算法每次迭代的关键变量值+收敛判断；参数扫描每个参数值对应输出；多方案对比各指标</w:t>
      </w:r>
    </w:p>
    <w:p w14:paraId="7DB7062E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十一、检测评估模式评估维度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69A6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1F497D"/>
          </w:tcPr>
          <w:p w14:paraId="29867599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维度</w:t>
            </w:r>
          </w:p>
        </w:tc>
        <w:tc>
          <w:tcPr>
            <w:tcW w:w="2880" w:type="dxa"/>
            <w:shd w:val="clear" w:color="auto" w:fill="1F497D"/>
          </w:tcPr>
          <w:p w14:paraId="0959EA36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国奖级标准</w:t>
            </w:r>
          </w:p>
        </w:tc>
        <w:tc>
          <w:tcPr>
            <w:tcW w:w="2880" w:type="dxa"/>
            <w:shd w:val="clear" w:color="auto" w:fill="1F497D"/>
          </w:tcPr>
          <w:p w14:paraId="6359C055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评估要点</w:t>
            </w:r>
          </w:p>
        </w:tc>
      </w:tr>
      <w:tr w14:paraId="36D81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92DC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模型选择</w:t>
            </w:r>
          </w:p>
        </w:tc>
        <w:tc>
          <w:tcPr>
            <w:tcW w:w="2880" w:type="dxa"/>
          </w:tcPr>
          <w:p w14:paraId="1FEB92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适配题目，国奖级创新模型</w:t>
            </w:r>
          </w:p>
        </w:tc>
        <w:tc>
          <w:tcPr>
            <w:tcW w:w="2880" w:type="dxa"/>
          </w:tcPr>
          <w:p w14:paraId="675F4D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模型是否适配题目，是否有创新，是否过于简单</w:t>
            </w:r>
          </w:p>
        </w:tc>
      </w:tr>
      <w:tr w14:paraId="5E9AE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D592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创新点</w:t>
            </w:r>
          </w:p>
        </w:tc>
        <w:tc>
          <w:tcPr>
            <w:tcW w:w="2880" w:type="dxa"/>
          </w:tcPr>
          <w:p w14:paraId="028B6DF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至少2个不同方向，五要素完整</w:t>
            </w:r>
          </w:p>
        </w:tc>
        <w:tc>
          <w:tcPr>
            <w:tcW w:w="2880" w:type="dxa"/>
          </w:tcPr>
          <w:p w14:paraId="0621819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创新点是否真创新，是否落实，五要素是否完整</w:t>
            </w:r>
          </w:p>
        </w:tc>
      </w:tr>
      <w:tr w14:paraId="4ED8F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38D55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公式推导</w:t>
            </w:r>
          </w:p>
        </w:tc>
        <w:tc>
          <w:tcPr>
            <w:tcW w:w="2880" w:type="dxa"/>
          </w:tcPr>
          <w:p w14:paraId="0D26E2B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严谨，每步有依据，≥30个</w:t>
            </w:r>
          </w:p>
        </w:tc>
        <w:tc>
          <w:tcPr>
            <w:tcW w:w="2880" w:type="dxa"/>
          </w:tcPr>
          <w:p w14:paraId="628187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公式是否正确，推导是否严谨，是否有变量解释</w:t>
            </w:r>
          </w:p>
        </w:tc>
      </w:tr>
      <w:tr w14:paraId="64E86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EB37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代码质量</w:t>
            </w:r>
          </w:p>
        </w:tc>
        <w:tc>
          <w:tcPr>
            <w:tcW w:w="2880" w:type="dxa"/>
          </w:tcPr>
          <w:p w14:paraId="009D443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完整可运行，分模块，有注释</w:t>
            </w:r>
          </w:p>
        </w:tc>
        <w:tc>
          <w:tcPr>
            <w:tcW w:w="2880" w:type="dxa"/>
          </w:tcPr>
          <w:p w14:paraId="0D1F5CD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代码是否可运行，是否分模块，是否固定随机种子</w:t>
            </w:r>
          </w:p>
        </w:tc>
      </w:tr>
      <w:tr w14:paraId="073E9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3A0DA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结果分析</w:t>
            </w:r>
          </w:p>
        </w:tc>
        <w:tc>
          <w:tcPr>
            <w:tcW w:w="2880" w:type="dxa"/>
          </w:tcPr>
          <w:p w14:paraId="1F55D2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四层深度，≥3组对比</w:t>
            </w:r>
          </w:p>
        </w:tc>
        <w:tc>
          <w:tcPr>
            <w:tcW w:w="2880" w:type="dxa"/>
          </w:tcPr>
          <w:p w14:paraId="5A3E95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分析是否深入，是否只罗列数字，对比是否充分</w:t>
            </w:r>
          </w:p>
        </w:tc>
      </w:tr>
      <w:tr w14:paraId="66B87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61521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图片质量</w:t>
            </w:r>
          </w:p>
        </w:tc>
        <w:tc>
          <w:tcPr>
            <w:tcW w:w="2880" w:type="dxa"/>
          </w:tcPr>
          <w:p w14:paraId="39FD16F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顶刊级，配色专业，标注完整</w:t>
            </w:r>
          </w:p>
        </w:tc>
        <w:tc>
          <w:tcPr>
            <w:tcW w:w="2880" w:type="dxa"/>
          </w:tcPr>
          <w:p w14:paraId="19E6F4D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图片是否美观，配色是否专业，标注是否完整</w:t>
            </w:r>
          </w:p>
        </w:tc>
      </w:tr>
    </w:tbl>
    <w:p w14:paraId="1E784C2D"/>
    <w:p w14:paraId="293BC332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十二、本提示词整改能力（检测+自动整改）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086F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1F497D"/>
          </w:tcPr>
          <w:p w14:paraId="4099E50C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整改类型</w:t>
            </w:r>
          </w:p>
        </w:tc>
        <w:tc>
          <w:tcPr>
            <w:tcW w:w="2880" w:type="dxa"/>
            <w:shd w:val="clear" w:color="auto" w:fill="1F497D"/>
          </w:tcPr>
          <w:p w14:paraId="35F39925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可自动整改的内容</w:t>
            </w:r>
          </w:p>
        </w:tc>
        <w:tc>
          <w:tcPr>
            <w:tcW w:w="2880" w:type="dxa"/>
            <w:shd w:val="clear" w:color="auto" w:fill="1F497D"/>
          </w:tcPr>
          <w:p w14:paraId="0241C04D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整改方式</w:t>
            </w:r>
          </w:p>
        </w:tc>
      </w:tr>
      <w:tr w14:paraId="31B34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D239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P0致命</w:t>
            </w:r>
          </w:p>
        </w:tc>
        <w:tc>
          <w:tcPr>
            <w:tcW w:w="2880" w:type="dxa"/>
          </w:tcPr>
          <w:p w14:paraId="320515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公式错误/乱码、代码无法运行、模型完全无法求解</w:t>
            </w:r>
          </w:p>
        </w:tc>
        <w:tc>
          <w:tcPr>
            <w:tcW w:w="2880" w:type="dxa"/>
          </w:tcPr>
          <w:p w14:paraId="751E55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修复公式(LaTeX重写)+修复代码bug+调整模型参数使可求解</w:t>
            </w:r>
          </w:p>
        </w:tc>
      </w:tr>
      <w:tr w14:paraId="59DF7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F583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P1重要</w:t>
            </w:r>
          </w:p>
        </w:tc>
        <w:tc>
          <w:tcPr>
            <w:tcW w:w="2880" w:type="dxa"/>
          </w:tcPr>
          <w:p w14:paraId="6E09789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创新点不足/未落实、结果分析只罗列数字、对比实验缺失</w:t>
            </w:r>
          </w:p>
        </w:tc>
        <w:tc>
          <w:tcPr>
            <w:tcW w:w="2880" w:type="dxa"/>
          </w:tcPr>
          <w:p w14:paraId="5D52C3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补充创新点+完善四层分析+补充≥3组对比实验</w:t>
            </w:r>
          </w:p>
        </w:tc>
      </w:tr>
      <w:tr w14:paraId="5D7D8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DAC97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P2优化</w:t>
            </w:r>
          </w:p>
        </w:tc>
        <w:tc>
          <w:tcPr>
            <w:tcW w:w="2880" w:type="dxa"/>
          </w:tcPr>
          <w:p w14:paraId="7E60EC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图片配色/标注/分辨率、代码格式/注释、公式编号</w:t>
            </w:r>
          </w:p>
        </w:tc>
        <w:tc>
          <w:tcPr>
            <w:tcW w:w="2880" w:type="dxa"/>
          </w:tcPr>
          <w:p w14:paraId="6D4407D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美化图片(Nature配色+补充标注+300dpi)+优化代码+修正公式编号</w:t>
            </w:r>
          </w:p>
        </w:tc>
      </w:tr>
      <w:tr w14:paraId="5C5C0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94501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需手动</w:t>
            </w:r>
          </w:p>
        </w:tc>
        <w:tc>
          <w:tcPr>
            <w:tcW w:w="2880" w:type="dxa"/>
          </w:tcPr>
          <w:p w14:paraId="31D9D62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模型完全错误需要重构、算法完全不适用需要更换、核心结果错误</w:t>
            </w:r>
          </w:p>
        </w:tc>
        <w:tc>
          <w:tcPr>
            <w:tcW w:w="2880" w:type="dxa"/>
          </w:tcPr>
          <w:p w14:paraId="3F5F77F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给出模型重构方案和算法更换建议，需学员确认后执行</w:t>
            </w:r>
          </w:p>
        </w:tc>
      </w:tr>
    </w:tbl>
    <w:p w14:paraId="1AFD150C"/>
    <w:p w14:paraId="49E12E07">
      <w:r>
        <w:rPr>
          <w:rFonts w:ascii="宋体" w:hAnsi="宋体" w:eastAsia="宋体"/>
          <w:b/>
          <w:color w:val="E65100"/>
          <w:sz w:val="22"/>
        </w:rPr>
        <w:t>整改后输出：修改后的模型代码_已整改.py + 求解结果_已整改 + HTML整改报告</w:t>
      </w:r>
    </w:p>
    <w:p w14:paraId="088045F3">
      <w:pPr>
        <w:jc w:val="center"/>
      </w:pPr>
      <w:r>
        <w:rPr>
          <w:rFonts w:ascii="宋体" w:hAnsi="宋体" w:eastAsia="宋体"/>
          <w:b w:val="0"/>
          <w:color w:val="1F497D"/>
          <w:sz w:val="18"/>
        </w:rPr>
        <w:t>──────────────────────────────────────────────────</w:t>
      </w:r>
    </w:p>
    <w:p w14:paraId="4E479452">
      <w:r>
        <w:rPr>
          <w:rFonts w:ascii="宋体" w:hAnsi="宋体" w:eastAsia="宋体"/>
          <w:b/>
          <w:color w:val="C00000"/>
          <w:sz w:val="22"/>
        </w:rPr>
        <w:t>【问题求解V6.0结束】解题模式输出标准化交接包，检测评估模式输出HTML报告。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F2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3547</Words>
  <Characters>3984</Characters>
  <Lines>0</Lines>
  <Paragraphs>0</Paragraphs>
  <TotalTime>0</TotalTime>
  <ScaleCrop>false</ScaleCrop>
  <LinksUpToDate>false</LinksUpToDate>
  <CharactersWithSpaces>4100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数学建模老哥团队</cp:lastModifiedBy>
  <dcterms:modified xsi:type="dcterms:W3CDTF">2026-09-08T10:21:27Z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eyJoZGlkIjoiMTExNzFiNzAyOThjYjY1MTRhN2I1YjEwNzgzY2EzODUiLCJ1c2VySWQiOiIyNzg5NDI3MjYifQ==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DA82BB610EED40DF9829AD480EFF1D7A_12</vt:lpwstr>
  </property>
</Properties>
</file>