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7F6A">
      <w:pPr>
        <w:spacing w:before="200"/>
        <w:jc w:val="center"/>
        <w:rPr>
          <w:rFonts w:ascii="黑体" w:hAnsi="黑体" w:eastAsia="黑体"/>
          <w:b/>
          <w:color w:val="C00000"/>
          <w:sz w:val="44"/>
          <w:szCs w:val="44"/>
        </w:rPr>
      </w:pPr>
      <w:bookmarkStart w:id="0" w:name="_GoBack"/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数学建模国赛{模型检验}万能</w:t>
      </w:r>
      <w:r>
        <w:rPr>
          <w:rFonts w:ascii="黑体" w:hAnsi="黑体" w:eastAsia="黑体"/>
          <w:b/>
          <w:color w:val="C00000"/>
          <w:sz w:val="44"/>
          <w:szCs w:val="44"/>
        </w:rPr>
        <w:t>提示词</w:t>
      </w:r>
      <w:bookmarkEnd w:id="0"/>
    </w:p>
    <w:p w14:paraId="3B6D7698">
      <w:pPr>
        <w:spacing w:before="200"/>
        <w:jc w:val="center"/>
        <w:rPr>
          <w:sz w:val="36"/>
          <w:szCs w:val="36"/>
        </w:rPr>
      </w:pPr>
      <w:r>
        <w:rPr>
          <w:rFonts w:ascii="黑体" w:hAnsi="黑体" w:eastAsia="黑体"/>
          <w:b/>
          <w:color w:val="C00000"/>
          <w:sz w:val="36"/>
          <w:szCs w:val="36"/>
        </w:rPr>
        <w:t>（</w:t>
      </w:r>
      <w:r>
        <w:rPr>
          <w:rFonts w:hint="eastAsia" w:ascii="黑体" w:hAnsi="黑体" w:eastAsia="黑体"/>
          <w:b/>
          <w:color w:val="C00000"/>
          <w:sz w:val="36"/>
          <w:szCs w:val="36"/>
          <w:lang w:val="en-US" w:eastAsia="zh-CN"/>
        </w:rPr>
        <w:t>检测/修改/撰写</w:t>
      </w:r>
      <w:r>
        <w:rPr>
          <w:rFonts w:ascii="黑体" w:hAnsi="黑体" w:eastAsia="黑体"/>
          <w:b/>
          <w:color w:val="C00000"/>
          <w:sz w:val="36"/>
          <w:szCs w:val="36"/>
        </w:rPr>
        <w:t>三模式完整版）</w:t>
      </w:r>
    </w:p>
    <w:p w14:paraId="7CB51904">
      <w:pPr>
        <w:spacing w:before="200"/>
      </w:pPr>
    </w:p>
    <w:p w14:paraId="27EEC7F0">
      <w:r>
        <w:rPr>
          <w:rFonts w:ascii="宋体" w:hAnsi="宋体" w:eastAsia="宋体"/>
          <w:b/>
          <w:sz w:val="22"/>
        </w:rPr>
        <w:t>第4步：智能匹配检验类型，对每个问题的模型进行检验+标准化交接包。支持检测评估模式。</w:t>
      </w:r>
    </w:p>
    <w:p w14:paraId="79D1EBED">
      <w:r>
        <w:rPr>
          <w:rFonts w:ascii="宋体" w:hAnsi="宋体" w:eastAsia="宋体"/>
          <w:b/>
          <w:color w:val="E65100"/>
          <w:sz w:val="22"/>
        </w:rPr>
        <w:t>【通用规范引用·V6.0】排版格式、公式零乱码、流程图与示意图、HTML要点解析、三模式运行机制、检测评估+自动整改、HTML整改报告格式等通用规范，详见《超级提示词V6.0》。V6.0核心：①三模式运行(串联+独立+检测整改) ②检测+自动整改一体化 ③标准化交接包 ④自动检测适配 ⑤章节对标优秀论文 ⑥C题数据侧写 ⑦示意图+算法步骤表+完整模型给出 ⑧检测整改强制输出HTML报告+整改后成果。</w:t>
      </w:r>
    </w:p>
    <w:p w14:paraId="24B7085B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0DBF1C76">
      <w:r>
        <w:rPr>
          <w:rFonts w:ascii="黑体" w:hAnsi="黑体" w:eastAsia="黑体"/>
          <w:b/>
          <w:color w:val="2E75B6"/>
          <w:sz w:val="26"/>
        </w:rPr>
        <w:t>【三模式运行机制】V6.0核心</w:t>
      </w:r>
    </w:p>
    <w:p w14:paraId="307710CD">
      <w:r>
        <w:rPr>
          <w:rFonts w:ascii="宋体" w:hAnsi="宋体" w:eastAsia="宋体"/>
          <w:b/>
          <w:sz w:val="22"/>
        </w:rPr>
        <w:t>本提示词支持三种运行模式，自动检测适配，确保串联性、独立性、检测评估能力三保障：</w:t>
      </w:r>
    </w:p>
    <w:p w14:paraId="70977908">
      <w:r>
        <w:rPr>
          <w:rFonts w:ascii="黑体" w:hAnsi="黑体" w:eastAsia="黑体"/>
          <w:b/>
          <w:color w:val="404040"/>
          <w:sz w:val="23"/>
        </w:rPr>
        <w:t>模式一：串联模式（按顺序运行时自动启用）</w:t>
      </w:r>
    </w:p>
    <w:p w14:paraId="191C76FE">
      <w:pPr>
        <w:ind w:left="400"/>
      </w:pPr>
      <w:r>
        <w:rPr>
          <w:rFonts w:ascii="宋体" w:hAnsi="宋体" w:eastAsia="宋体"/>
          <w:b w:val="0"/>
          <w:sz w:val="21"/>
        </w:rPr>
        <w:t>• 运行开始时自动检测是否存在「建模求解标准化交接包」</w:t>
      </w:r>
    </w:p>
    <w:p w14:paraId="782BFFF9">
      <w:pPr>
        <w:ind w:left="400"/>
      </w:pPr>
      <w:r>
        <w:rPr>
          <w:rFonts w:ascii="宋体" w:hAnsi="宋体" w:eastAsia="宋体"/>
          <w:b w:val="0"/>
          <w:sz w:val="21"/>
        </w:rPr>
        <w:t>• 检测到交接包 → 自动读取其中的国奖级推荐模型、创新点、预处理方案等核心数据，基于其继续执行</w:t>
      </w:r>
    </w:p>
    <w:p w14:paraId="6B11511C">
      <w:pPr>
        <w:ind w:left="400"/>
      </w:pPr>
      <w:r>
        <w:rPr>
          <w:rFonts w:ascii="宋体" w:hAnsi="宋体" w:eastAsia="宋体"/>
          <w:b w:val="0"/>
          <w:sz w:val="21"/>
        </w:rPr>
        <w:t>• 严格遵循前一步给出的国奖级建模方案，不得随意降级或更换模型</w:t>
      </w:r>
    </w:p>
    <w:p w14:paraId="1D85DF40">
      <w:pPr>
        <w:ind w:left="400"/>
      </w:pPr>
      <w:r>
        <w:rPr>
          <w:rFonts w:ascii="宋体" w:hAnsi="宋体" w:eastAsia="宋体"/>
          <w:b w:val="0"/>
          <w:sz w:val="21"/>
        </w:rPr>
        <w:t>• 本步完成后输出「模型检验标准化交接包」，供下一步读取</w:t>
      </w:r>
    </w:p>
    <w:p w14:paraId="4B220029">
      <w:r>
        <w:rPr>
          <w:rFonts w:ascii="黑体" w:hAnsi="黑体" w:eastAsia="黑体"/>
          <w:b/>
          <w:color w:val="404040"/>
          <w:sz w:val="23"/>
        </w:rPr>
        <w:t>模式二：独立模式（单独使用本提示词时自动启用）</w:t>
      </w:r>
    </w:p>
    <w:p w14:paraId="5093D343">
      <w:pPr>
        <w:ind w:left="400"/>
      </w:pPr>
      <w:r>
        <w:rPr>
          <w:rFonts w:ascii="宋体" w:hAnsi="宋体" w:eastAsia="宋体"/>
          <w:b w:val="0"/>
          <w:sz w:val="21"/>
        </w:rPr>
        <w:t>• 未检测到前一步交接包 → 自动进入独立模式，无需依托任何前序提示词</w:t>
      </w:r>
    </w:p>
    <w:p w14:paraId="00EDA6A5">
      <w:pPr>
        <w:ind w:left="400"/>
      </w:pPr>
      <w:r>
        <w:rPr>
          <w:rFonts w:ascii="宋体" w:hAnsi="宋体" w:eastAsia="宋体"/>
          <w:b w:val="0"/>
          <w:sz w:val="21"/>
        </w:rPr>
        <w:t>• 独立模式下自行完成前置工作：自行进行简要建模求解(确定模型类型+核心结果)，然后进行完整模型检验</w:t>
      </w:r>
    </w:p>
    <w:p w14:paraId="6E91FEA4">
      <w:pPr>
        <w:ind w:left="400"/>
      </w:pPr>
      <w:r>
        <w:rPr>
          <w:rFonts w:ascii="宋体" w:hAnsi="宋体" w:eastAsia="宋体"/>
          <w:b w:val="0"/>
          <w:sz w:val="21"/>
        </w:rPr>
        <w:t>• 独立模式下输出质量与串联模式完全一致，同样达到国奖级标准</w:t>
      </w:r>
    </w:p>
    <w:p w14:paraId="4C0195E8">
      <w:pPr>
        <w:ind w:left="400"/>
      </w:pPr>
      <w:r>
        <w:rPr>
          <w:rFonts w:ascii="宋体" w:hAnsi="宋体" w:eastAsia="宋体"/>
          <w:b w:val="0"/>
          <w:sz w:val="21"/>
        </w:rPr>
        <w:t>• 本步完成后同样输出「模型检验标准化交接包」，可与其他步骤衔接</w:t>
      </w:r>
    </w:p>
    <w:p w14:paraId="5D45EDBE">
      <w:r>
        <w:rPr>
          <w:rFonts w:ascii="黑体" w:hAnsi="黑体" w:eastAsia="黑体"/>
          <w:b/>
          <w:color w:val="404040"/>
          <w:sz w:val="23"/>
        </w:rPr>
        <w:t>模式三：检测评估+自动整改模式（V6.0核心升级·学员上传成果时自动启用）</w:t>
      </w:r>
    </w:p>
    <w:p w14:paraId="33B66C8E">
      <w:r>
        <w:rPr>
          <w:rFonts w:ascii="宋体" w:hAnsi="宋体" w:eastAsia="宋体"/>
          <w:b/>
          <w:color w:val="C00000"/>
          <w:sz w:val="22"/>
        </w:rPr>
        <w:t>【V6.0核心升级】当检测到学员上传的是已有论文/解题思路/代码/图表等成果（而非原始题目+数据）时，自动进入检测评估+自动整改模式！不仅检测问题，还基于提示词要求自动修改优化，消除检测出的问题！</w:t>
      </w:r>
    </w:p>
    <w:p w14:paraId="0D36B8F1">
      <w:pPr>
        <w:ind w:left="400"/>
      </w:pPr>
      <w:r>
        <w:rPr>
          <w:rFonts w:ascii="宋体" w:hAnsi="宋体" w:eastAsia="宋体"/>
          <w:b w:val="0"/>
          <w:sz w:val="21"/>
        </w:rPr>
        <w:t>• 功能1【检测】：将学员上传的成果与国奖级标准进行多维度对比检测，评估是否达到国赛国奖级要求</w:t>
      </w:r>
    </w:p>
    <w:p w14:paraId="74C7A371">
      <w:pPr>
        <w:ind w:left="400"/>
      </w:pPr>
      <w:r>
        <w:rPr>
          <w:rFonts w:ascii="宋体" w:hAnsi="宋体" w:eastAsia="宋体"/>
          <w:b w:val="0"/>
          <w:sz w:val="21"/>
        </w:rPr>
        <w:t>• 功能2【自动整改】：基于检测出的问题，按照本提示词的国奖级要求自动修改和优化学员上传的成果，消除问题</w:t>
      </w:r>
    </w:p>
    <w:p w14:paraId="4704811F">
      <w:pPr>
        <w:ind w:left="400"/>
      </w:pPr>
      <w:r>
        <w:rPr>
          <w:rFonts w:ascii="宋体" w:hAnsi="宋体" w:eastAsia="宋体"/>
          <w:b w:val="0"/>
          <w:sz w:val="21"/>
        </w:rPr>
        <w:t>• 评估维度：检验类型匹配度/检验方法正确性/指标完整性/结论可靠性/改进建议可操作性/检验图表质量</w:t>
      </w:r>
    </w:p>
    <w:p w14:paraId="46BDD9BE">
      <w:pPr>
        <w:ind w:left="400"/>
      </w:pPr>
      <w:r>
        <w:rPr>
          <w:rFonts w:ascii="宋体" w:hAnsi="宋体" w:eastAsia="宋体"/>
          <w:b w:val="0"/>
          <w:sz w:val="21"/>
        </w:rPr>
        <w:t>• 整改流程：①多维度检测→②生成HTML检测报告→③按优先级(P0→P1→P2)自动整改→④整改后复检→⑤输出整改后成果+HTML整改报告(含整改前后对比)</w:t>
      </w:r>
    </w:p>
    <w:p w14:paraId="765B3975">
      <w:pPr>
        <w:ind w:left="400"/>
      </w:pPr>
      <w:r>
        <w:rPr>
          <w:rFonts w:ascii="宋体" w:hAnsi="宋体" w:eastAsia="宋体"/>
          <w:b w:val="0"/>
          <w:sz w:val="21"/>
        </w:rPr>
        <w:t>• 整改原则：能自动修改的自动修改（如格式/排版/公式/图表/代码），不能自动修改的给出详细修改方案（如模型重构/创新点设计），不得只检测不整改！</w:t>
      </w:r>
    </w:p>
    <w:p w14:paraId="57F1AD10">
      <w:pPr>
        <w:ind w:left="400"/>
      </w:pPr>
      <w:r>
        <w:rPr>
          <w:rFonts w:ascii="宋体" w:hAnsi="宋体" w:eastAsia="宋体"/>
          <w:b w:val="0"/>
          <w:sz w:val="21"/>
        </w:rPr>
        <w:t>• 输出：强制输出①整改后的成果文件（修改后的论文/代码/图表）②HTML格式的整改报告（文件名：整改报告_学员成果名称.html），报告最开始给出检测结果总览，然后列出整改清单+整改前后对比+复检结果</w:t>
      </w:r>
    </w:p>
    <w:p w14:paraId="763F4A4B">
      <w:pPr>
        <w:ind w:left="400"/>
      </w:pPr>
      <w:r>
        <w:rPr>
          <w:rFonts w:ascii="宋体" w:hAnsi="宋体" w:eastAsia="宋体"/>
          <w:b w:val="0"/>
          <w:sz w:val="21"/>
        </w:rPr>
        <w:t>• HTML整改报告必须包含8个部分：①检测结果总览(等级+总分+核心问题) ②多维度评分可视化 ③分维度详细分析 ④国奖级标准对照表 ⑤优先级整改清单(P0/P1/P2) ⑥整改前后对比(逐项展示修改内容) ⑦复检结果(整改后重新检测得分) ⑧底部信息栏</w:t>
      </w:r>
    </w:p>
    <w:p w14:paraId="136E9D03">
      <w:pPr>
        <w:ind w:left="400"/>
      </w:pPr>
      <w:r>
        <w:rPr>
          <w:rFonts w:ascii="宋体" w:hAnsi="宋体" w:eastAsia="宋体"/>
          <w:b w:val="0"/>
          <w:sz w:val="21"/>
        </w:rPr>
        <w:t>• 评估等级：国奖级(≥90分) / 国一(80-89) / 国二(70-79) / 省一(60-69) / 省二(50-59) / 需大幅改进(&lt;50)</w:t>
      </w:r>
    </w:p>
    <w:p w14:paraId="53E8EFDD">
      <w:pPr>
        <w:ind w:left="400"/>
      </w:pPr>
      <w:r>
        <w:rPr>
          <w:rFonts w:ascii="宋体" w:hAnsi="宋体" w:eastAsia="宋体"/>
          <w:b w:val="0"/>
          <w:sz w:val="21"/>
        </w:rPr>
        <w:t>• 如学员明确只需要检测不需要整改，则只输出HTML检测报告；默认执行检测+自动整改一体化</w:t>
      </w:r>
    </w:p>
    <w:p w14:paraId="399E8301">
      <w:r>
        <w:rPr>
          <w:rFonts w:ascii="黑体" w:hAnsi="黑体" w:eastAsia="黑体"/>
          <w:b/>
          <w:color w:val="404040"/>
          <w:sz w:val="23"/>
        </w:rPr>
        <w:t>「模型检验标准化交接包」输出格式（强制）</w:t>
      </w:r>
    </w:p>
    <w:p w14:paraId="7FCC4F29">
      <w:r>
        <w:rPr>
          <w:rFonts w:ascii="宋体" w:hAnsi="宋体" w:eastAsia="宋体"/>
          <w:b w:val="0"/>
          <w:sz w:val="22"/>
        </w:rPr>
        <w:t>本步完成后必须输出以下结构化交接包（JSON格式），供下一步自动读取：</w:t>
      </w:r>
    </w:p>
    <w:p w14:paraId="3C743145">
      <w:pPr>
        <w:shd w:val="clear" w:fill="F5F5F5"/>
      </w:pPr>
      <w:r>
        <w:rPr>
          <w:rFonts w:ascii="Consolas" w:hAnsi="Consolas"/>
          <w:color w:val="1A1A1A"/>
          <w:sz w:val="17"/>
        </w:rPr>
        <w:t>{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"各小问检验方法": "问题一:灵敏度分析; 问题二:误差分析..."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"检验指标数值": "MAE=XXX; RMSE=XXX; R²=XXX..."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"检验图表路径": "figs/test1.png; figs/test2.png..."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"检验结论": "问题一:通过/不通过+结论; 问题二:..."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"改进建议": "如不通过，具体改进方向和参数调整建议"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>}</w:t>
      </w:r>
    </w:p>
    <w:p w14:paraId="1F23F01F">
      <w:r>
        <w:rPr>
          <w:rFonts w:ascii="宋体" w:hAnsi="宋体" w:eastAsia="宋体"/>
          <w:b/>
          <w:color w:val="C00000"/>
          <w:sz w:val="22"/>
        </w:rPr>
        <w:t>【三模式铁律】无论哪种模式，输出质量标准完全一致！串联模式必须严格遵循前一步方案，独立模式必须自行完成前置工作，检测评估+自动整改模式必须既检测又整改，不得只检测不整改！不得因模式不同而降低质量！</w:t>
      </w:r>
    </w:p>
    <w:p w14:paraId="583E2BCE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7942764E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一、输入（三模式）</w:t>
      </w:r>
    </w:p>
    <w:p w14:paraId="19C58A1C">
      <w:pPr>
        <w:ind w:left="400"/>
      </w:pPr>
      <w:r>
        <w:rPr>
          <w:rFonts w:ascii="宋体" w:hAnsi="宋体" w:eastAsia="宋体"/>
          <w:b w:val="0"/>
          <w:sz w:val="21"/>
        </w:rPr>
        <w:t>• 串联模式：自动读取「建模求解交接包」(模型+求解结果+检验建议)+代码</w:t>
      </w:r>
    </w:p>
    <w:p w14:paraId="6DC52401">
      <w:pPr>
        <w:ind w:left="400"/>
      </w:pPr>
      <w:r>
        <w:rPr>
          <w:rFonts w:ascii="宋体" w:hAnsi="宋体" w:eastAsia="宋体"/>
          <w:b w:val="0"/>
          <w:sz w:val="21"/>
        </w:rPr>
        <w:t>• 独立模式：模型+求解结果+代码(自行简要建模)</w:t>
      </w:r>
    </w:p>
    <w:p w14:paraId="07A7A257">
      <w:pPr>
        <w:ind w:left="400"/>
      </w:pPr>
      <w:r>
        <w:rPr>
          <w:rFonts w:ascii="宋体" w:hAnsi="宋体" w:eastAsia="宋体"/>
          <w:b w:val="0"/>
          <w:sz w:val="21"/>
        </w:rPr>
        <w:t>• 检测评估模式：学员上传的检验报告/检验代码/论文中的检验章节</w:t>
      </w:r>
    </w:p>
    <w:p w14:paraId="7674BD90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二、输出</w:t>
      </w:r>
    </w:p>
    <w:p w14:paraId="1223E528">
      <w:pPr>
        <w:ind w:left="400"/>
      </w:pPr>
      <w:r>
        <w:rPr>
          <w:rFonts w:ascii="宋体" w:hAnsi="宋体" w:eastAsia="宋体"/>
          <w:b w:val="0"/>
          <w:sz w:val="21"/>
        </w:rPr>
        <w:t>• 解题模式：①每个问题的检验报告(5.X.5) ②检验图表 ③检验结论 ④改进建议(如不通过) ⑤标准化交接包</w:t>
      </w:r>
    </w:p>
    <w:p w14:paraId="156EE90D">
      <w:pPr>
        <w:ind w:left="400"/>
      </w:pPr>
      <w:r>
        <w:rPr>
          <w:rFonts w:ascii="宋体" w:hAnsi="宋体" w:eastAsia="宋体"/>
          <w:b w:val="0"/>
          <w:sz w:val="21"/>
        </w:rPr>
        <w:t>• 检测评估模式：HTML评估报告（强制）</w:t>
      </w:r>
    </w:p>
    <w:p w14:paraId="4618EF09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三、智能检验类型匹配机制（补充原始细节）</w:t>
      </w:r>
    </w:p>
    <w:p w14:paraId="2841132E">
      <w:pPr>
        <w:ind w:left="400"/>
      </w:pPr>
      <w:r>
        <w:rPr>
          <w:rFonts w:ascii="宋体" w:hAnsi="宋体" w:eastAsia="宋体"/>
          <w:b w:val="0"/>
          <w:sz w:val="21"/>
        </w:rPr>
        <w:t>• 模型类型识别：先识别模型类型(优化/预测/评价/分类/微分方程/仿真)，再选择检验类型</w:t>
      </w:r>
    </w:p>
    <w:p w14:paraId="500C3ABD">
      <w:pPr>
        <w:ind w:left="400"/>
      </w:pPr>
      <w:r>
        <w:rPr>
          <w:rFonts w:ascii="宋体" w:hAnsi="宋体" w:eastAsia="宋体"/>
          <w:b w:val="0"/>
          <w:sz w:val="21"/>
        </w:rPr>
        <w:t>• 检验类型-模型类型适配矩阵：根据矩阵选择必做/推荐/不适用的检验类型</w:t>
      </w:r>
    </w:p>
    <w:p w14:paraId="33E58052">
      <w:pPr>
        <w:ind w:left="400"/>
      </w:pPr>
      <w:r>
        <w:rPr>
          <w:rFonts w:ascii="宋体" w:hAnsi="宋体" w:eastAsia="宋体"/>
          <w:b w:val="0"/>
          <w:sz w:val="21"/>
        </w:rPr>
        <w:t>• 检验类型选择决策流程：识别模型类型→查适配矩阵→确定必做检验→选择推荐检验→输出检验方案</w:t>
      </w:r>
    </w:p>
    <w:p w14:paraId="209C29E3">
      <w:pPr>
        <w:ind w:left="400"/>
      </w:pPr>
      <w:r>
        <w:rPr>
          <w:rFonts w:ascii="宋体" w:hAnsi="宋体" w:eastAsia="宋体"/>
          <w:b w:val="0"/>
          <w:sz w:val="21"/>
        </w:rPr>
        <w:t>• 检验类型误用警示：明确列出常见误用(如对优化模型算R²)，必须避免</w:t>
      </w:r>
    </w:p>
    <w:p w14:paraId="5D126CB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四、检验位置（V4.1修正）</w:t>
      </w:r>
    </w:p>
    <w:p w14:paraId="71BF947E">
      <w:r>
        <w:rPr>
          <w:rFonts w:ascii="宋体" w:hAnsi="宋体" w:eastAsia="宋体"/>
          <w:b/>
          <w:color w:val="C00000"/>
          <w:sz w:val="22"/>
        </w:rPr>
        <w:t>模型检验是每个问题的5.X.5子节，在模型求解(5.X.4)之后立即进行，不是单独的第六章！每问求解后立即检验，不通过则返回修正该问题模型！</w:t>
      </w:r>
    </w:p>
    <w:p w14:paraId="0061519B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五、智能检验匹配（禁止机械套用）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4964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497D"/>
          </w:tcPr>
          <w:p w14:paraId="0DDE3103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检验类型</w:t>
            </w:r>
          </w:p>
        </w:tc>
        <w:tc>
          <w:tcPr>
            <w:tcW w:w="1728" w:type="dxa"/>
            <w:shd w:val="clear" w:color="auto" w:fill="1F497D"/>
          </w:tcPr>
          <w:p w14:paraId="5B416B4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优化模型</w:t>
            </w:r>
          </w:p>
        </w:tc>
        <w:tc>
          <w:tcPr>
            <w:tcW w:w="1728" w:type="dxa"/>
            <w:shd w:val="clear" w:color="auto" w:fill="1F497D"/>
          </w:tcPr>
          <w:p w14:paraId="4ABE147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预测模型</w:t>
            </w:r>
          </w:p>
        </w:tc>
        <w:tc>
          <w:tcPr>
            <w:tcW w:w="1728" w:type="dxa"/>
            <w:shd w:val="clear" w:color="auto" w:fill="1F497D"/>
          </w:tcPr>
          <w:p w14:paraId="69E74F44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评价模型</w:t>
            </w:r>
          </w:p>
        </w:tc>
        <w:tc>
          <w:tcPr>
            <w:tcW w:w="1728" w:type="dxa"/>
            <w:shd w:val="clear" w:color="auto" w:fill="1F497D"/>
          </w:tcPr>
          <w:p w14:paraId="7C265E23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分类模型</w:t>
            </w:r>
          </w:p>
        </w:tc>
      </w:tr>
      <w:tr w14:paraId="64B76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8343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误差分析</w:t>
            </w:r>
          </w:p>
        </w:tc>
        <w:tc>
          <w:tcPr>
            <w:tcW w:w="1728" w:type="dxa"/>
          </w:tcPr>
          <w:p w14:paraId="1558AC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不适用</w:t>
            </w:r>
          </w:p>
        </w:tc>
        <w:tc>
          <w:tcPr>
            <w:tcW w:w="1728" w:type="dxa"/>
          </w:tcPr>
          <w:p w14:paraId="517C75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  <w:tc>
          <w:tcPr>
            <w:tcW w:w="1728" w:type="dxa"/>
          </w:tcPr>
          <w:p w14:paraId="21DB31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不适用</w:t>
            </w:r>
          </w:p>
        </w:tc>
        <w:tc>
          <w:tcPr>
            <w:tcW w:w="1728" w:type="dxa"/>
          </w:tcPr>
          <w:p w14:paraId="344D8D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可选</w:t>
            </w:r>
          </w:p>
        </w:tc>
      </w:tr>
      <w:tr w14:paraId="4231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EE4C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灵敏度分析</w:t>
            </w:r>
          </w:p>
        </w:tc>
        <w:tc>
          <w:tcPr>
            <w:tcW w:w="1728" w:type="dxa"/>
          </w:tcPr>
          <w:p w14:paraId="528162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  <w:tc>
          <w:tcPr>
            <w:tcW w:w="1728" w:type="dxa"/>
          </w:tcPr>
          <w:p w14:paraId="274121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推荐</w:t>
            </w:r>
          </w:p>
        </w:tc>
        <w:tc>
          <w:tcPr>
            <w:tcW w:w="1728" w:type="dxa"/>
          </w:tcPr>
          <w:p w14:paraId="4472DD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  <w:tc>
          <w:tcPr>
            <w:tcW w:w="1728" w:type="dxa"/>
          </w:tcPr>
          <w:p w14:paraId="3CF027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可选</w:t>
            </w:r>
          </w:p>
        </w:tc>
      </w:tr>
      <w:tr w14:paraId="27D1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D23C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鲁棒性分析</w:t>
            </w:r>
          </w:p>
        </w:tc>
        <w:tc>
          <w:tcPr>
            <w:tcW w:w="1728" w:type="dxa"/>
          </w:tcPr>
          <w:p w14:paraId="0FFE14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  <w:tc>
          <w:tcPr>
            <w:tcW w:w="1728" w:type="dxa"/>
          </w:tcPr>
          <w:p w14:paraId="5B2C1F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推荐</w:t>
            </w:r>
          </w:p>
        </w:tc>
        <w:tc>
          <w:tcPr>
            <w:tcW w:w="1728" w:type="dxa"/>
          </w:tcPr>
          <w:p w14:paraId="5E11D8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  <w:tc>
          <w:tcPr>
            <w:tcW w:w="1728" w:type="dxa"/>
          </w:tcPr>
          <w:p w14:paraId="2D6607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</w:tr>
      <w:tr w14:paraId="672D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7CF5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对比验证</w:t>
            </w:r>
          </w:p>
        </w:tc>
        <w:tc>
          <w:tcPr>
            <w:tcW w:w="1728" w:type="dxa"/>
          </w:tcPr>
          <w:p w14:paraId="02DBF8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  <w:tc>
          <w:tcPr>
            <w:tcW w:w="1728" w:type="dxa"/>
          </w:tcPr>
          <w:p w14:paraId="4031EB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  <w:tc>
          <w:tcPr>
            <w:tcW w:w="1728" w:type="dxa"/>
          </w:tcPr>
          <w:p w14:paraId="0F70F9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推荐</w:t>
            </w:r>
          </w:p>
        </w:tc>
        <w:tc>
          <w:tcPr>
            <w:tcW w:w="1728" w:type="dxa"/>
          </w:tcPr>
          <w:p w14:paraId="3E95AA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</w:tr>
      <w:tr w14:paraId="28B2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8FDB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最优性间隙</w:t>
            </w:r>
          </w:p>
        </w:tc>
        <w:tc>
          <w:tcPr>
            <w:tcW w:w="1728" w:type="dxa"/>
          </w:tcPr>
          <w:p w14:paraId="03C7B2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  <w:tc>
          <w:tcPr>
            <w:tcW w:w="1728" w:type="dxa"/>
          </w:tcPr>
          <w:p w14:paraId="1324FB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不适用</w:t>
            </w:r>
          </w:p>
        </w:tc>
        <w:tc>
          <w:tcPr>
            <w:tcW w:w="1728" w:type="dxa"/>
          </w:tcPr>
          <w:p w14:paraId="6595BB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不适用</w:t>
            </w:r>
          </w:p>
        </w:tc>
        <w:tc>
          <w:tcPr>
            <w:tcW w:w="1728" w:type="dxa"/>
          </w:tcPr>
          <w:p w14:paraId="65BD08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不适用</w:t>
            </w:r>
          </w:p>
        </w:tc>
      </w:tr>
      <w:tr w14:paraId="3132B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54FD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交叉验证</w:t>
            </w:r>
          </w:p>
        </w:tc>
        <w:tc>
          <w:tcPr>
            <w:tcW w:w="1728" w:type="dxa"/>
          </w:tcPr>
          <w:p w14:paraId="06BA10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不适用</w:t>
            </w:r>
          </w:p>
        </w:tc>
        <w:tc>
          <w:tcPr>
            <w:tcW w:w="1728" w:type="dxa"/>
          </w:tcPr>
          <w:p w14:paraId="6063DD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  <w:tc>
          <w:tcPr>
            <w:tcW w:w="1728" w:type="dxa"/>
          </w:tcPr>
          <w:p w14:paraId="21B7E1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不适用</w:t>
            </w:r>
          </w:p>
        </w:tc>
        <w:tc>
          <w:tcPr>
            <w:tcW w:w="1728" w:type="dxa"/>
          </w:tcPr>
          <w:p w14:paraId="034012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必做</w:t>
            </w:r>
          </w:p>
        </w:tc>
      </w:tr>
    </w:tbl>
    <w:p w14:paraId="74041074"/>
    <w:p w14:paraId="26FF9FB0">
      <w:r>
        <w:rPr>
          <w:rFonts w:ascii="宋体" w:hAnsi="宋体" w:eastAsia="宋体"/>
          <w:b/>
          <w:color w:val="E65100"/>
          <w:sz w:val="22"/>
        </w:rPr>
        <w:t>常见误用：①对优化模型算R²/MAPE ②对评价模型做交叉验证 ③小样本(&lt;30)做K-fold ④灵敏度只扰动一个参数(至少3个)</w:t>
      </w:r>
    </w:p>
    <w:p w14:paraId="4227FBE6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六、国奖优秀论文检验共性特征（补充原始细节）</w:t>
      </w:r>
    </w:p>
    <w:p w14:paraId="1C7F3F4F">
      <w:pPr>
        <w:ind w:left="400"/>
      </w:pPr>
      <w:r>
        <w:rPr>
          <w:rFonts w:ascii="宋体" w:hAnsi="宋体" w:eastAsia="宋体"/>
          <w:b w:val="0"/>
          <w:sz w:val="21"/>
        </w:rPr>
        <w:t>• 检验类型智能匹配，不机械套用四大检验</w:t>
      </w:r>
    </w:p>
    <w:p w14:paraId="6AA46120">
      <w:pPr>
        <w:ind w:left="400"/>
      </w:pPr>
      <w:r>
        <w:rPr>
          <w:rFonts w:ascii="宋体" w:hAnsi="宋体" w:eastAsia="宋体"/>
          <w:b w:val="0"/>
          <w:sz w:val="21"/>
        </w:rPr>
        <w:t>• 每个检验有明确的量化指标和阈值(如MAPE&lt;10%优秀，CV&lt;10%稳健)</w:t>
      </w:r>
    </w:p>
    <w:p w14:paraId="39A9211C">
      <w:pPr>
        <w:ind w:left="400"/>
      </w:pPr>
      <w:r>
        <w:rPr>
          <w:rFonts w:ascii="宋体" w:hAnsi="宋体" w:eastAsia="宋体"/>
          <w:b w:val="0"/>
          <w:sz w:val="21"/>
        </w:rPr>
        <w:t>• 检验图表专业：龙卷风图/三联图/雷达图/箱线图，配色专业</w:t>
      </w:r>
    </w:p>
    <w:p w14:paraId="2581EAB7">
      <w:pPr>
        <w:ind w:left="400"/>
      </w:pPr>
      <w:r>
        <w:rPr>
          <w:rFonts w:ascii="宋体" w:hAnsi="宋体" w:eastAsia="宋体"/>
          <w:b w:val="0"/>
          <w:sz w:val="21"/>
        </w:rPr>
        <w:t>• 检验结论明确：通过/不通过，不通过有具体改进建议</w:t>
      </w:r>
    </w:p>
    <w:p w14:paraId="196ACE59">
      <w:pPr>
        <w:ind w:left="400"/>
      </w:pPr>
      <w:r>
        <w:rPr>
          <w:rFonts w:ascii="宋体" w:hAnsi="宋体" w:eastAsia="宋体"/>
          <w:b w:val="0"/>
          <w:sz w:val="21"/>
        </w:rPr>
        <w:t>• 检验不通过必须返回修正模型，不得带病交付</w:t>
      </w:r>
    </w:p>
    <w:p w14:paraId="4081598C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七、四大核心检验</w:t>
      </w:r>
    </w:p>
    <w:p w14:paraId="78BBA23F">
      <w:pPr>
        <w:ind w:left="400"/>
      </w:pPr>
      <w:r>
        <w:rPr>
          <w:rFonts w:ascii="宋体" w:hAnsi="宋体" w:eastAsia="宋体"/>
          <w:b w:val="0"/>
          <w:sz w:val="21"/>
        </w:rPr>
        <w:t>• 误差分析(仅预测/分类)：MAE/RMSE/MAPE/R²至少3种+三联图(散点+残差+分布)</w:t>
      </w:r>
    </w:p>
    <w:p w14:paraId="310D6DED">
      <w:pPr>
        <w:ind w:left="400"/>
      </w:pPr>
      <w:r>
        <w:rPr>
          <w:rFonts w:ascii="宋体" w:hAnsi="宋体" w:eastAsia="宋体"/>
          <w:b w:val="0"/>
          <w:sz w:val="21"/>
        </w:rPr>
        <w:t>• 灵敏度分析(优化/评价/微分方程)：至少3个参数±10%/±20%扰动+归一化灵敏度系数+龙卷风图</w:t>
      </w:r>
    </w:p>
    <w:p w14:paraId="57B8243B">
      <w:pPr>
        <w:ind w:left="400"/>
      </w:pPr>
      <w:r>
        <w:rPr>
          <w:rFonts w:ascii="宋体" w:hAnsi="宋体" w:eastAsia="宋体"/>
          <w:b w:val="0"/>
          <w:sz w:val="21"/>
        </w:rPr>
        <w:t>• 鲁棒性分析(绝大多数必做)：数据扰动/滚动预测/权重扰动+变异系数CV+子样本检验(≥50次)</w:t>
      </w:r>
    </w:p>
    <w:p w14:paraId="70BAB342">
      <w:pPr>
        <w:ind w:left="400"/>
      </w:pPr>
      <w:r>
        <w:rPr>
          <w:rFonts w:ascii="宋体" w:hAnsi="宋体" w:eastAsia="宋体"/>
          <w:b w:val="0"/>
          <w:sz w:val="21"/>
        </w:rPr>
        <w:t>• 对比验证(绝大多数必做)：与简化模型/文献结果/消融实验对比+雷达图+量化提升幅度</w:t>
      </w:r>
    </w:p>
    <w:p w14:paraId="77D50673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八、模型专用检验</w:t>
      </w:r>
    </w:p>
    <w:p w14:paraId="25F5285E">
      <w:pPr>
        <w:ind w:left="400"/>
      </w:pPr>
      <w:r>
        <w:rPr>
          <w:rFonts w:ascii="宋体" w:hAnsi="宋体" w:eastAsia="宋体"/>
          <w:b w:val="0"/>
          <w:sz w:val="21"/>
        </w:rPr>
        <w:t>• 优化模型：最优性间隙Gap+约束满足率CSR</w:t>
      </w:r>
    </w:p>
    <w:p w14:paraId="65B9D7B5">
      <w:pPr>
        <w:ind w:left="400"/>
      </w:pPr>
      <w:r>
        <w:rPr>
          <w:rFonts w:ascii="宋体" w:hAnsi="宋体" w:eastAsia="宋体"/>
          <w:b w:val="0"/>
          <w:sz w:val="21"/>
        </w:rPr>
        <w:t>• 预测模型：K-fold交叉验证(K=5或10)，时序用TimeSeriesSplit</w:t>
      </w:r>
    </w:p>
    <w:p w14:paraId="2A665078">
      <w:pPr>
        <w:ind w:left="400"/>
      </w:pPr>
      <w:r>
        <w:rPr>
          <w:rFonts w:ascii="宋体" w:hAnsi="宋体" w:eastAsia="宋体"/>
          <w:b w:val="0"/>
          <w:sz w:val="21"/>
        </w:rPr>
        <w:t>• 评价模型：AHP一致性CR&lt;0.1+权重灵敏度(Spearman)</w:t>
      </w:r>
    </w:p>
    <w:p w14:paraId="542ACD2E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九、论文检验整改全流程（补充原始细节）</w:t>
      </w:r>
    </w:p>
    <w:p w14:paraId="7F0D0F5A">
      <w:pPr>
        <w:ind w:left="400"/>
      </w:pPr>
      <w:r>
        <w:rPr>
          <w:rFonts w:ascii="宋体" w:hAnsi="宋体" w:eastAsia="宋体"/>
          <w:b w:val="0"/>
          <w:sz w:val="21"/>
        </w:rPr>
        <w:t>• 步骤1：论文解析与模型识别——读取论文，识别每个问题的模型类型和核心结果</w:t>
      </w:r>
    </w:p>
    <w:p w14:paraId="5CFFFD6D">
      <w:pPr>
        <w:ind w:left="400"/>
      </w:pPr>
      <w:r>
        <w:rPr>
          <w:rFonts w:ascii="宋体" w:hAnsi="宋体" w:eastAsia="宋体"/>
          <w:b w:val="0"/>
          <w:sz w:val="21"/>
        </w:rPr>
        <w:t>• 步骤2：智能检验类型匹配——根据模型类型选择必做/推荐检验</w:t>
      </w:r>
    </w:p>
    <w:p w14:paraId="57A53F77">
      <w:pPr>
        <w:ind w:left="400"/>
      </w:pPr>
      <w:r>
        <w:rPr>
          <w:rFonts w:ascii="宋体" w:hAnsi="宋体" w:eastAsia="宋体"/>
          <w:b w:val="0"/>
          <w:sz w:val="21"/>
        </w:rPr>
        <w:t>• 步骤3：逐项检查与诊断——检查每个检验是否完成、指标是否达标、图表是否专业</w:t>
      </w:r>
    </w:p>
    <w:p w14:paraId="271DB68D">
      <w:pPr>
        <w:ind w:left="400"/>
      </w:pPr>
      <w:r>
        <w:rPr>
          <w:rFonts w:ascii="宋体" w:hAnsi="宋体" w:eastAsia="宋体"/>
          <w:b w:val="0"/>
          <w:sz w:val="21"/>
        </w:rPr>
        <w:t>• 步骤4：整改方案设计——对未通过的检验，设计具体整改方案(调整模型/增加检验/修正指标)</w:t>
      </w:r>
    </w:p>
    <w:p w14:paraId="35D54160">
      <w:pPr>
        <w:ind w:left="400"/>
      </w:pPr>
      <w:r>
        <w:rPr>
          <w:rFonts w:ascii="宋体" w:hAnsi="宋体" w:eastAsia="宋体"/>
          <w:b w:val="0"/>
          <w:sz w:val="21"/>
        </w:rPr>
        <w:t>• 步骤5：整改后复检——整改完成后重新检验，直至通过</w:t>
      </w:r>
    </w:p>
    <w:p w14:paraId="3C6D97A5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十、检验不通过处理</w:t>
      </w:r>
    </w:p>
    <w:p w14:paraId="1DE09A35">
      <w:r>
        <w:rPr>
          <w:rFonts w:ascii="宋体" w:hAnsi="宋体" w:eastAsia="宋体"/>
          <w:b/>
          <w:color w:val="C00000"/>
          <w:sz w:val="22"/>
        </w:rPr>
        <w:t>检验不通过必须自动返回修正该问题模型，重新求解后再检验，直至通过。不得带病进入论文写作！</w:t>
      </w:r>
    </w:p>
    <w:p w14:paraId="140D25B0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十一、检测评估模式评估维度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039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12BE3F0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w="2880" w:type="dxa"/>
            <w:shd w:val="clear" w:color="auto" w:fill="1F497D"/>
          </w:tcPr>
          <w:p w14:paraId="2E0D77B2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国奖级标准</w:t>
            </w:r>
          </w:p>
        </w:tc>
        <w:tc>
          <w:tcPr>
            <w:tcW w:w="2880" w:type="dxa"/>
            <w:shd w:val="clear" w:color="auto" w:fill="1F497D"/>
          </w:tcPr>
          <w:p w14:paraId="6B6FCD4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评估要点</w:t>
            </w:r>
          </w:p>
        </w:tc>
      </w:tr>
      <w:tr w14:paraId="4F2F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60BB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检验类型匹配</w:t>
            </w:r>
          </w:p>
        </w:tc>
        <w:tc>
          <w:tcPr>
            <w:tcW w:w="2880" w:type="dxa"/>
          </w:tcPr>
          <w:p w14:paraId="5E3778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智能匹配，不机械套用</w:t>
            </w:r>
          </w:p>
        </w:tc>
        <w:tc>
          <w:tcPr>
            <w:tcW w:w="2880" w:type="dxa"/>
          </w:tcPr>
          <w:p w14:paraId="63397A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是否根据模型类型选择检验，是否有常见误用</w:t>
            </w:r>
          </w:p>
        </w:tc>
      </w:tr>
      <w:tr w14:paraId="05FD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B61A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检验方法</w:t>
            </w:r>
          </w:p>
        </w:tc>
        <w:tc>
          <w:tcPr>
            <w:tcW w:w="2880" w:type="dxa"/>
          </w:tcPr>
          <w:p w14:paraId="323265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方法正确，指标完整</w:t>
            </w:r>
          </w:p>
        </w:tc>
        <w:tc>
          <w:tcPr>
            <w:tcW w:w="2880" w:type="dxa"/>
          </w:tcPr>
          <w:p w14:paraId="6D37DE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检验方法是否正确，指标是否完整，是否有量化阈值</w:t>
            </w:r>
          </w:p>
        </w:tc>
      </w:tr>
      <w:tr w14:paraId="534C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4E03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结论可靠性</w:t>
            </w:r>
          </w:p>
        </w:tc>
        <w:tc>
          <w:tcPr>
            <w:tcW w:w="2880" w:type="dxa"/>
          </w:tcPr>
          <w:p w14:paraId="07FFB5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结论明确，有数据支撑</w:t>
            </w:r>
          </w:p>
        </w:tc>
        <w:tc>
          <w:tcPr>
            <w:tcW w:w="2880" w:type="dxa"/>
          </w:tcPr>
          <w:p w14:paraId="6E66B4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结论是否明确，是否有数据支撑，是否过于笼统</w:t>
            </w:r>
          </w:p>
        </w:tc>
      </w:tr>
      <w:tr w14:paraId="09A98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0CE1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改进建议</w:t>
            </w:r>
          </w:p>
        </w:tc>
        <w:tc>
          <w:tcPr>
            <w:tcW w:w="2880" w:type="dxa"/>
          </w:tcPr>
          <w:p w14:paraId="672075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具体可操作</w:t>
            </w:r>
          </w:p>
        </w:tc>
        <w:tc>
          <w:tcPr>
            <w:tcW w:w="2880" w:type="dxa"/>
          </w:tcPr>
          <w:p w14:paraId="598E6F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改进建议是否具体可操作，是否只说「需要改进」</w:t>
            </w:r>
          </w:p>
        </w:tc>
      </w:tr>
      <w:tr w14:paraId="38244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05A8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检验图表</w:t>
            </w:r>
          </w:p>
        </w:tc>
        <w:tc>
          <w:tcPr>
            <w:tcW w:w="2880" w:type="dxa"/>
          </w:tcPr>
          <w:p w14:paraId="250979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专业，配色专业，标注完整</w:t>
            </w:r>
          </w:p>
        </w:tc>
        <w:tc>
          <w:tcPr>
            <w:tcW w:w="2880" w:type="dxa"/>
          </w:tcPr>
          <w:p w14:paraId="3C76ED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图表是否专业，配色是否专业，标注是否完整</w:t>
            </w:r>
          </w:p>
        </w:tc>
      </w:tr>
      <w:tr w14:paraId="196E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2361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不通过处理</w:t>
            </w:r>
          </w:p>
        </w:tc>
        <w:tc>
          <w:tcPr>
            <w:tcW w:w="2880" w:type="dxa"/>
          </w:tcPr>
          <w:p w14:paraId="33E0C3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必须返回修正</w:t>
            </w:r>
          </w:p>
        </w:tc>
        <w:tc>
          <w:tcPr>
            <w:tcW w:w="2880" w:type="dxa"/>
          </w:tcPr>
          <w:p w14:paraId="1A9DF8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检验不通过是否返回修正，是否带病交付</w:t>
            </w:r>
          </w:p>
        </w:tc>
      </w:tr>
    </w:tbl>
    <w:p w14:paraId="68BFE375"/>
    <w:p w14:paraId="5B331B53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十二、本提示词整改能力（检测+自动整改）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CA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5FD51442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整改类型</w:t>
            </w:r>
          </w:p>
        </w:tc>
        <w:tc>
          <w:tcPr>
            <w:tcW w:w="2880" w:type="dxa"/>
            <w:shd w:val="clear" w:color="auto" w:fill="1F497D"/>
          </w:tcPr>
          <w:p w14:paraId="63ED6179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可自动整改的内容</w:t>
            </w:r>
          </w:p>
        </w:tc>
        <w:tc>
          <w:tcPr>
            <w:tcW w:w="2880" w:type="dxa"/>
            <w:shd w:val="clear" w:color="auto" w:fill="1F497D"/>
          </w:tcPr>
          <w:p w14:paraId="73680AB9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整改方式</w:t>
            </w:r>
          </w:p>
        </w:tc>
      </w:tr>
      <w:tr w14:paraId="49893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9971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P0致命</w:t>
            </w:r>
          </w:p>
        </w:tc>
        <w:tc>
          <w:tcPr>
            <w:tcW w:w="2880" w:type="dxa"/>
          </w:tcPr>
          <w:p w14:paraId="143CCC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检验类型完全错误(如对优化模型算R²)、检验指标缺失、检验代码无法运行</w:t>
            </w:r>
          </w:p>
        </w:tc>
        <w:tc>
          <w:tcPr>
            <w:tcW w:w="2880" w:type="dxa"/>
          </w:tcPr>
          <w:p w14:paraId="408567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修正检验类型+补充必做指标+修复检验代码</w:t>
            </w:r>
          </w:p>
        </w:tc>
      </w:tr>
      <w:tr w14:paraId="09AAC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DFE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P1重要</w:t>
            </w:r>
          </w:p>
        </w:tc>
        <w:tc>
          <w:tcPr>
            <w:tcW w:w="2880" w:type="dxa"/>
          </w:tcPr>
          <w:p w14:paraId="7AF0FB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检验不深入(只给数字不分析)、灵敏度只扰动1个参数、无对比验证</w:t>
            </w:r>
          </w:p>
        </w:tc>
        <w:tc>
          <w:tcPr>
            <w:tcW w:w="2880" w:type="dxa"/>
          </w:tcPr>
          <w:p w14:paraId="7CB987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完善检验分析+补充≥3个参数扰动+补充对比验证</w:t>
            </w:r>
          </w:p>
        </w:tc>
      </w:tr>
      <w:tr w14:paraId="1BEF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B148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P2优化</w:t>
            </w:r>
          </w:p>
        </w:tc>
        <w:tc>
          <w:tcPr>
            <w:tcW w:w="2880" w:type="dxa"/>
          </w:tcPr>
          <w:p w14:paraId="53A968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检验图表配色/标注、检验报告格式、结论表述</w:t>
            </w:r>
          </w:p>
        </w:tc>
        <w:tc>
          <w:tcPr>
            <w:tcW w:w="2880" w:type="dxa"/>
          </w:tcPr>
          <w:p w14:paraId="0E2190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美化检验图表+完善检验报告格式+学术化结论表述</w:t>
            </w:r>
          </w:p>
        </w:tc>
      </w:tr>
      <w:tr w14:paraId="4E3C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AFBE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需手动</w:t>
            </w:r>
          </w:p>
        </w:tc>
        <w:tc>
          <w:tcPr>
            <w:tcW w:w="2880" w:type="dxa"/>
          </w:tcPr>
          <w:p w14:paraId="33B3E6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模型本身有致命缺陷导致检验完全不通过、需要重新建模</w:t>
            </w:r>
          </w:p>
        </w:tc>
        <w:tc>
          <w:tcPr>
            <w:tcW w:w="2880" w:type="dxa"/>
          </w:tcPr>
          <w:p w14:paraId="707F99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给出模型缺陷分析和重新建模建议，需学员确认后执行</w:t>
            </w:r>
          </w:p>
        </w:tc>
      </w:tr>
    </w:tbl>
    <w:p w14:paraId="323AC5EA"/>
    <w:p w14:paraId="1B965104">
      <w:r>
        <w:rPr>
          <w:rFonts w:ascii="宋体" w:hAnsi="宋体" w:eastAsia="宋体"/>
          <w:b/>
          <w:color w:val="E65100"/>
          <w:sz w:val="22"/>
        </w:rPr>
        <w:t>整改后输出：修改后的检验代码_已整改.py + 检验报告_已整改.docx + HTML整改报告</w:t>
      </w:r>
    </w:p>
    <w:p w14:paraId="6F1D2748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1CEC3749">
      <w:r>
        <w:rPr>
          <w:rFonts w:ascii="宋体" w:hAnsi="宋体" w:eastAsia="宋体"/>
          <w:b/>
          <w:color w:val="C00000"/>
          <w:sz w:val="22"/>
        </w:rPr>
        <w:t>【模型检验V6.0结束】解题模式输出标准化交接包，检测评估模式输出HTML报告。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3E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3441</Words>
  <Characters>3747</Characters>
  <Lines>0</Lines>
  <Paragraphs>0</Paragraphs>
  <TotalTime>0</TotalTime>
  <ScaleCrop>false</ScaleCrop>
  <LinksUpToDate>false</LinksUpToDate>
  <CharactersWithSpaces>3850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2026-09-08T10:21:41Z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FB0F902070FF406FADB4275E21C391A0_12</vt:lpwstr>
  </property>
</Properties>
</file>