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7F6A">
      <w:pPr>
        <w:spacing w:before="200"/>
        <w:jc w:val="center"/>
        <w:rPr>
          <w:rFonts w:ascii="黑体" w:hAnsi="黑体" w:eastAsia="黑体"/>
          <w:b/>
          <w:color w:val="C00000"/>
          <w:sz w:val="44"/>
          <w:szCs w:val="44"/>
        </w:rPr>
      </w:pPr>
      <w:bookmarkStart w:id="0" w:name="_GoBack"/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数学建模国赛{图表美化}万能</w:t>
      </w:r>
      <w:r>
        <w:rPr>
          <w:rFonts w:ascii="黑体" w:hAnsi="黑体" w:eastAsia="黑体"/>
          <w:b/>
          <w:color w:val="C00000"/>
          <w:sz w:val="44"/>
          <w:szCs w:val="44"/>
        </w:rPr>
        <w:t>提示词</w:t>
      </w:r>
      <w:bookmarkEnd w:id="0"/>
    </w:p>
    <w:p w14:paraId="3B6D7698">
      <w:pPr>
        <w:spacing w:before="200"/>
        <w:jc w:val="center"/>
        <w:rPr>
          <w:sz w:val="36"/>
          <w:szCs w:val="36"/>
        </w:rPr>
      </w:pPr>
      <w:r>
        <w:rPr>
          <w:rFonts w:ascii="黑体" w:hAnsi="黑体" w:eastAsia="黑体"/>
          <w:b/>
          <w:color w:val="C00000"/>
          <w:sz w:val="36"/>
          <w:szCs w:val="36"/>
        </w:rPr>
        <w:t>（</w:t>
      </w:r>
      <w:r>
        <w:rPr>
          <w:rFonts w:hint="eastAsia" w:ascii="黑体" w:hAnsi="黑体" w:eastAsia="黑体"/>
          <w:b/>
          <w:color w:val="C00000"/>
          <w:sz w:val="36"/>
          <w:szCs w:val="36"/>
          <w:lang w:val="en-US" w:eastAsia="zh-CN"/>
        </w:rPr>
        <w:t>检测/修改/撰写</w:t>
      </w:r>
      <w:r>
        <w:rPr>
          <w:rFonts w:ascii="黑体" w:hAnsi="黑体" w:eastAsia="黑体"/>
          <w:b/>
          <w:color w:val="C00000"/>
          <w:sz w:val="36"/>
          <w:szCs w:val="36"/>
        </w:rPr>
        <w:t>三模式完整版）</w:t>
      </w:r>
    </w:p>
    <w:p w14:paraId="6321A314">
      <w:r>
        <w:rPr>
          <w:rFonts w:ascii="宋体" w:hAnsi="宋体" w:eastAsia="宋体"/>
          <w:b/>
          <w:sz w:val="22"/>
        </w:rPr>
        <w:t>第6步：对论文中所有图表(含示意图)进行专业美化，智能补充缺失图表，替换回论文+最终交付包。支持检测评估模式。</w:t>
      </w:r>
    </w:p>
    <w:p w14:paraId="0295E875">
      <w:r>
        <w:rPr>
          <w:rFonts w:ascii="宋体" w:hAnsi="宋体" w:eastAsia="宋体"/>
          <w:b/>
          <w:color w:val="E65100"/>
          <w:sz w:val="22"/>
        </w:rPr>
        <w:t>【通用规范引用·V6.0】排版格式、公式零乱码、流程图与示意图、HTML要点解析、三模式运行机制、检测评估+自动整改、HTML整改报告格式等通用规范，详见《超级提示词V6.0》。V6.0核心：①三模式运行(串联+独立+检测整改) ②检测+自动整改一体化 ③标准化交接包 ④自动检测适配 ⑤章节对标优秀论文 ⑥C题数据侧写 ⑦示意图+算法步骤表+完整模型给出 ⑧检测整改强制输出HTML报告+整改后成果。</w:t>
      </w:r>
    </w:p>
    <w:p w14:paraId="02BF3568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7C4FFC40">
      <w:r>
        <w:rPr>
          <w:rFonts w:ascii="黑体" w:hAnsi="黑体" w:eastAsia="黑体"/>
          <w:b/>
          <w:color w:val="2E75B6"/>
          <w:sz w:val="26"/>
        </w:rPr>
        <w:t>【三模式运行机制】V6.0核心</w:t>
      </w:r>
    </w:p>
    <w:p w14:paraId="2424885D">
      <w:r>
        <w:rPr>
          <w:rFonts w:ascii="宋体" w:hAnsi="宋体" w:eastAsia="宋体"/>
          <w:b/>
          <w:sz w:val="22"/>
        </w:rPr>
        <w:t>本提示词支持三种运行模式，自动检测适配，确保串联性、独立性、检测评估能力三保障：</w:t>
      </w:r>
    </w:p>
    <w:p w14:paraId="75883DE7">
      <w:r>
        <w:rPr>
          <w:rFonts w:ascii="黑体" w:hAnsi="黑体" w:eastAsia="黑体"/>
          <w:b/>
          <w:color w:val="404040"/>
          <w:sz w:val="23"/>
        </w:rPr>
        <w:t>模式一：串联模式（按顺序运行时自动启用）</w:t>
      </w:r>
    </w:p>
    <w:p w14:paraId="02E20C33">
      <w:pPr>
        <w:ind w:left="400"/>
      </w:pPr>
      <w:r>
        <w:rPr>
          <w:rFonts w:ascii="宋体" w:hAnsi="宋体" w:eastAsia="宋体"/>
          <w:b w:val="0"/>
          <w:sz w:val="21"/>
        </w:rPr>
        <w:t>• 运行开始时自动检测是否存在「论文写作标准化交接包」</w:t>
      </w:r>
    </w:p>
    <w:p w14:paraId="242250D0">
      <w:pPr>
        <w:ind w:left="400"/>
      </w:pPr>
      <w:r>
        <w:rPr>
          <w:rFonts w:ascii="宋体" w:hAnsi="宋体" w:eastAsia="宋体"/>
          <w:b w:val="0"/>
          <w:sz w:val="21"/>
        </w:rPr>
        <w:t>• 检测到交接包 → 自动读取其中的国奖级推荐模型、创新点、预处理方案等核心数据，基于其继续执行</w:t>
      </w:r>
    </w:p>
    <w:p w14:paraId="7E191CB8">
      <w:pPr>
        <w:ind w:left="400"/>
      </w:pPr>
      <w:r>
        <w:rPr>
          <w:rFonts w:ascii="宋体" w:hAnsi="宋体" w:eastAsia="宋体"/>
          <w:b w:val="0"/>
          <w:sz w:val="21"/>
        </w:rPr>
        <w:t>• 严格遵循前一步给出的国奖级建模方案，不得随意降级或更换模型</w:t>
      </w:r>
    </w:p>
    <w:p w14:paraId="5E29FC85">
      <w:pPr>
        <w:ind w:left="400"/>
      </w:pPr>
      <w:r>
        <w:rPr>
          <w:rFonts w:ascii="宋体" w:hAnsi="宋体" w:eastAsia="宋体"/>
          <w:b w:val="0"/>
          <w:sz w:val="21"/>
        </w:rPr>
        <w:t>• 本步完成后输出「图表美化标准化交接包」，供下一步读取</w:t>
      </w:r>
    </w:p>
    <w:p w14:paraId="6408BC06">
      <w:r>
        <w:rPr>
          <w:rFonts w:ascii="黑体" w:hAnsi="黑体" w:eastAsia="黑体"/>
          <w:b/>
          <w:color w:val="404040"/>
          <w:sz w:val="23"/>
        </w:rPr>
        <w:t>模式二：独立模式（单独使用本提示词时自动启用）</w:t>
      </w:r>
    </w:p>
    <w:p w14:paraId="28A29584">
      <w:pPr>
        <w:ind w:left="400"/>
      </w:pPr>
      <w:r>
        <w:rPr>
          <w:rFonts w:ascii="宋体" w:hAnsi="宋体" w:eastAsia="宋体"/>
          <w:b w:val="0"/>
          <w:sz w:val="21"/>
        </w:rPr>
        <w:t>• 未检测到前一步交接包 → 自动进入独立模式，无需依托任何前序提示词</w:t>
      </w:r>
    </w:p>
    <w:p w14:paraId="5869E5E7">
      <w:pPr>
        <w:ind w:left="400"/>
      </w:pPr>
      <w:r>
        <w:rPr>
          <w:rFonts w:ascii="宋体" w:hAnsi="宋体" w:eastAsia="宋体"/>
          <w:b w:val="0"/>
          <w:sz w:val="21"/>
        </w:rPr>
        <w:t>• 独立模式下自行完成前置工作：自行完成论文写作(简要)，然后对论文中所有图表进行完整美化</w:t>
      </w:r>
    </w:p>
    <w:p w14:paraId="4CD4468A">
      <w:pPr>
        <w:ind w:left="400"/>
      </w:pPr>
      <w:r>
        <w:rPr>
          <w:rFonts w:ascii="宋体" w:hAnsi="宋体" w:eastAsia="宋体"/>
          <w:b w:val="0"/>
          <w:sz w:val="21"/>
        </w:rPr>
        <w:t>• 独立模式下输出质量与串联模式完全一致，同样达到国奖级标准</w:t>
      </w:r>
    </w:p>
    <w:p w14:paraId="2C09206C">
      <w:pPr>
        <w:ind w:left="400"/>
      </w:pPr>
      <w:r>
        <w:rPr>
          <w:rFonts w:ascii="宋体" w:hAnsi="宋体" w:eastAsia="宋体"/>
          <w:b w:val="0"/>
          <w:sz w:val="21"/>
        </w:rPr>
        <w:t>• 本步完成后同样输出「图表美化标准化交接包」，可与其他步骤衔接</w:t>
      </w:r>
    </w:p>
    <w:p w14:paraId="0CC45216">
      <w:r>
        <w:rPr>
          <w:rFonts w:ascii="黑体" w:hAnsi="黑体" w:eastAsia="黑体"/>
          <w:b/>
          <w:color w:val="404040"/>
          <w:sz w:val="23"/>
        </w:rPr>
        <w:t>模式三：检测评估+自动整改模式（V6.0核心升级·学员上传成果时自动启用）</w:t>
      </w:r>
    </w:p>
    <w:p w14:paraId="7D6673E9">
      <w:r>
        <w:rPr>
          <w:rFonts w:ascii="宋体" w:hAnsi="宋体" w:eastAsia="宋体"/>
          <w:b/>
          <w:color w:val="C00000"/>
          <w:sz w:val="22"/>
        </w:rPr>
        <w:t>【V6.0核心升级】当检测到学员上传的是已有论文/解题思路/代码/图表等成果（而非原始题目+数据）时，自动进入检测评估+自动整改模式！不仅检测问题，还基于提示词要求自动修改优化，消除检测出的问题！</w:t>
      </w:r>
    </w:p>
    <w:p w14:paraId="1E11CF79">
      <w:pPr>
        <w:ind w:left="400"/>
      </w:pPr>
      <w:r>
        <w:rPr>
          <w:rFonts w:ascii="宋体" w:hAnsi="宋体" w:eastAsia="宋体"/>
          <w:b w:val="0"/>
          <w:sz w:val="21"/>
        </w:rPr>
        <w:t>• 功能1【检测】：将学员上传的成果与国奖级标准进行多维度对比检测，评估是否达到国赛国奖级要求</w:t>
      </w:r>
    </w:p>
    <w:p w14:paraId="34F47E70">
      <w:pPr>
        <w:ind w:left="400"/>
      </w:pPr>
      <w:r>
        <w:rPr>
          <w:rFonts w:ascii="宋体" w:hAnsi="宋体" w:eastAsia="宋体"/>
          <w:b w:val="0"/>
          <w:sz w:val="21"/>
        </w:rPr>
        <w:t>• 功能2【自动整改】：基于检测出的问题，按照本提示词的国奖级要求自动修改和优化学员上传的成果，消除问题</w:t>
      </w:r>
    </w:p>
    <w:p w14:paraId="53937F68">
      <w:pPr>
        <w:ind w:left="400"/>
      </w:pPr>
      <w:r>
        <w:rPr>
          <w:rFonts w:ascii="宋体" w:hAnsi="宋体" w:eastAsia="宋体"/>
          <w:b w:val="0"/>
          <w:sz w:val="21"/>
        </w:rPr>
        <w:t>• 评估维度：数据保真性/配色专业性/图表类型选择/标注完整性/排版美观性/流程图质量/示意图质量</w:t>
      </w:r>
    </w:p>
    <w:p w14:paraId="32B72ACE">
      <w:pPr>
        <w:ind w:left="400"/>
      </w:pPr>
      <w:r>
        <w:rPr>
          <w:rFonts w:ascii="宋体" w:hAnsi="宋体" w:eastAsia="宋体"/>
          <w:b w:val="0"/>
          <w:sz w:val="21"/>
        </w:rPr>
        <w:t>• 整改流程：①多维度检测→②生成HTML检测报告→③按优先级(P0→P1→P2)自动整改→④整改后复检→⑤输出整改后成果+HTML整改报告(含整改前后对比)</w:t>
      </w:r>
    </w:p>
    <w:p w14:paraId="26C92D2E">
      <w:pPr>
        <w:ind w:left="400"/>
      </w:pPr>
      <w:r>
        <w:rPr>
          <w:rFonts w:ascii="宋体" w:hAnsi="宋体" w:eastAsia="宋体"/>
          <w:b w:val="0"/>
          <w:sz w:val="21"/>
        </w:rPr>
        <w:t>• 整改原则：能自动修改的自动修改（如格式/排版/公式/图表/代码），不能自动修改的给出详细修改方案（如模型重构/创新点设计），不得只检测不整改！</w:t>
      </w:r>
    </w:p>
    <w:p w14:paraId="154ED8DE">
      <w:pPr>
        <w:ind w:left="400"/>
      </w:pPr>
      <w:r>
        <w:rPr>
          <w:rFonts w:ascii="宋体" w:hAnsi="宋体" w:eastAsia="宋体"/>
          <w:b w:val="0"/>
          <w:sz w:val="21"/>
        </w:rPr>
        <w:t>• 输出：强制输出①整改后的成果文件（修改后的论文/代码/图表）②HTML格式的整改报告（文件名：整改报告_学员成果名称.html），报告最开始给出检测结果总览，然后列出整改清单+整改前后对比+复检结果</w:t>
      </w:r>
    </w:p>
    <w:p w14:paraId="170B414F">
      <w:pPr>
        <w:ind w:left="400"/>
      </w:pPr>
      <w:r>
        <w:rPr>
          <w:rFonts w:ascii="宋体" w:hAnsi="宋体" w:eastAsia="宋体"/>
          <w:b w:val="0"/>
          <w:sz w:val="21"/>
        </w:rPr>
        <w:t>• HTML整改报告必须包含8个部分：①检测结果总览(等级+总分+核心问题) ②多维度评分可视化 ③分维度详细分析 ④国奖级标准对照表 ⑤优先级整改清单(P0/P1/P2) ⑥整改前后对比(逐项展示修改内容) ⑦复检结果(整改后重新检测得分) ⑧底部信息栏</w:t>
      </w:r>
    </w:p>
    <w:p w14:paraId="432C4EF7">
      <w:pPr>
        <w:ind w:left="400"/>
      </w:pPr>
      <w:r>
        <w:rPr>
          <w:rFonts w:ascii="宋体" w:hAnsi="宋体" w:eastAsia="宋体"/>
          <w:b w:val="0"/>
          <w:sz w:val="21"/>
        </w:rPr>
        <w:t>• 评估等级：国奖级(≥90分) / 国一(80-89) / 国二(70-79) / 省一(60-69) / 省二(50-59) / 需大幅改进(&lt;50)</w:t>
      </w:r>
    </w:p>
    <w:p w14:paraId="7A7B872E">
      <w:pPr>
        <w:ind w:left="400"/>
      </w:pPr>
      <w:r>
        <w:rPr>
          <w:rFonts w:ascii="宋体" w:hAnsi="宋体" w:eastAsia="宋体"/>
          <w:b w:val="0"/>
          <w:sz w:val="21"/>
        </w:rPr>
        <w:t>• 如学员明确只需要检测不需要整改，则只输出HTML检测报告；默认执行检测+自动整改一体化</w:t>
      </w:r>
    </w:p>
    <w:p w14:paraId="79B4A950">
      <w:r>
        <w:rPr>
          <w:rFonts w:ascii="黑体" w:hAnsi="黑体" w:eastAsia="黑体"/>
          <w:b/>
          <w:color w:val="404040"/>
          <w:sz w:val="23"/>
        </w:rPr>
        <w:t>「图表美化标准化交接包」输出格式（强制）</w:t>
      </w:r>
    </w:p>
    <w:p w14:paraId="09D18176">
      <w:r>
        <w:rPr>
          <w:rFonts w:ascii="宋体" w:hAnsi="宋体" w:eastAsia="宋体"/>
          <w:b w:val="0"/>
          <w:sz w:val="22"/>
        </w:rPr>
        <w:t>本步完成后必须输出以下结构化交接包（JSON格式），供下一步自动读取：</w:t>
      </w:r>
    </w:p>
    <w:p w14:paraId="10411725">
      <w:pPr>
        <w:shd w:val="clear" w:fill="F5F5F5"/>
      </w:pPr>
      <w:r>
        <w:rPr>
          <w:rFonts w:ascii="Consolas" w:hAnsi="Consolas"/>
          <w:color w:val="1A1A1A"/>
          <w:sz w:val="17"/>
        </w:rPr>
        <w:t>{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"美化后论文路径": "paper_final.docx"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"图表清单": "图1:XXX(已美化); 图2:XXX(已美化)..."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"智能补图清单": "补图1:问题分析流程图; 补图2:建模框架图..."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"质量验证报告": "12项图片自检全部通过"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"四件套最终路径": "Word/LaTeX/PDF/HTML最终路径"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>}</w:t>
      </w:r>
    </w:p>
    <w:p w14:paraId="43AEF1A2">
      <w:r>
        <w:rPr>
          <w:rFonts w:ascii="宋体" w:hAnsi="宋体" w:eastAsia="宋体"/>
          <w:b/>
          <w:color w:val="C00000"/>
          <w:sz w:val="22"/>
        </w:rPr>
        <w:t>【三模式铁律】无论哪种模式，输出质量标准完全一致！串联模式必须严格遵循前一步方案，独立模式必须自行完成前置工作，检测评估+自动整改模式必须既检测又整改，不得只检测不整改！不得因模式不同而降低质量！</w:t>
      </w:r>
    </w:p>
    <w:p w14:paraId="016F47EA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7AF78EA8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一、输入（三模式）</w:t>
      </w:r>
    </w:p>
    <w:p w14:paraId="71E80BFF">
      <w:pPr>
        <w:ind w:left="400"/>
      </w:pPr>
      <w:r>
        <w:rPr>
          <w:rFonts w:ascii="宋体" w:hAnsi="宋体" w:eastAsia="宋体"/>
          <w:b w:val="0"/>
          <w:sz w:val="21"/>
        </w:rPr>
        <w:t>• 串联模式：自动读取「论文写作交接包」(论文路径+图表清单)+图表数据+代码</w:t>
      </w:r>
    </w:p>
    <w:p w14:paraId="08F55F22">
      <w:pPr>
        <w:ind w:left="400"/>
      </w:pPr>
      <w:r>
        <w:rPr>
          <w:rFonts w:ascii="宋体" w:hAnsi="宋体" w:eastAsia="宋体"/>
          <w:b w:val="0"/>
          <w:sz w:val="21"/>
        </w:rPr>
        <w:t>• 独立模式：论文(含图表)+图表数据+代码(自行简要写作)</w:t>
      </w:r>
    </w:p>
    <w:p w14:paraId="2105AFE2">
      <w:pPr>
        <w:ind w:left="400"/>
      </w:pPr>
      <w:r>
        <w:rPr>
          <w:rFonts w:ascii="宋体" w:hAnsi="宋体" w:eastAsia="宋体"/>
          <w:b w:val="0"/>
          <w:sz w:val="21"/>
        </w:rPr>
        <w:t>• 检测评估模式：学员上传的论文图表/图表代码/图表图片</w:t>
      </w:r>
    </w:p>
    <w:p w14:paraId="23DE4F2B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二、输出</w:t>
      </w:r>
    </w:p>
    <w:p w14:paraId="44CF0828">
      <w:pPr>
        <w:ind w:left="400"/>
      </w:pPr>
      <w:r>
        <w:rPr>
          <w:rFonts w:ascii="宋体" w:hAnsi="宋体" w:eastAsia="宋体"/>
          <w:b w:val="0"/>
          <w:sz w:val="21"/>
        </w:rPr>
        <w:t>• 解题模式：①美化后所有图表 ②更新后的论文 ③智能补图 ④质量验证报告 ⑤最终交付包</w:t>
      </w:r>
    </w:p>
    <w:p w14:paraId="1F3D033D">
      <w:pPr>
        <w:ind w:left="400"/>
      </w:pPr>
      <w:r>
        <w:rPr>
          <w:rFonts w:ascii="宋体" w:hAnsi="宋体" w:eastAsia="宋体"/>
          <w:b w:val="0"/>
          <w:sz w:val="21"/>
        </w:rPr>
        <w:t>• 检测评估模式：HTML评估报告（强制）</w:t>
      </w:r>
    </w:p>
    <w:p w14:paraId="521B3102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三、五项不可逾越的硬性规则（补充原始细节）</w:t>
      </w:r>
    </w:p>
    <w:p w14:paraId="540D0876">
      <w:r>
        <w:rPr>
          <w:rFonts w:ascii="宋体" w:hAnsi="宋体" w:eastAsia="宋体"/>
          <w:b/>
          <w:color w:val="C00000"/>
          <w:sz w:val="22"/>
        </w:rPr>
        <w:t>规则1【数据保真】：每个数据点/数值/标签/刻度必须与原图完全一致，不得擅自修改！</w:t>
      </w:r>
    </w:p>
    <w:p w14:paraId="08959E2C">
      <w:pPr>
        <w:ind w:left="400"/>
      </w:pPr>
      <w:r>
        <w:rPr>
          <w:rFonts w:ascii="宋体" w:hAnsi="宋体" w:eastAsia="宋体"/>
          <w:b w:val="0"/>
          <w:sz w:val="21"/>
        </w:rPr>
        <w:t>• 规则2【类型保留】：原图是柱状图就保留柱状图，不得擅自转换类型</w:t>
      </w:r>
    </w:p>
    <w:p w14:paraId="73D9C0D7">
      <w:pPr>
        <w:ind w:left="400"/>
      </w:pPr>
      <w:r>
        <w:rPr>
          <w:rFonts w:ascii="宋体" w:hAnsi="宋体" w:eastAsia="宋体"/>
          <w:b w:val="0"/>
          <w:sz w:val="21"/>
        </w:rPr>
        <w:t>• 规则3【结论保留】：原图呈现的统计结论、显著性、趋势必须完全可见可读</w:t>
      </w:r>
    </w:p>
    <w:p w14:paraId="65AC7C2C">
      <w:pPr>
        <w:ind w:left="400"/>
      </w:pPr>
      <w:r>
        <w:rPr>
          <w:rFonts w:ascii="宋体" w:hAnsi="宋体" w:eastAsia="宋体"/>
          <w:b w:val="0"/>
          <w:sz w:val="21"/>
        </w:rPr>
        <w:t>• 规则4【比例保真】：柱高、扇区、坐标轴比例、颜色映射必须与原数据成比例</w:t>
      </w:r>
    </w:p>
    <w:p w14:paraId="7799AF2F">
      <w:pPr>
        <w:ind w:left="400"/>
      </w:pPr>
      <w:r>
        <w:rPr>
          <w:rFonts w:ascii="宋体" w:hAnsi="宋体" w:eastAsia="宋体"/>
          <w:b w:val="0"/>
          <w:sz w:val="21"/>
        </w:rPr>
        <w:t>• 规则5【标注完整】：注释、图例、单位、来源、显著性符号必须全部保留并提升可读性</w:t>
      </w:r>
    </w:p>
    <w:p w14:paraId="51E2618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四、10条黄金设计法则（补充原始细节）</w:t>
      </w:r>
    </w:p>
    <w:p w14:paraId="5918B320">
      <w:pPr>
        <w:ind w:left="400"/>
      </w:pPr>
      <w:r>
        <w:rPr>
          <w:rFonts w:ascii="宋体" w:hAnsi="宋体" w:eastAsia="宋体"/>
          <w:b w:val="0"/>
          <w:sz w:val="21"/>
        </w:rPr>
        <w:t>• 法则1：少即是多，去除不必要的装饰(3D效果/阴影/渐变)</w:t>
      </w:r>
    </w:p>
    <w:p w14:paraId="16426127">
      <w:pPr>
        <w:ind w:left="400"/>
      </w:pPr>
      <w:r>
        <w:rPr>
          <w:rFonts w:ascii="宋体" w:hAnsi="宋体" w:eastAsia="宋体"/>
          <w:b w:val="0"/>
          <w:sz w:val="21"/>
        </w:rPr>
        <w:t>• 法则2：配色专业，使用低饱和学术配色，禁止高饱和原色和彩虹渐变</w:t>
      </w:r>
    </w:p>
    <w:p w14:paraId="1C13DAD1">
      <w:pPr>
        <w:ind w:left="400"/>
      </w:pPr>
      <w:r>
        <w:rPr>
          <w:rFonts w:ascii="宋体" w:hAnsi="宋体" w:eastAsia="宋体"/>
          <w:b w:val="0"/>
          <w:sz w:val="21"/>
        </w:rPr>
        <w:t>• 法则3：标注完整，标题/坐标轴/单位/图例缺一不可</w:t>
      </w:r>
    </w:p>
    <w:p w14:paraId="3BF8D63E">
      <w:pPr>
        <w:ind w:left="400"/>
      </w:pPr>
      <w:r>
        <w:rPr>
          <w:rFonts w:ascii="宋体" w:hAnsi="宋体" w:eastAsia="宋体"/>
          <w:b w:val="0"/>
          <w:sz w:val="21"/>
        </w:rPr>
        <w:t>• 法则4：字体统一，全文使用同一字体，字号协调</w:t>
      </w:r>
    </w:p>
    <w:p w14:paraId="6B62ABFB">
      <w:pPr>
        <w:ind w:left="400"/>
      </w:pPr>
      <w:r>
        <w:rPr>
          <w:rFonts w:ascii="宋体" w:hAnsi="宋体" w:eastAsia="宋体"/>
          <w:b w:val="0"/>
          <w:sz w:val="21"/>
        </w:rPr>
        <w:t>• 法则5：网格克制，仅在需要时使用浅色网格线</w:t>
      </w:r>
    </w:p>
    <w:p w14:paraId="14FD90C3">
      <w:pPr>
        <w:ind w:left="400"/>
      </w:pPr>
      <w:r>
        <w:rPr>
          <w:rFonts w:ascii="宋体" w:hAnsi="宋体" w:eastAsia="宋体"/>
          <w:b w:val="0"/>
          <w:sz w:val="21"/>
        </w:rPr>
        <w:t>• 法则6：对比清晰，不同数据系列用颜色+线型+标记三重区分</w:t>
      </w:r>
    </w:p>
    <w:p w14:paraId="76D9ECD3">
      <w:pPr>
        <w:ind w:left="400"/>
      </w:pPr>
      <w:r>
        <w:rPr>
          <w:rFonts w:ascii="宋体" w:hAnsi="宋体" w:eastAsia="宋体"/>
          <w:b w:val="0"/>
          <w:sz w:val="21"/>
        </w:rPr>
        <w:t>• 法则7：比例正确，Y轴从0开始(柱状图)，颜色映射有colorbar</w:t>
      </w:r>
    </w:p>
    <w:p w14:paraId="738557D4">
      <w:pPr>
        <w:ind w:left="400"/>
      </w:pPr>
      <w:r>
        <w:rPr>
          <w:rFonts w:ascii="宋体" w:hAnsi="宋体" w:eastAsia="宋体"/>
          <w:b w:val="0"/>
          <w:sz w:val="21"/>
        </w:rPr>
        <w:t>• 法则8：分辨率达标，≥300dpi，PNG格式</w:t>
      </w:r>
    </w:p>
    <w:p w14:paraId="63664920">
      <w:pPr>
        <w:ind w:left="400"/>
      </w:pPr>
      <w:r>
        <w:rPr>
          <w:rFonts w:ascii="宋体" w:hAnsi="宋体" w:eastAsia="宋体"/>
          <w:b w:val="0"/>
          <w:sz w:val="21"/>
        </w:rPr>
        <w:t>• 法则9：排版协调，多子图用gridspec，间距均匀</w:t>
      </w:r>
    </w:p>
    <w:p w14:paraId="1B96527D">
      <w:pPr>
        <w:ind w:left="400"/>
      </w:pPr>
      <w:r>
        <w:rPr>
          <w:rFonts w:ascii="宋体" w:hAnsi="宋体" w:eastAsia="宋体"/>
          <w:b w:val="0"/>
          <w:sz w:val="21"/>
        </w:rPr>
        <w:t>• 法则10：中文字体正常，Agg+中文字体回退，负号正常</w:t>
      </w:r>
    </w:p>
    <w:p w14:paraId="0BF1C388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五、12套配色方案（补充原始细节）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D1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78065AA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方案</w:t>
            </w:r>
          </w:p>
        </w:tc>
        <w:tc>
          <w:tcPr>
            <w:tcW w:w="2880" w:type="dxa"/>
            <w:shd w:val="clear" w:color="auto" w:fill="1F497D"/>
          </w:tcPr>
          <w:p w14:paraId="2E8E4314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色值</w:t>
            </w:r>
          </w:p>
        </w:tc>
        <w:tc>
          <w:tcPr>
            <w:tcW w:w="2880" w:type="dxa"/>
            <w:shd w:val="clear" w:color="auto" w:fill="1F497D"/>
          </w:tcPr>
          <w:p w14:paraId="54015F3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适用</w:t>
            </w:r>
          </w:p>
        </w:tc>
      </w:tr>
      <w:tr w14:paraId="0F64D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08A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Nature(推荐)</w:t>
            </w:r>
          </w:p>
        </w:tc>
        <w:tc>
          <w:tcPr>
            <w:tcW w:w="2880" w:type="dxa"/>
          </w:tcPr>
          <w:p w14:paraId="186756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#0072B2 #009E73 #D55E00 #CC79A7 #F0E442 #56B4E9</w:t>
            </w:r>
          </w:p>
        </w:tc>
        <w:tc>
          <w:tcPr>
            <w:tcW w:w="2880" w:type="dxa"/>
          </w:tcPr>
          <w:p w14:paraId="6E8819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通用首选</w:t>
            </w:r>
          </w:p>
        </w:tc>
      </w:tr>
      <w:tr w14:paraId="5112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716A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Science</w:t>
            </w:r>
          </w:p>
        </w:tc>
        <w:tc>
          <w:tcPr>
            <w:tcW w:w="2880" w:type="dxa"/>
          </w:tcPr>
          <w:p w14:paraId="29A28E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#1B4F72 #117A65 #B9770E #922B21 #6C3483</w:t>
            </w:r>
          </w:p>
        </w:tc>
        <w:tc>
          <w:tcPr>
            <w:tcW w:w="2880" w:type="dxa"/>
          </w:tcPr>
          <w:p w14:paraId="6A8259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严肃学术</w:t>
            </w:r>
          </w:p>
        </w:tc>
      </w:tr>
      <w:tr w14:paraId="66C3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5705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蓝橙绿</w:t>
            </w:r>
          </w:p>
        </w:tc>
        <w:tc>
          <w:tcPr>
            <w:tcW w:w="2880" w:type="dxa"/>
          </w:tcPr>
          <w:p w14:paraId="47F50E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#4472C4 #ED7D31 #70AD47 #C00000 #7030A0</w:t>
            </w:r>
          </w:p>
        </w:tc>
        <w:tc>
          <w:tcPr>
            <w:tcW w:w="2880" w:type="dxa"/>
          </w:tcPr>
          <w:p w14:paraId="2EFF89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工程类</w:t>
            </w:r>
          </w:p>
        </w:tc>
      </w:tr>
      <w:tr w14:paraId="58D5A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1946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IEEE</w:t>
            </w:r>
          </w:p>
        </w:tc>
        <w:tc>
          <w:tcPr>
            <w:tcW w:w="2880" w:type="dxa"/>
          </w:tcPr>
          <w:p w14:paraId="4BF98D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#006BA4 #FF800E #ABABAB #595959 #5F9ED1</w:t>
            </w:r>
          </w:p>
        </w:tc>
        <w:tc>
          <w:tcPr>
            <w:tcW w:w="2880" w:type="dxa"/>
          </w:tcPr>
          <w:p w14:paraId="3EFBD8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工程技术</w:t>
            </w:r>
          </w:p>
        </w:tc>
      </w:tr>
      <w:tr w14:paraId="194C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0D7D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连续色板-viridis</w:t>
            </w:r>
          </w:p>
        </w:tc>
        <w:tc>
          <w:tcPr>
            <w:tcW w:w="2880" w:type="dxa"/>
          </w:tcPr>
          <w:p w14:paraId="294162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#440154→#FDE725</w:t>
            </w:r>
          </w:p>
        </w:tc>
        <w:tc>
          <w:tcPr>
            <w:tcW w:w="2880" w:type="dxa"/>
          </w:tcPr>
          <w:p w14:paraId="251721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热力图/3D图(单向数据)</w:t>
            </w:r>
          </w:p>
        </w:tc>
      </w:tr>
      <w:tr w14:paraId="4ED4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CEAE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连续色板-RdBu_r</w:t>
            </w:r>
          </w:p>
        </w:tc>
        <w:tc>
          <w:tcPr>
            <w:tcW w:w="2880" w:type="dxa"/>
          </w:tcPr>
          <w:p w14:paraId="75FD98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#67001F→#053061</w:t>
            </w:r>
          </w:p>
        </w:tc>
        <w:tc>
          <w:tcPr>
            <w:tcW w:w="2880" w:type="dxa"/>
          </w:tcPr>
          <w:p w14:paraId="576E2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热力图(双向数据，center=0)</w:t>
            </w:r>
          </w:p>
        </w:tc>
      </w:tr>
    </w:tbl>
    <w:p w14:paraId="51E70905"/>
    <w:p w14:paraId="1DA9F887">
      <w:r>
        <w:rPr>
          <w:rFonts w:ascii="宋体" w:hAnsi="宋体" w:eastAsia="宋体"/>
          <w:b/>
          <w:color w:val="C00000"/>
          <w:sz w:val="22"/>
        </w:rPr>
        <w:t>禁止：tab10默认配色、jet彩虹渐变、高饱和原色(纯红/纯绿/纯蓝)、3D柱图/饼图、爆炸饼图、阴影效果、渐变填充！</w:t>
      </w:r>
    </w:p>
    <w:p w14:paraId="211BB482">
      <w:pPr>
        <w:ind w:left="400"/>
      </w:pPr>
      <w:r>
        <w:rPr>
          <w:rFonts w:ascii="宋体" w:hAnsi="宋体" w:eastAsia="宋体"/>
          <w:b w:val="0"/>
          <w:sz w:val="21"/>
        </w:rPr>
        <w:t>• 配色选择决策树：分类数据→离散色板(Nature)；连续单向数据→viridis/plasma；连续双向数据→RdBu_r(center=0)；≥8类数据→避免用颜色区分，改用形状+小图</w:t>
      </w:r>
    </w:p>
    <w:p w14:paraId="1048F9CD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六、字体与排版规范（补充原始细节）</w:t>
      </w:r>
    </w:p>
    <w:p w14:paraId="4DF02B51">
      <w:pPr>
        <w:ind w:left="400"/>
      </w:pPr>
      <w:r>
        <w:rPr>
          <w:rFonts w:ascii="宋体" w:hAnsi="宋体" w:eastAsia="宋体"/>
          <w:b w:val="0"/>
          <w:sz w:val="21"/>
        </w:rPr>
        <w:t>• 字体：英文用Arial/Helvetica，中文用宋体/黑体，公式用Times New Roman</w:t>
      </w:r>
    </w:p>
    <w:p w14:paraId="5699D572">
      <w:pPr>
        <w:ind w:left="400"/>
      </w:pPr>
      <w:r>
        <w:rPr>
          <w:rFonts w:ascii="宋体" w:hAnsi="宋体" w:eastAsia="宋体"/>
          <w:b w:val="0"/>
          <w:sz w:val="21"/>
        </w:rPr>
        <w:t>• 字号：标题14-16pt，坐标轴标签10-12pt，刻度标签8-10pt，图例8-10pt</w:t>
      </w:r>
    </w:p>
    <w:p w14:paraId="5872CE9B">
      <w:pPr>
        <w:ind w:left="400"/>
      </w:pPr>
      <w:r>
        <w:rPr>
          <w:rFonts w:ascii="宋体" w:hAnsi="宋体" w:eastAsia="宋体"/>
          <w:b w:val="0"/>
          <w:sz w:val="21"/>
        </w:rPr>
        <w:t>• 排版：图表居中，宽度12-14cm，图题在图下方居中，表题在表上方居中</w:t>
      </w:r>
    </w:p>
    <w:p w14:paraId="25CA651C">
      <w:pPr>
        <w:ind w:left="400"/>
      </w:pPr>
      <w:r>
        <w:rPr>
          <w:rFonts w:ascii="宋体" w:hAnsi="宋体" w:eastAsia="宋体"/>
          <w:b w:val="0"/>
          <w:sz w:val="21"/>
        </w:rPr>
        <w:t>• 网格：仅在需要时使用，浅色虚线(#E0E0E0)，不喧宾夺主</w:t>
      </w:r>
    </w:p>
    <w:p w14:paraId="3B030761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七、图表元素与组件规范（补充原始细节）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5CA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0912C95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元素</w:t>
            </w:r>
          </w:p>
        </w:tc>
        <w:tc>
          <w:tcPr>
            <w:tcW w:w="4320" w:type="dxa"/>
            <w:shd w:val="clear" w:color="auto" w:fill="1F497D"/>
          </w:tcPr>
          <w:p w14:paraId="756A9EC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规范</w:t>
            </w:r>
          </w:p>
        </w:tc>
      </w:tr>
      <w:tr w14:paraId="76A9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6397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Title(标题)</w:t>
            </w:r>
          </w:p>
        </w:tc>
        <w:tc>
          <w:tcPr>
            <w:tcW w:w="4320" w:type="dxa"/>
          </w:tcPr>
          <w:p w14:paraId="67894E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图题在图下方，表题在表上方，居中，宋体五号加粗，格式「图1 XXX」</w:t>
            </w:r>
          </w:p>
        </w:tc>
      </w:tr>
      <w:tr w14:paraId="5AFA7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5B16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Axis(坐标轴)</w:t>
            </w:r>
          </w:p>
        </w:tc>
        <w:tc>
          <w:tcPr>
            <w:tcW w:w="4320" w:type="dxa"/>
          </w:tcPr>
          <w:p w14:paraId="6C19A2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有坐标轴名称+单位，刻度清晰，范围合理，柱状图Y轴从0开始</w:t>
            </w:r>
          </w:p>
        </w:tc>
      </w:tr>
      <w:tr w14:paraId="53BEA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59CA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Legend(图例)</w:t>
            </w:r>
          </w:p>
        </w:tc>
        <w:tc>
          <w:tcPr>
            <w:tcW w:w="4320" w:type="dxa"/>
          </w:tcPr>
          <w:p w14:paraId="53F898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位置合理(不遮挡数据)，有边框，字号协调，多系列颜色+线型+标记三重区分</w:t>
            </w:r>
          </w:p>
        </w:tc>
      </w:tr>
      <w:tr w14:paraId="3E6E4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3617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Grid(网格)</w:t>
            </w:r>
          </w:p>
        </w:tc>
        <w:tc>
          <w:tcPr>
            <w:tcW w:w="4320" w:type="dxa"/>
          </w:tcPr>
          <w:p w14:paraId="37472D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仅在需要时使用，浅色虚线，不喧宾夺主</w:t>
            </w:r>
          </w:p>
        </w:tc>
      </w:tr>
      <w:tr w14:paraId="3C39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1AD6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Marker(数据标记)</w:t>
            </w:r>
          </w:p>
        </w:tc>
        <w:tc>
          <w:tcPr>
            <w:tcW w:w="4320" w:type="dxa"/>
          </w:tcPr>
          <w:p w14:paraId="686FE6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大小6-8pt，形状区分(圆/方/三角/菱形)，不遮挡数据线</w:t>
            </w:r>
          </w:p>
        </w:tc>
      </w:tr>
      <w:tr w14:paraId="0CB3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960A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Colorbar(颜色条)</w:t>
            </w:r>
          </w:p>
        </w:tc>
        <w:tc>
          <w:tcPr>
            <w:tcW w:w="4320" w:type="dxa"/>
          </w:tcPr>
          <w:p w14:paraId="6B3B8F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热力图/3D图必须有colorbar，有标签和单位</w:t>
            </w:r>
          </w:p>
        </w:tc>
      </w:tr>
    </w:tbl>
    <w:p w14:paraId="239E78D9"/>
    <w:p w14:paraId="27D9ADE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八、各类图表美化要点</w:t>
      </w:r>
    </w:p>
    <w:p w14:paraId="53B7EF78">
      <w:pPr>
        <w:ind w:left="400"/>
      </w:pPr>
      <w:r>
        <w:rPr>
          <w:rFonts w:ascii="宋体" w:hAnsi="宋体" w:eastAsia="宋体"/>
          <w:b w:val="0"/>
          <w:sz w:val="21"/>
        </w:rPr>
        <w:t>• 柱状图：柱宽=间距60-80%，Y轴从0开始，柱顶标注数值，禁3D</w:t>
      </w:r>
    </w:p>
    <w:p w14:paraId="0051EF42">
      <w:pPr>
        <w:ind w:left="400"/>
      </w:pPr>
      <w:r>
        <w:rPr>
          <w:rFonts w:ascii="宋体" w:hAnsi="宋体" w:eastAsia="宋体"/>
          <w:b w:val="0"/>
          <w:sz w:val="21"/>
        </w:rPr>
        <w:t>• 折线图：线宽1.5pt，数据点标记，多系列颜色+线型+标记三重区分，95%CI置信带</w:t>
      </w:r>
    </w:p>
    <w:p w14:paraId="349104D5">
      <w:pPr>
        <w:ind w:left="400"/>
      </w:pPr>
      <w:r>
        <w:rPr>
          <w:rFonts w:ascii="宋体" w:hAnsi="宋体" w:eastAsia="宋体"/>
          <w:b w:val="0"/>
          <w:sz w:val="21"/>
        </w:rPr>
        <w:t>• 散点图：alpha=0.6-0.8，趋势线虚线+95%CI，&gt;500点用hexbin</w:t>
      </w:r>
    </w:p>
    <w:p w14:paraId="21CE0DB6">
      <w:pPr>
        <w:ind w:left="400"/>
      </w:pPr>
      <w:r>
        <w:rPr>
          <w:rFonts w:ascii="宋体" w:hAnsi="宋体" w:eastAsia="宋体"/>
          <w:b w:val="0"/>
          <w:sz w:val="21"/>
        </w:rPr>
        <w:t>• 热力图：双向RdBu_r center=0，单向viridis/plasma，禁jet，必须有colorbar</w:t>
      </w:r>
    </w:p>
    <w:p w14:paraId="3C55D6B8">
      <w:pPr>
        <w:ind w:left="400"/>
      </w:pPr>
      <w:r>
        <w:rPr>
          <w:rFonts w:ascii="宋体" w:hAnsi="宋体" w:eastAsia="宋体"/>
          <w:b w:val="0"/>
          <w:sz w:val="21"/>
        </w:rPr>
        <w:t>• 箱线图：alpha=0.5-0.7，中位线加粗白色，可叠加stripplot，标注n=XX</w:t>
      </w:r>
    </w:p>
    <w:p w14:paraId="69856D76">
      <w:pPr>
        <w:ind w:left="400"/>
      </w:pPr>
      <w:r>
        <w:rPr>
          <w:rFonts w:ascii="宋体" w:hAnsi="宋体" w:eastAsia="宋体"/>
          <w:b w:val="0"/>
          <w:sz w:val="21"/>
        </w:rPr>
        <w:t>• 饼图：仅≤5类时用，起始90°，推荐环形图，禁3D/爆炸</w:t>
      </w:r>
    </w:p>
    <w:p w14:paraId="6016772E">
      <w:pPr>
        <w:ind w:left="400"/>
      </w:pPr>
      <w:r>
        <w:rPr>
          <w:rFonts w:ascii="宋体" w:hAnsi="宋体" w:eastAsia="宋体"/>
          <w:b w:val="0"/>
          <w:sz w:val="21"/>
        </w:rPr>
        <w:t>• 雷达图：3-8维，填充alpha=0.15-0.25，数据标准化</w:t>
      </w:r>
    </w:p>
    <w:p w14:paraId="4B621A40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九、流程图与示意图美化</w:t>
      </w:r>
    </w:p>
    <w:p w14:paraId="65797F7F">
      <w:pPr>
        <w:ind w:left="400"/>
      </w:pPr>
      <w:r>
        <w:rPr>
          <w:rFonts w:ascii="宋体" w:hAnsi="宋体" w:eastAsia="宋体"/>
          <w:b w:val="0"/>
          <w:sz w:val="21"/>
        </w:rPr>
        <w:t>• 流程图：获奖风格(白色方框+黑边框1pt+直角+4-6字节点+正交箭头+3行3列)，matplotlib绘制</w:t>
      </w:r>
    </w:p>
    <w:p w14:paraId="1F4BBDBB">
      <w:pPr>
        <w:ind w:left="400"/>
      </w:pPr>
      <w:r>
        <w:rPr>
          <w:rFonts w:ascii="宋体" w:hAnsi="宋体" w:eastAsia="宋体"/>
          <w:b w:val="0"/>
          <w:sz w:val="21"/>
        </w:rPr>
        <w:t>• 示意图：线条清晰(1.2-1.5pt)，标注完整(坐标轴/角度/距离/阴影区域)，字体清晰，有图题</w:t>
      </w:r>
    </w:p>
    <w:p w14:paraId="4E31AA61">
      <w:pPr>
        <w:ind w:left="400"/>
      </w:pPr>
      <w:r>
        <w:rPr>
          <w:rFonts w:ascii="宋体" w:hAnsi="宋体" w:eastAsia="宋体"/>
          <w:b w:val="0"/>
          <w:sz w:val="21"/>
        </w:rPr>
        <w:t>• 示意图配色：黑白为主，如需强调用极浅灰色填充，禁止花哨配色</w:t>
      </w:r>
    </w:p>
    <w:p w14:paraId="0F6B9E8E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十、智能补图</w:t>
      </w:r>
    </w:p>
    <w:p w14:paraId="30371746">
      <w:pPr>
        <w:ind w:left="400"/>
      </w:pPr>
      <w:r>
        <w:rPr>
          <w:rFonts w:ascii="宋体" w:hAnsi="宋体" w:eastAsia="宋体"/>
          <w:b w:val="0"/>
          <w:sz w:val="21"/>
        </w:rPr>
        <w:t>• 问题分析≥800字无流程图→补流程图(最高优先级)</w:t>
      </w:r>
    </w:p>
    <w:p w14:paraId="2B3CE38C">
      <w:pPr>
        <w:ind w:left="400"/>
      </w:pPr>
      <w:r>
        <w:rPr>
          <w:rFonts w:ascii="宋体" w:hAnsi="宋体" w:eastAsia="宋体"/>
          <w:b w:val="0"/>
          <w:sz w:val="21"/>
        </w:rPr>
        <w:t>• 模型建立无框架图/示意图→补示意图</w:t>
      </w:r>
    </w:p>
    <w:p w14:paraId="60175F22">
      <w:pPr>
        <w:ind w:left="400"/>
      </w:pPr>
      <w:r>
        <w:rPr>
          <w:rFonts w:ascii="宋体" w:hAnsi="宋体" w:eastAsia="宋体"/>
          <w:b w:val="0"/>
          <w:sz w:val="21"/>
        </w:rPr>
        <w:t>• 结果分析有数值无图表→补柱状图/折线图/雷达图</w:t>
      </w:r>
    </w:p>
    <w:p w14:paraId="5A6F02DF">
      <w:pPr>
        <w:ind w:left="400"/>
      </w:pPr>
      <w:r>
        <w:rPr>
          <w:rFonts w:ascii="宋体" w:hAnsi="宋体" w:eastAsia="宋体"/>
          <w:b w:val="0"/>
          <w:sz w:val="21"/>
        </w:rPr>
        <w:t>• 灵敏度分析有表格无图→补热力图/龙卷风图</w:t>
      </w:r>
    </w:p>
    <w:p w14:paraId="0FBD634C">
      <w:r>
        <w:rPr>
          <w:rFonts w:ascii="宋体" w:hAnsi="宋体" w:eastAsia="宋体"/>
          <w:b/>
          <w:color w:val="C00000"/>
          <w:sz w:val="22"/>
        </w:rPr>
        <w:t>补图不虚构：数据必须来源于论文原文，禁止编造数值！</w:t>
      </w:r>
    </w:p>
    <w:p w14:paraId="2789A11F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十一、替换回论文与质量验证</w:t>
      </w:r>
    </w:p>
    <w:p w14:paraId="7CC10730">
      <w:pPr>
        <w:ind w:left="400"/>
      </w:pPr>
      <w:r>
        <w:rPr>
          <w:rFonts w:ascii="宋体" w:hAnsi="宋体" w:eastAsia="宋体"/>
          <w:b w:val="0"/>
          <w:sz w:val="21"/>
        </w:rPr>
        <w:t>• 美化后图表替换回Word对应位置，保持原编号和图题，补图续接编号</w:t>
      </w:r>
    </w:p>
    <w:p w14:paraId="63C3F072">
      <w:pPr>
        <w:ind w:left="400"/>
      </w:pPr>
      <w:r>
        <w:rPr>
          <w:rFonts w:ascii="宋体" w:hAnsi="宋体" w:eastAsia="宋体"/>
          <w:b w:val="0"/>
          <w:sz w:val="21"/>
        </w:rPr>
        <w:t>• 图片嵌入型居中对齐，锁定纵横比，与图题同页无跨页</w:t>
      </w:r>
    </w:p>
    <w:p w14:paraId="0585ACD8">
      <w:pPr>
        <w:ind w:left="400"/>
      </w:pPr>
      <w:r>
        <w:rPr>
          <w:rFonts w:ascii="宋体" w:hAnsi="宋体" w:eastAsia="宋体"/>
          <w:b w:val="0"/>
          <w:sz w:val="21"/>
        </w:rPr>
        <w:t>• 12项图片自检：代码实际生成/Agg+中文字体/负号正常/验证存在/Word可见/尺寸正确/同页/流程图风格/有标注/配色专业/全文统一/替换无误</w:t>
      </w:r>
    </w:p>
    <w:p w14:paraId="655329BC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十二、检测评估模式评估维度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0E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178AAF1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w="2880" w:type="dxa"/>
            <w:shd w:val="clear" w:color="auto" w:fill="1F497D"/>
          </w:tcPr>
          <w:p w14:paraId="437A630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国奖级标准</w:t>
            </w:r>
          </w:p>
        </w:tc>
        <w:tc>
          <w:tcPr>
            <w:tcW w:w="2880" w:type="dxa"/>
            <w:shd w:val="clear" w:color="auto" w:fill="1F497D"/>
          </w:tcPr>
          <w:p w14:paraId="7F1CBB3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评估要点</w:t>
            </w:r>
          </w:p>
        </w:tc>
      </w:tr>
      <w:tr w14:paraId="1B055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1B07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数据保真</w:t>
            </w:r>
          </w:p>
        </w:tc>
        <w:tc>
          <w:tcPr>
            <w:tcW w:w="2880" w:type="dxa"/>
          </w:tcPr>
          <w:p w14:paraId="140E2F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数据点/数值/标签完全一致</w:t>
            </w:r>
          </w:p>
        </w:tc>
        <w:tc>
          <w:tcPr>
            <w:tcW w:w="2880" w:type="dxa"/>
          </w:tcPr>
          <w:p w14:paraId="6D9C9B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是否擅自修改数据，是否改变图表类型</w:t>
            </w:r>
          </w:p>
        </w:tc>
      </w:tr>
      <w:tr w14:paraId="1594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8248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配色专业</w:t>
            </w:r>
          </w:p>
        </w:tc>
        <w:tc>
          <w:tcPr>
            <w:tcW w:w="2880" w:type="dxa"/>
          </w:tcPr>
          <w:p w14:paraId="09EA93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低饱和学术配色，无jet/高饱和</w:t>
            </w:r>
          </w:p>
        </w:tc>
        <w:tc>
          <w:tcPr>
            <w:tcW w:w="2880" w:type="dxa"/>
          </w:tcPr>
          <w:p w14:paraId="1618AA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配色是否专业，是否使用禁止的配色</w:t>
            </w:r>
          </w:p>
        </w:tc>
      </w:tr>
      <w:tr w14:paraId="30C2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6D4E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图表类型</w:t>
            </w:r>
          </w:p>
        </w:tc>
        <w:tc>
          <w:tcPr>
            <w:tcW w:w="2880" w:type="dxa"/>
          </w:tcPr>
          <w:p w14:paraId="255B39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类型选择合理，符合数据特征</w:t>
            </w:r>
          </w:p>
        </w:tc>
        <w:tc>
          <w:tcPr>
            <w:tcW w:w="2880" w:type="dxa"/>
          </w:tcPr>
          <w:p w14:paraId="5B6DB9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图表类型是否合理，是否有更合适的类型</w:t>
            </w:r>
          </w:p>
        </w:tc>
      </w:tr>
      <w:tr w14:paraId="78C78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9FB4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标注完整</w:t>
            </w:r>
          </w:p>
        </w:tc>
        <w:tc>
          <w:tcPr>
            <w:tcW w:w="2880" w:type="dxa"/>
          </w:tcPr>
          <w:p w14:paraId="6DB01F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标题/坐标轴/单位/图例完整</w:t>
            </w:r>
          </w:p>
        </w:tc>
        <w:tc>
          <w:tcPr>
            <w:tcW w:w="2880" w:type="dxa"/>
          </w:tcPr>
          <w:p w14:paraId="51DBF5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标注是否完整，是否有缺失</w:t>
            </w:r>
          </w:p>
        </w:tc>
      </w:tr>
      <w:tr w14:paraId="7B634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959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排版美观</w:t>
            </w:r>
          </w:p>
        </w:tc>
        <w:tc>
          <w:tcPr>
            <w:tcW w:w="2880" w:type="dxa"/>
          </w:tcPr>
          <w:p w14:paraId="6D4CFE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居中，尺寸合适，间距均匀</w:t>
            </w:r>
          </w:p>
        </w:tc>
        <w:tc>
          <w:tcPr>
            <w:tcW w:w="2880" w:type="dxa"/>
          </w:tcPr>
          <w:p w14:paraId="2D21C7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排版是否美观，尺寸是否合适，是否有跨页</w:t>
            </w:r>
          </w:p>
        </w:tc>
      </w:tr>
      <w:tr w14:paraId="64E7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39D7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流程图质量</w:t>
            </w:r>
          </w:p>
        </w:tc>
        <w:tc>
          <w:tcPr>
            <w:tcW w:w="2880" w:type="dxa"/>
          </w:tcPr>
          <w:p w14:paraId="5F8C66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获奖风格，节点4-6字，正交箭头</w:t>
            </w:r>
          </w:p>
        </w:tc>
        <w:tc>
          <w:tcPr>
            <w:tcW w:w="2880" w:type="dxa"/>
          </w:tcPr>
          <w:p w14:paraId="752BD5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流程图是否获奖风格，节点文字是否溢出</w:t>
            </w:r>
          </w:p>
        </w:tc>
      </w:tr>
      <w:tr w14:paraId="1DE43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F29B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示意图质量</w:t>
            </w:r>
          </w:p>
        </w:tc>
        <w:tc>
          <w:tcPr>
            <w:tcW w:w="2880" w:type="dxa"/>
          </w:tcPr>
          <w:p w14:paraId="745D35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线条清晰，标注完整，黑白为主</w:t>
            </w:r>
          </w:p>
        </w:tc>
        <w:tc>
          <w:tcPr>
            <w:tcW w:w="2880" w:type="dxa"/>
          </w:tcPr>
          <w:p w14:paraId="4D693C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示意图是否清晰，标注是否完整，配色是否花哨</w:t>
            </w:r>
          </w:p>
        </w:tc>
      </w:tr>
    </w:tbl>
    <w:p w14:paraId="42CFF375"/>
    <w:p w14:paraId="26F50F3C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十三、本提示词整改能力（检测+自动整改）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D19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1D834C6D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整改类型</w:t>
            </w:r>
          </w:p>
        </w:tc>
        <w:tc>
          <w:tcPr>
            <w:tcW w:w="2880" w:type="dxa"/>
            <w:shd w:val="clear" w:color="auto" w:fill="1F497D"/>
          </w:tcPr>
          <w:p w14:paraId="5BB654A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可自动整改的内容</w:t>
            </w:r>
          </w:p>
        </w:tc>
        <w:tc>
          <w:tcPr>
            <w:tcW w:w="2880" w:type="dxa"/>
            <w:shd w:val="clear" w:color="auto" w:fill="1F497D"/>
          </w:tcPr>
          <w:p w14:paraId="15166C7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整改方式</w:t>
            </w:r>
          </w:p>
        </w:tc>
      </w:tr>
      <w:tr w14:paraId="2FDB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4092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P0致命</w:t>
            </w:r>
          </w:p>
        </w:tc>
        <w:tc>
          <w:tcPr>
            <w:tcW w:w="2880" w:type="dxa"/>
          </w:tcPr>
          <w:p w14:paraId="2A3F26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数据被篡改、图表类型完全错误、图片无法显示/损坏</w:t>
            </w:r>
          </w:p>
        </w:tc>
        <w:tc>
          <w:tcPr>
            <w:tcW w:w="2880" w:type="dxa"/>
          </w:tcPr>
          <w:p w14:paraId="5B7C82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恢复原始数据+更换正确图表类型+重新生成图片</w:t>
            </w:r>
          </w:p>
        </w:tc>
      </w:tr>
      <w:tr w14:paraId="2157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0CBA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P1重要</w:t>
            </w:r>
          </w:p>
        </w:tc>
        <w:tc>
          <w:tcPr>
            <w:tcW w:w="2880" w:type="dxa"/>
          </w:tcPr>
          <w:p w14:paraId="4B64C4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配色使用jet/高饱和、标注缺失(无单位/图例)、流程图文字溢出/风格错误</w:t>
            </w:r>
          </w:p>
        </w:tc>
        <w:tc>
          <w:tcPr>
            <w:tcW w:w="2880" w:type="dxa"/>
          </w:tcPr>
          <w:p w14:paraId="605F0B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更换Nature配色+补充标注+重绘流程图(获奖风格)</w:t>
            </w:r>
          </w:p>
        </w:tc>
      </w:tr>
      <w:tr w14:paraId="05561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07B6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P2优化</w:t>
            </w:r>
          </w:p>
        </w:tc>
        <w:tc>
          <w:tcPr>
            <w:tcW w:w="2880" w:type="dxa"/>
          </w:tcPr>
          <w:p w14:paraId="3D356C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图片分辨率低、尺寸不合适、排版不居中、字体不统一</w:t>
            </w:r>
          </w:p>
        </w:tc>
        <w:tc>
          <w:tcPr>
            <w:tcW w:w="2880" w:type="dxa"/>
          </w:tcPr>
          <w:p w14:paraId="5B9AEB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提升分辨率(300dpi)+调整尺寸+居中对齐+统一字体</w:t>
            </w:r>
          </w:p>
        </w:tc>
      </w:tr>
      <w:tr w14:paraId="04E0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FFD8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需手动</w:t>
            </w:r>
          </w:p>
        </w:tc>
        <w:tc>
          <w:tcPr>
            <w:tcW w:w="2880" w:type="dxa"/>
          </w:tcPr>
          <w:p w14:paraId="2ACB0E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数据本身错误需要重新计算、图表需要完全重新设计</w:t>
            </w:r>
          </w:p>
        </w:tc>
        <w:tc>
          <w:tcPr>
            <w:tcW w:w="2880" w:type="dxa"/>
          </w:tcPr>
          <w:p w14:paraId="03BD9B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给出数据错误分析和图表重新设计建议，需学员确认后执行</w:t>
            </w:r>
          </w:p>
        </w:tc>
      </w:tr>
    </w:tbl>
    <w:p w14:paraId="3B062401"/>
    <w:p w14:paraId="59E55FCB">
      <w:r>
        <w:rPr>
          <w:rFonts w:ascii="宋体" w:hAnsi="宋体" w:eastAsia="宋体"/>
          <w:b/>
          <w:color w:val="E65100"/>
          <w:sz w:val="22"/>
        </w:rPr>
        <w:t>整改后输出：修改后的图表_已整改.png(批量) + 论文(图表已替换)_已整改.docx + HTML整改报告</w:t>
      </w:r>
    </w:p>
    <w:p w14:paraId="243B26A6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733F5F01">
      <w:r>
        <w:rPr>
          <w:rFonts w:ascii="宋体" w:hAnsi="宋体" w:eastAsia="宋体"/>
          <w:b/>
          <w:color w:val="C00000"/>
          <w:sz w:val="22"/>
        </w:rPr>
        <w:t>【图表美化V6.0结束】解题模式输出最终交付包，检测评估模式输出HTML报告。全流程完成！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EE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4004</Words>
  <Characters>4732</Characters>
  <Lines>0</Lines>
  <Paragraphs>0</Paragraphs>
  <TotalTime>0</TotalTime>
  <ScaleCrop>false</ScaleCrop>
  <LinksUpToDate>false</LinksUpToDate>
  <CharactersWithSpaces>4865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2026-09-08T10:23:57Z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10D47CD5C8874C49A15945677B0FAFF7_12</vt:lpwstr>
  </property>
</Properties>
</file>