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interpretations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interpretations of surprised facial expressions</w:t>
      </w:r>
    </w:p>
    <w:p>
      <w:pPr>
        <w:pStyle w:val="berschrift1"/>
      </w:pPr>
      <w:bookmarkStart w:id="22" w:name="introduction"/>
      <w:r>
        <w:t xml:space="preserve">Introduction</w:t>
      </w:r>
      <w:bookmarkEnd w:id="22"/>
    </w:p>
    <w:p>
      <w:pPr>
        <w:pStyle w:val="berschrift2"/>
      </w:pPr>
      <w:bookmarkStart w:id="23" w:name="facial-expressions-and-individual-differences"/>
      <w:r>
        <w:t xml:space="preserve">Facial expressions and individual differences</w:t>
      </w:r>
      <w:bookmarkEnd w:id="23"/>
    </w:p>
    <w:p>
      <w:pPr>
        <w:pStyle w:val="FirstParagraph"/>
      </w:pPr>
      <w:r>
        <w:t xml:space="preserve">Facial expressions are a mechanism for communicating emotion during social interactions. While the use of facial expressions as an information exchange may be universal</w:t>
      </w:r>
      <w:r>
        <w:t xml:space="preserve"> </w:t>
      </w:r>
      <w:r>
        <w:t xml:space="preserve">(Izard, 1994)</w:t>
      </w:r>
      <w:r>
        <w:t xml:space="preserve">, there are notable differences in interpretations of facial expressions</w:t>
      </w:r>
      <w:r>
        <w:t xml:space="preserve"> </w:t>
      </w:r>
      <w:r>
        <w:t xml:space="preserve">(Green &amp; Guo, 2018; Neta, Norris, &amp; Whalen, 2009)</w:t>
      </w:r>
      <w:r>
        <w:t xml:space="preserve">. One such difference is in valence judgments of emotional facial expressions. The affective circumplex model posits that two independent neurophysiological systems give rise to emotional experience which are known as valence and arousal</w:t>
      </w:r>
      <w:r>
        <w:t xml:space="preserve"> </w:t>
      </w:r>
      <w:r>
        <w:t xml:space="preserve">(Posner, Russell, &amp; Peterson, 2005)</w:t>
      </w:r>
      <w:r>
        <w:t xml:space="preserve">. Valence is the inherent positive (i.e., pleasant) or negative (i.e., unpleasant) qualities of a stimulus, feeling, or state. Importantly, individuals differ in their tendency to interpret ambiguously valenced stimuli, such as a tempting food item or a surprised facial expression, as either positive or negative.</w:t>
      </w:r>
      <w:r>
        <w:t xml:space="preserve"> </w:t>
      </w:r>
      <w:r>
        <w:t xml:space="preserve"> </w:t>
      </w:r>
      <w:r>
        <w:t xml:space="preserve">This is attributable to such stimuli’s predictive value for both positive and negative outcomes in an individual’s previous experience. For instance, a surprised expression could signal positive (e.g., winning the lottery) or negative (e.g., a car accident) events. This affective bias is known as one’s</w:t>
      </w:r>
      <w:r>
        <w:t xml:space="preserve"> </w:t>
      </w:r>
      <w:r>
        <w:rPr>
          <w:i/>
        </w:rPr>
        <w:t xml:space="preserve">valence bias</w:t>
      </w:r>
      <w:r>
        <w:t xml:space="preserve">, and a growing body of work has used both facial expressions and scenes to better understand this individual difference</w:t>
      </w:r>
      <w:r>
        <w:t xml:space="preserve"> </w:t>
      </w:r>
      <w:r>
        <w:t xml:space="preserve">(Neta, Kelley, &amp; Whalen, 2013; Neta et al., 2009; Neta &amp; Whalen, 2010)</w:t>
      </w:r>
      <w:r>
        <w:t xml:space="preserve">.</w:t>
      </w:r>
    </w:p>
    <w:p>
      <w:pPr>
        <w:pStyle w:val="Textkrper"/>
      </w:pPr>
      <w:r>
        <w:t xml:space="preserve">Previous work shows that valence bias is both a stable, trait-like measure</w:t>
      </w:r>
      <w:r>
        <w:t xml:space="preserve"> </w:t>
      </w:r>
      <w:r>
        <w:t xml:space="preserve">(Neta et al., 2009)</w:t>
      </w:r>
      <w:r>
        <w:t xml:space="preserve">, but also malleable due to its susceptibility to laboratory manipulations</w:t>
      </w:r>
      <w:r>
        <w:t xml:space="preserve"> </w:t>
      </w:r>
      <w:r>
        <w:t xml:space="preserve">(Brown, Raio, &amp; Neta, 2017; Neta &amp; Dodd, 2018; Neta et al., 2018)</w:t>
      </w:r>
      <w:r>
        <w:t xml:space="preserve">. The trait-like nature of valence bias is useful for understanding chronic affective biases. Negativity biases, which may be adaptive in the short-term (e.g., heightened attention to negative stimuli in a potentially dangerous situation), can undermine healthy psychological functioning over time. For instance, negativity biases in memory and attention are related to an increased risk for psychopathology, such as depression and anxiety</w:t>
      </w:r>
      <w:r>
        <w:t xml:space="preserve"> </w:t>
      </w:r>
      <w:r>
        <w:t xml:space="preserve">(Mathews &amp; MacLeod, 2005)</w:t>
      </w:r>
      <w:r>
        <w:t xml:space="preserve">.</w:t>
      </w:r>
      <w:r>
        <w:t xml:space="preserve"> </w:t>
      </w:r>
      <w:r>
        <w:t xml:space="preserve"> </w:t>
      </w:r>
      <w:r>
        <w:t xml:space="preserve">Alternatively, the malleability of valence bias offers insight into mechanisms or interventions that may be capable of shifting bias. Several brief, laboratory interventions are known to shift bias. For example, instructing participants to slow responding will lead to more positive interpretations of ambiguity</w:t>
      </w:r>
      <w:r>
        <w:t xml:space="preserve"> </w:t>
      </w:r>
      <w:r>
        <w:t xml:space="preserve">(Neta &amp; Tong, 2016)</w:t>
      </w:r>
      <w:r>
        <w:t xml:space="preserve">. Alternatively, manipulating participant gaze to match that of extremely negative (or positive) individuals modulates individuals’ bias</w:t>
      </w:r>
      <w:r>
        <w:t xml:space="preserve"> </w:t>
      </w:r>
      <w:r>
        <w:t xml:space="preserve">(Neta &amp; Dodd, 2018)</w:t>
      </w:r>
      <w:r>
        <w:t xml:space="preserve">. In short, valence bias offers insight into both state- and trait-like components of individuals behavior, but through what mechanisms might an individual arrive at either a positive or negative interpretation?</w:t>
      </w:r>
    </w:p>
    <w:p>
      <w:pPr>
        <w:pStyle w:val="berschrift2"/>
      </w:pPr>
      <w:bookmarkStart w:id="24" w:name="initial-negativity-hypothesis"/>
      <w:r>
        <w:t xml:space="preserve">Initial negativity hypothesis</w:t>
      </w:r>
      <w:bookmarkEnd w:id="24"/>
    </w:p>
    <w:p>
      <w:pPr>
        <w:pStyle w:val="FirstParagraph"/>
      </w:pPr>
      <w:r>
        <w:t xml:space="preserve">Myriad factors contribute to an individual’s bias, but research suggests the initial interpretation is negative across people. Data supporting this initial negativity hypothesis come from many studies. As mentioned above, reaction times are faster for negative interpretations of ambiguous stimuli</w:t>
      </w:r>
      <w:r>
        <w:t xml:space="preserve"> </w:t>
      </w:r>
      <w:r>
        <w:t xml:space="preserve">(Neta &amp; Tong, 2016)</w:t>
      </w:r>
      <w:r>
        <w:t xml:space="preserve">. If negative interpretations occur faster than positive interpretations, then there may be an initial, automatic process resulting in the negativity. In turn, positive interpretations would require some override or regulation of this initial process. Supporting this idea, presentation of surprised facial expressions as low spatial frequency images, which are processed more readily than high spatial frequency images, bias interpretations towards negativity</w:t>
      </w:r>
      <w:r>
        <w:t xml:space="preserve"> </w:t>
      </w:r>
      <w:r>
        <w:t xml:space="preserve">(Neta &amp; Whalen, 2010)</w:t>
      </w:r>
      <w:r>
        <w:t xml:space="preserve">. Again, this supports the automaticity of negative interpretations, and suggests that high spatial frequency components, which are processed later, may be helpful for overriding negativity.</w:t>
      </w:r>
      <w:r>
        <w:t xml:space="preserve"> </w:t>
      </w:r>
      <w:r>
        <w:t xml:space="preserve"> </w:t>
      </w:r>
      <w:r>
        <w:t xml:space="preserve">Evidence from the neuroimaging literature supports the initial negativity hypothesis as well; more positive individuals show higher levels of BOLD activation, when passively viewing surprised expressions, in brain regions recruited during emotion regulation of negative images</w:t>
      </w:r>
      <w:r>
        <w:t xml:space="preserve"> </w:t>
      </w:r>
      <w:r>
        <w:t xml:space="preserve">(Petro, Tong, Henley, &amp; Neta, 2018)</w:t>
      </w:r>
      <w:r>
        <w:t xml:space="preserve">. Emotion regulation, and more specifically reappraisal, may be an underlying mechanism of a more positive valence bias.</w:t>
      </w:r>
    </w:p>
    <w:p>
      <w:pPr>
        <w:pStyle w:val="berschrift2"/>
      </w:pPr>
      <w:bookmarkStart w:id="25" w:name="cognitive-loads-and-task-interference"/>
      <w:r>
        <w:t xml:space="preserve">Cognitive loads and task interference</w:t>
      </w:r>
      <w:bookmarkEnd w:id="25"/>
    </w:p>
    <w:p>
      <w:pPr>
        <w:pStyle w:val="FirstParagraph"/>
      </w:pPr>
      <w:r>
        <w:t xml:space="preserve">Executive functions, including working memory, are related to successful self-regulation, and in turn emotion regulation</w:t>
      </w:r>
      <w:r>
        <w:t xml:space="preserve"> </w:t>
      </w:r>
      <w:r>
        <w:t xml:space="preserve">(Hofmann, Schmeichel, &amp; Baddeley, 2012)</w:t>
      </w:r>
      <w:r>
        <w:t xml:space="preserve">. Directly comparing working memory and self-regulation of emotional responses, Schmeichel and colleagues</w:t>
      </w:r>
      <w:r>
        <w:t xml:space="preserve"> </w:t>
      </w:r>
      <w:r>
        <w:t xml:space="preserve">(2008)</w:t>
      </w:r>
      <w:r>
        <w:t xml:space="preserve"> </w:t>
      </w:r>
      <w:r>
        <w:t xml:space="preserve">reported that individuals with higher levels of working memory capacity demonstrated improved self-regulation towards the emotional stimuli. This suggests a connection–perhaps through some shared resource pool–between mitigated emotional responding and larger working memory resource availablility. Other work has focused on the effects of moods or affective states on working memory performance. For instance, some reports claim that both positive and negative mood interfere with working memory (Eyesenck and Calvo, 1992); however, others suggest benefits of positive mood on working memory</w:t>
      </w:r>
      <w:r>
        <w:t xml:space="preserve"> </w:t>
      </w:r>
      <w:r>
        <w:t xml:space="preserve">(Yang, Yang, &amp; Isen, 2013)</w:t>
      </w:r>
      <w:r>
        <w:t xml:space="preserve">. Similarly, active working memory processes may alter concurrent affective processes. For instance, actively engaging working memory can mitigate emotional responses, particularly to negative stimuli</w:t>
      </w:r>
      <w:r>
        <w:t xml:space="preserve"> </w:t>
      </w:r>
      <w:r>
        <w:t xml:space="preserve">(MacNamara, Ferri, &amp; Hajcak, 2011)</w:t>
      </w:r>
      <w:r>
        <w:t xml:space="preserve">. Recent neuroimaging work reports that negative emotional responses decrease as the cognitive demands of a working memory task increase</w:t>
      </w:r>
      <w:r>
        <w:t xml:space="preserve"> </w:t>
      </w:r>
      <w:r>
        <w:t xml:space="preserve">(Van Dillen, Heslenfeld, &amp; Koole, 2009)</w:t>
      </w:r>
      <w:r>
        <w:t xml:space="preserve">. Additionally, following an anger induction, those with low trait rumination show faster blood pressure recovery when provided with a distractor task</w:t>
      </w:r>
      <w:r>
        <w:t xml:space="preserve"> </w:t>
      </w:r>
      <w:r>
        <w:t xml:space="preserve">(Gerin, Davidson, Christenfeld, Goyal, &amp; Schwartz, 2006)</w:t>
      </w:r>
      <w:r>
        <w:t xml:space="preserve">. Together, these studies suggest a resource competition between cognitive and emotional processes; in other words, when cognitive load demands are high (e.g., during active working memory maintenance), there are fewer resources available for other (i.e., affective) processes.</w:t>
      </w:r>
    </w:p>
    <w:p>
      <w:pPr>
        <w:pStyle w:val="Textkrper"/>
      </w:pPr>
      <w:r>
        <w:t xml:space="preserve">While previous work suggests an inhibitory effect on some emotional responses during periods with high cognitive demands, researchers have primarily focused on emotional responses to clearly valenced emotional stimuli. For instance, Schmeichel and colleagues</w:t>
      </w:r>
      <w:r>
        <w:t xml:space="preserve"> </w:t>
      </w:r>
      <w:r>
        <w:t xml:space="preserve">(2008)</w:t>
      </w:r>
      <w:r>
        <w:t xml:space="preserve"> </w:t>
      </w:r>
      <w:r>
        <w:t xml:space="preserve">showed participants videos intended to elicit strong negative responses (e.g., disgust) or positive responses (e.g., humor), while others have focused on comparing responses to neutral compared to negative sitmuli</w:t>
      </w:r>
      <w:r>
        <w:t xml:space="preserve"> </w:t>
      </w:r>
      <w:r>
        <w:t xml:space="preserve">(Van Dillen et al., 2009)</w:t>
      </w:r>
      <w:r>
        <w:t xml:space="preserve">.</w:t>
      </w:r>
      <w:r>
        <w:t xml:space="preserve"> </w:t>
      </w:r>
      <w:r>
        <w:t xml:space="preserve">However, many emotional appraisals, such as interpreting the valence of emotionally ambiguous stimuli, are more nuanced.</w:t>
      </w:r>
      <w:r>
        <w:t xml:space="preserve"> </w:t>
      </w:r>
      <w:r>
        <w:t xml:space="preserve"> </w:t>
      </w:r>
      <w:r>
        <w:t xml:space="preserve">Maintenance of goal states can reduce performance on some components of executive functioning tasks</w:t>
      </w:r>
      <w:r>
        <w:t xml:space="preserve"> </w:t>
      </w:r>
      <w:r>
        <w:t xml:space="preserve">(Shaw &amp; Tiggemann, 2004)</w:t>
      </w:r>
      <w:r>
        <w:t xml:space="preserve">, which is in line with Lavie and colleague’s</w:t>
      </w:r>
      <w:r>
        <w:t xml:space="preserve"> </w:t>
      </w:r>
      <w:r>
        <w:t xml:space="preserve">(2004)</w:t>
      </w:r>
      <w:r>
        <w:t xml:space="preserve"> </w:t>
      </w:r>
      <w:r>
        <w:t xml:space="preserve">load theory. Cognitive load theory posits that under a large cognitive load less executive resources are available to regulate incoming stimulus information. In turn, this means that more bottom-up, automatic processes (e.g., more readily processed perceptual input such as low spatial frequency information) might drive decisions under working memory loads.</w:t>
      </w:r>
    </w:p>
    <w:p>
      <w:pPr>
        <w:pStyle w:val="berschrift2"/>
      </w:pPr>
      <w:bookmarkStart w:id="26" w:name="domain-specific-interference"/>
      <w:r>
        <w:t xml:space="preserve">Domain-specific interference</w:t>
      </w:r>
      <w:bookmarkEnd w:id="26"/>
    </w:p>
    <w:p>
      <w:pPr>
        <w:pStyle w:val="FirstParagraph"/>
      </w:pPr>
      <w:r>
        <w:t xml:space="preserve">Recently, cognitive load theory researchers have tested, and demonstrated, the domain-specificity of cognitive load and distractor interference effects in visual, spatial, and phonological domains</w:t>
      </w:r>
      <w:r>
        <w:t xml:space="preserve"> </w:t>
      </w:r>
      <w:r>
        <w:t xml:space="preserve">(Burnham, Sabia, &amp; Langan, 2014)</w:t>
      </w:r>
      <w:r>
        <w:t xml:space="preserve">. Load interference effects may also transverse other domain components, such as maintaining emotional compared to neutral memory content. Emotional stimuli readily capture attention compared to neutral stimuli, and this is true even in participants with amygdala damage</w:t>
      </w:r>
      <w:r>
        <w:t xml:space="preserve"> </w:t>
      </w:r>
      <w:r>
        <w:t xml:space="preserve">(Hodsoll, Viding, &amp; Lavie, 2011; Piech et al., 2011)</w:t>
      </w:r>
      <w:r>
        <w:t xml:space="preserve">. Given the preference for emotional stimuli in the brain’s information processing stream, it may be that cognitive loads with emotional content, compared to neutral, differentially affect concurrent emotional appraisals. Indeed, Kensigner and colleagues</w:t>
      </w:r>
      <w:r>
        <w:t xml:space="preserve"> </w:t>
      </w:r>
      <w:r>
        <w:t xml:space="preserve">(2003)</w:t>
      </w:r>
      <w:r>
        <w:t xml:space="preserve"> </w:t>
      </w:r>
      <w:r>
        <w:t xml:space="preserve">showed that negative emotional content slows performance on the n-back task. Other domain-specific effects have been observed in many lines of executive functions research, including those beyond the working memory domain. For example, the Stroop task</w:t>
      </w:r>
      <w:r>
        <w:t xml:space="preserve"> </w:t>
      </w:r>
      <w:r>
        <w:t xml:space="preserve">(Stroop, 1935)</w:t>
      </w:r>
      <w:r>
        <w:t xml:space="preserve">, a common measurement tool for inhibitory control, has been modified to include both emotional and non-emotional (neutral) stimuli</w:t>
      </w:r>
      <w:r>
        <w:t xml:space="preserve"> </w:t>
      </w:r>
      <w:r>
        <w:t xml:space="preserve">(Whalen, Bush, Shin, &amp; Rauch, 2006)</w:t>
      </w:r>
      <w:r>
        <w:t xml:space="preserve"> </w:t>
      </w:r>
      <w:r>
        <w:t xml:space="preserve">which has pronounced effects when the emotional words are population specific (e.g., trauma words in a PTSD sample). Other neuroimaging work also supports the notion that separate systems handle attentional biasing for domain-specific (emotional vs. non-emotional) task relevancy</w:t>
      </w:r>
      <w:r>
        <w:t xml:space="preserve"> </w:t>
      </w:r>
      <w:r>
        <w:t xml:space="preserve">(Egner, Etkin, Gale, &amp; Hirsch, 2008)</w:t>
      </w:r>
      <w:r>
        <w:t xml:space="preserve">. Given this evidence for dissociations of emotional and non-emotional information domains in executive functions (e.g., working memory, inhibitory control), the present work aims to clarify the interaction of emotional and non-emotional visual working memory demands on concurrent interpretations of emotional stimuli with ambiguous valence.</w:t>
      </w:r>
    </w:p>
    <w:p>
      <w:pPr>
        <w:pStyle w:val="berschrift2"/>
      </w:pPr>
      <w:bookmarkStart w:id="27" w:name="the-present-study"/>
      <w:r>
        <w:t xml:space="preserve">The present study</w:t>
      </w:r>
      <w:bookmarkEnd w:id="27"/>
    </w:p>
    <w:p>
      <w:pPr>
        <w:pStyle w:val="FirstParagraph"/>
      </w:pPr>
      <w:r>
        <w:t xml:space="preserve">Given the evidence that positive interpretations of ambiguity rely on a regulatory mechanism, a demanding cognitive load could interfere with successful implementation of regulation strategies. Recently, Mattek and colleagues</w:t>
      </w:r>
      <w:r>
        <w:t xml:space="preserve"> </w:t>
      </w:r>
      <w:r>
        <w:t xml:space="preserve">(2016)</w:t>
      </w:r>
      <w:r>
        <w:t xml:space="preserve"> </w:t>
      </w:r>
      <w:r>
        <w:t xml:space="preserve">showed that high levels of cognitive load (i.e., holding either a single or seven digit number in working memory) mitigates mouse trajectory deviations to modal responses during interpretations of surprised expressions. However, there was no effect on subjective valence interpretations. Further,</w:t>
      </w:r>
      <w:r>
        <w:t xml:space="preserve"> </w:t>
      </w:r>
      <w:r>
        <w:t xml:space="preserve"> </w:t>
      </w:r>
      <w:r>
        <w:t xml:space="preserve">domain-specificity effects in both behavioral and BOLD data</w:t>
      </w:r>
      <w:r>
        <w:t xml:space="preserve"> </w:t>
      </w:r>
      <w:r>
        <w:t xml:space="preserve">(Egner et al., 2008; Kensinger &amp; Corkin, 2003; Whalen et al., 2006 )</w:t>
      </w:r>
      <w:r>
        <w:t xml:space="preserve"> </w:t>
      </w:r>
      <w:r>
        <w:t xml:space="preserve">suggest that a domain-specific (i.e., emotional) cognitive load may differentially affect emotional judgments during interpretations of ambiguity.</w:t>
      </w:r>
      <w:r>
        <w:t xml:space="preserve"> </w:t>
      </w:r>
      <w:r>
        <w:t xml:space="preserve"> </w:t>
      </w:r>
      <w:r>
        <w:t xml:space="preserve">Here, we aim to test the effects of low and high working memory loads in both emotional and neutral domains on valence bias. We expect that trials in which participants are maintaining an emotional working memory load will be more negative than neutral trials, as the high cognitive demand interferes with the regulatory mechanisms used to arrive at a positive interpretation. Further, we predict that higher working memory laod trials, specifically in the emotional domain, will result in even more exaggerated negative interpretations.</w:t>
      </w:r>
    </w:p>
    <w:p>
      <w:pPr>
        <w:pStyle w:val="berschrift1"/>
      </w:pPr>
      <w:bookmarkStart w:id="28" w:name="methods"/>
      <w:r>
        <w:t xml:space="preserve">Methods</w:t>
      </w:r>
      <w:bookmarkEnd w:id="28"/>
    </w:p>
    <w:p>
      <w:pPr>
        <w:pStyle w:val="berschrift2"/>
      </w:pPr>
      <w:bookmarkStart w:id="29" w:name="participants"/>
      <w:r>
        <w:t xml:space="preserve">Participants</w:t>
      </w:r>
      <w:bookmarkEnd w:id="29"/>
    </w:p>
    <w:p>
      <w:pPr>
        <w:pStyle w:val="FirstParagraph"/>
      </w:pPr>
      <w:r>
        <w:t xml:space="preserve">Fifty-eight subjects were recruited from the undergraduate research pool at the University of Nebraska-Lincoln. The data from eight subjects were excluded due to technical difficulties resulting from an error in one of the experiment scripts. This left 50 individuals in the final sample for analysis. The mean age of the remaining sample was 18.82 (1.19), a majority of participants were female (82.00%), and all were white/caucasian without hispanic/Latinx ethnicity.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pPr>
        <w:pStyle w:val="berschrift2"/>
      </w:pPr>
      <w:bookmarkStart w:id="30" w:name="material"/>
      <w:r>
        <w:t xml:space="preserve">Material</w:t>
      </w:r>
      <w:bookmarkEnd w:id="30"/>
    </w:p>
    <w:p>
      <w:pPr>
        <w:pStyle w:val="berschrift3"/>
      </w:pPr>
      <w:bookmarkStart w:id="31" w:name="stimuli"/>
      <w:r>
        <w:t xml:space="preserve">Stimuli</w:t>
      </w:r>
      <w:bookmarkEnd w:id="31"/>
    </w:p>
    <w:p>
      <w:pPr>
        <w:pStyle w:val="FirstParagraph"/>
      </w:pPr>
      <w:r>
        <w:t xml:space="preserve">The stimuli included faces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as in previous work</w:t>
      </w:r>
      <w:r>
        <w:t xml:space="preserve"> </w:t>
      </w:r>
      <w:r>
        <w:t xml:space="preserve">(Brown et al., 2017; Neta &amp; Whalen, 2010)</w:t>
      </w:r>
      <w:r>
        <w:t xml:space="preserve">. The faces consisted of 34 unique identities including 11 angry, 12 happy, and 24 surprised expressions organized pseudorandomly. The scene stimuli were selected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2"/>
      </w:pPr>
      <w:bookmarkStart w:id="32" w:name="procedure"/>
      <w:r>
        <w:t xml:space="preserve">Procedure</w:t>
      </w:r>
      <w:bookmarkEnd w:id="32"/>
    </w:p>
    <w:p>
      <w:pPr>
        <w:pStyle w:val="FirstParagraph"/>
      </w:pPr>
      <w:r>
        <w:t xml:space="preserve">After arriving at the lab, participants provided informed consent prior to completing the task. Participants were randomly assigned to complete one of the task versions, which included 144</w:t>
      </w:r>
      <w:r>
        <w:rPr>
          <w:rStyle w:val="Funotenzeichen"/>
        </w:rPr>
        <w:footnoteReference w:id="33"/>
      </w:r>
      <w:r>
        <w:t xml:space="preserve"> </w:t>
      </w:r>
      <w:r>
        <w:t xml:space="preserve">trials split between working memory probe and face rating trials. The task was completed using MouseTracker software</w:t>
      </w:r>
      <w:r>
        <w:t xml:space="preserve"> </w:t>
      </w:r>
      <w:r>
        <w:t xml:space="preserve">(Freeman &amp; Ambady, 2010)</w:t>
      </w:r>
      <w:r>
        <w:t xml:space="preserve"> </w:t>
      </w:r>
      <w:r>
        <w:t xml:space="preserve">and participants responded with a mouse to indicate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 trials were self-initiated; that is, the participant clicked a</w:t>
      </w:r>
      <w:r>
        <w:t xml:space="preserve"> </w:t>
      </w:r>
      <w:r>
        <w:t xml:space="preserve">“</w:t>
      </w:r>
      <w:r>
        <w:t xml:space="preserve">start</w:t>
      </w:r>
      <w:r>
        <w:t xml:space="preserve">”</w:t>
      </w:r>
      <w:r>
        <w:t xml:space="preserve"> </w:t>
      </w:r>
      <w:r>
        <w:t xml:space="preserve">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pPr>
        <w:pStyle w:val="berschrift2"/>
      </w:pPr>
      <w:bookmarkStart w:id="34" w:name="data-analysis"/>
      <w:r>
        <w:t xml:space="preserve">Data analysis</w:t>
      </w:r>
      <w:bookmarkEnd w:id="34"/>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BayesFactor</w:t>
      </w:r>
      <w:r>
        <w:t xml:space="preserve"> </w:t>
      </w:r>
      <w:r>
        <w:t xml:space="preserve">(Version 0.9.12.4.2;</w:t>
      </w:r>
      <w:r>
        <w:t xml:space="preserve"> </w:t>
      </w:r>
      <w:r>
        <w:rPr>
          <w:b/>
        </w:rPr>
        <w:t xml:space="preserve">???</w:t>
      </w:r>
      <w:r>
        <w:t xml:space="preserve">)</w:t>
      </w:r>
      <w:r>
        <w:t xml:space="preserve">,</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circlize</w:t>
      </w:r>
      <w:r>
        <w:t xml:space="preserve"> </w:t>
      </w:r>
      <w:r>
        <w:t xml:space="preserve">(Version 0.4.6;</w:t>
      </w:r>
      <w:r>
        <w:t xml:space="preserve"> </w:t>
      </w:r>
      <w:r>
        <w:rPr>
          <w:b/>
        </w:rPr>
        <w:t xml:space="preserve">???</w:t>
      </w:r>
      <w:r>
        <w:t xml:space="preserve">)</w:t>
      </w:r>
      <w:r>
        <w:t xml:space="preserve">,</w:t>
      </w:r>
      <w:r>
        <w:t xml:space="preserve"> </w:t>
      </w:r>
      <w:r>
        <w:rPr>
          <w:i/>
        </w:rPr>
        <w:t xml:space="preserve">coda</w:t>
      </w:r>
      <w:r>
        <w:t xml:space="preserve"> </w:t>
      </w:r>
      <w:r>
        <w:t xml:space="preserve">(Version 0.19.2;</w:t>
      </w:r>
      <w:r>
        <w:t xml:space="preserve"> </w:t>
      </w:r>
      <w:r>
        <w:rPr>
          <w:b/>
        </w:rPr>
        <w:t xml:space="preserve">???</w:t>
      </w:r>
      <w:r>
        <w:t xml:space="preserve">)</w:t>
      </w:r>
      <w:r>
        <w:t xml:space="preserve">,</w:t>
      </w:r>
      <w:r>
        <w:t xml:space="preserve"> </w:t>
      </w:r>
      <w:r>
        <w:rPr>
          <w:i/>
        </w:rPr>
        <w:t xml:space="preserve">cstab</w:t>
      </w:r>
      <w:r>
        <w:t xml:space="preserve"> </w:t>
      </w:r>
      <w:r>
        <w:t xml:space="preserve">(Version 0.2.2;</w:t>
      </w:r>
      <w:r>
        <w:t xml:space="preserve"> </w:t>
      </w:r>
      <w:r>
        <w:rPr>
          <w:b/>
        </w:rPr>
        <w:t xml:space="preserve">???</w:t>
      </w:r>
      <w:r>
        <w:t xml:space="preserve">)</w:t>
      </w:r>
      <w:r>
        <w:t xml:space="preserve">,</w:t>
      </w:r>
      <w:r>
        <w:t xml:space="preserve"> </w:t>
      </w:r>
      <w:r>
        <w:rPr>
          <w:i/>
        </w:rPr>
        <w:t xml:space="preserve">diptest</w:t>
      </w:r>
      <w:r>
        <w:t xml:space="preserve"> </w:t>
      </w:r>
      <w:r>
        <w:t xml:space="preserve">(Version 0.75.7;</w:t>
      </w:r>
      <w:r>
        <w:t xml:space="preserve"> </w:t>
      </w:r>
      <w:r>
        <w:rPr>
          <w:b/>
        </w:rPr>
        <w:t xml:space="preserve">???</w:t>
      </w:r>
      <w:r>
        <w:t xml:space="preserve">)</w:t>
      </w:r>
      <w:r>
        <w:t xml:space="preserve">,</w:t>
      </w:r>
      <w:r>
        <w:t xml:space="preserve"> </w:t>
      </w:r>
      <w:r>
        <w:rPr>
          <w:i/>
        </w:rPr>
        <w:t xml:space="preserve">dotCall64</w:t>
      </w:r>
      <w:r>
        <w:t xml:space="preserve"> </w:t>
      </w:r>
      <w:r>
        <w:t xml:space="preserve">(Version 1.0.0;</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fastcluster</w:t>
      </w:r>
      <w:r>
        <w:t xml:space="preserve"> </w:t>
      </w:r>
      <w:r>
        <w:t xml:space="preserve">(Version 1.1.25;</w:t>
      </w:r>
      <w:r>
        <w:t xml:space="preserve"> </w:t>
      </w:r>
      <w:r>
        <w:rPr>
          <w:b/>
        </w:rPr>
        <w:t xml:space="preserve">???</w:t>
      </w:r>
      <w:r>
        <w:t xml:space="preserve">)</w:t>
      </w:r>
      <w:r>
        <w:t xml:space="preserve">,</w:t>
      </w:r>
      <w:r>
        <w:t xml:space="preserve"> </w:t>
      </w:r>
      <w:r>
        <w:rPr>
          <w:i/>
        </w:rPr>
        <w:t xml:space="preserve">fields</w:t>
      </w:r>
      <w:r>
        <w:t xml:space="preserve"> </w:t>
      </w:r>
      <w:r>
        <w:t xml:space="preserve">(Version 9.8.3;</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foreach</w:t>
      </w:r>
      <w:r>
        <w:t xml:space="preserve"> </w:t>
      </w:r>
      <w:r>
        <w:t xml:space="preserve">(Version 1.4.7;</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jpeg</w:t>
      </w:r>
      <w:r>
        <w:t xml:space="preserve"> </w:t>
      </w:r>
      <w:r>
        <w:t xml:space="preserve">(Version 0.1.8;</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magrittr</w:t>
      </w:r>
      <w:r>
        <w:t xml:space="preserve"> </w:t>
      </w:r>
      <w:r>
        <w:t xml:space="preserve">(Version 1.5;</w:t>
      </w:r>
      <w:r>
        <w:t xml:space="preserve"> </w:t>
      </w:r>
      <w:r>
        <w:rPr>
          <w:b/>
        </w:rPr>
        <w:t xml:space="preserve">???</w:t>
      </w:r>
      <w:r>
        <w:t xml:space="preserve">)</w:t>
      </w:r>
      <w:r>
        <w:t xml:space="preserve">,</w:t>
      </w:r>
      <w:r>
        <w:t xml:space="preserve"> </w:t>
      </w:r>
      <w:r>
        <w:rPr>
          <w:i/>
        </w:rPr>
        <w:t xml:space="preserve">maps</w:t>
      </w:r>
      <w:r>
        <w:t xml:space="preserve"> </w:t>
      </w:r>
      <w:r>
        <w:t xml:space="preserve">(Version 3.3.0;</w:t>
      </w:r>
      <w:r>
        <w:t xml:space="preserve"> </w:t>
      </w:r>
      <w:r>
        <w:rPr>
          <w:b/>
        </w:rPr>
        <w:t xml:space="preserve">???</w:t>
      </w:r>
      <w:r>
        <w:t xml:space="preserve">)</w:t>
      </w:r>
      <w:r>
        <w:t xml:space="preserve">,</w:t>
      </w:r>
      <w:r>
        <w:t xml:space="preserve"> </w:t>
      </w:r>
      <w:r>
        <w:rPr>
          <w:i/>
        </w:rPr>
        <w:t xml:space="preserve">Matrix</w:t>
      </w:r>
      <w:r>
        <w:t xml:space="preserve"> </w:t>
      </w:r>
      <w:r>
        <w:t xml:space="preserve">(Version 1.2.17;</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pracma</w:t>
      </w:r>
      <w:r>
        <w:t xml:space="preserve"> </w:t>
      </w:r>
      <w:r>
        <w:t xml:space="preserve">(Version 2.2.5;</w:t>
      </w:r>
      <w:r>
        <w:t xml:space="preserve"> </w:t>
      </w:r>
      <w:r>
        <w:rPr>
          <w:b/>
        </w:rPr>
        <w:t xml:space="preserve">???</w:t>
      </w:r>
      <w:r>
        <w:t xml:space="preserve">)</w:t>
      </w:r>
      <w:r>
        <w:t xml:space="preserve">,</w:t>
      </w:r>
      <w:r>
        <w:t xml:space="preserve"> </w:t>
      </w:r>
      <w:r>
        <w:rPr>
          <w:i/>
        </w:rPr>
        <w:t xml:space="preserve">processx</w:t>
      </w:r>
      <w:r>
        <w:t xml:space="preserve"> </w:t>
      </w:r>
      <w:r>
        <w:t xml:space="preserve">(Version 3.3.1;</w:t>
      </w:r>
      <w:r>
        <w:t xml:space="preserve"> </w:t>
      </w:r>
      <w:r>
        <w:rPr>
          <w:b/>
        </w:rPr>
        <w:t xml:space="preserve">???</w:t>
      </w:r>
      <w:r>
        <w:t xml:space="preserve">)</w:t>
      </w:r>
      <w:r>
        <w:t xml:space="preserve">,</w:t>
      </w:r>
      <w:r>
        <w:t xml:space="preserve"> </w:t>
      </w:r>
      <w:r>
        <w:rPr>
          <w:i/>
        </w:rPr>
        <w:t xml:space="preserve">psych</w:t>
      </w:r>
      <w:r>
        <w:t xml:space="preserve"> </w:t>
      </w:r>
      <w:r>
        <w:t xml:space="preserve">(Version 1.8.12;</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RColorBrewer</w:t>
      </w:r>
      <w:r>
        <w:t xml:space="preserve"> </w:t>
      </w:r>
      <w:r>
        <w:t xml:space="preserve">(Version 1.1.2;</w:t>
      </w:r>
      <w:r>
        <w:t xml:space="preserve"> </w:t>
      </w:r>
      <w:r>
        <w:rPr>
          <w:b/>
        </w:rPr>
        <w:t xml:space="preserve">???</w:t>
      </w:r>
      <w:r>
        <w:t xml:space="preserve">)</w:t>
      </w:r>
      <w:r>
        <w:t xml:space="preserve">,</w:t>
      </w:r>
      <w:r>
        <w:t xml:space="preserve"> </w:t>
      </w:r>
      <w:r>
        <w:rPr>
          <w:i/>
        </w:rPr>
        <w:t xml:space="preserve">Rcpp</w:t>
      </w:r>
      <w:r>
        <w:t xml:space="preserve"> </w:t>
      </w:r>
      <w:r>
        <w:t xml:space="preserve">(Version 1.0.1;</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readbulk</w:t>
      </w:r>
      <w:r>
        <w:t xml:space="preserve"> </w:t>
      </w:r>
      <w:r>
        <w:t xml:space="preserve">(Version 1.1.2;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scales</w:t>
      </w:r>
      <w:r>
        <w:t xml:space="preserve"> </w:t>
      </w:r>
      <w:r>
        <w:t xml:space="preserve">(Version 1.0.0;</w:t>
      </w:r>
      <w:r>
        <w:t xml:space="preserve"> </w:t>
      </w:r>
      <w:r>
        <w:rPr>
          <w:b/>
        </w:rPr>
        <w:t xml:space="preserve">???</w:t>
      </w:r>
      <w:r>
        <w:t xml:space="preserve">)</w:t>
      </w:r>
      <w:r>
        <w:t xml:space="preserve">,</w:t>
      </w:r>
      <w:r>
        <w:t xml:space="preserve"> </w:t>
      </w:r>
      <w:r>
        <w:rPr>
          <w:i/>
        </w:rPr>
        <w:t xml:space="preserve">spam</w:t>
      </w:r>
      <w:r>
        <w:t xml:space="preserve"> </w:t>
      </w:r>
      <w:r>
        <w:t xml:space="preserve">(Version 2.2.2;</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w:t>
      </w:r>
      <w:r>
        <w:t xml:space="preserve"> </w:t>
      </w:r>
      <w:r>
        <w:rPr>
          <w:i/>
        </w:rPr>
        <w:t xml:space="preserve">tidyverse</w:t>
      </w:r>
      <w:r>
        <w:t xml:space="preserve"> </w:t>
      </w:r>
      <w:r>
        <w:t xml:space="preserve">(Version 1.2.1;</w:t>
      </w:r>
      <w:r>
        <w:t xml:space="preserve"> </w:t>
      </w:r>
      <w:r>
        <w:rPr>
          <w:b/>
        </w:rPr>
        <w:t xml:space="preserve">???</w:t>
      </w:r>
      <w:r>
        <w:t xml:space="preserve">)</w:t>
      </w:r>
      <w:r>
        <w:t xml:space="preserve">, and</w:t>
      </w:r>
      <w:r>
        <w:t xml:space="preserve"> </w:t>
      </w:r>
      <w:r>
        <w:rPr>
          <w:i/>
        </w:rPr>
        <w:t xml:space="preserve">yarrr</w:t>
      </w:r>
      <w:r>
        <w:t xml:space="preserve"> </w:t>
      </w:r>
      <w:r>
        <w:t xml:space="preserve">(Version 0.1.5;</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all data were assessed for normality using Shapiro-Wilks tests. We tested for differences in valence bias among the different working memory load conditions. Friedman’s test was used to assess overall differences and pairwise comparisons were completed using Wilcoxon signed rank tests using Bonferroni correction. Next, we tested for differences among maximum deviations in each working memory load condition using a load (low, high) X domain (emotional, neutral) repeated-measures ANOVA.</w:t>
      </w:r>
    </w:p>
    <w:p>
      <w:pPr>
        <w:pStyle w:val="berschrift1"/>
      </w:pPr>
      <w:bookmarkStart w:id="35" w:name="results"/>
      <w:r>
        <w:t xml:space="preserve">Results</w:t>
      </w:r>
      <w:bookmarkEnd w:id="35"/>
    </w:p>
    <w:p>
      <w:pPr>
        <w:pStyle w:val="berschrift2"/>
      </w:pPr>
      <w:bookmarkStart w:id="36" w:name="subjective-ratings"/>
      <w:r>
        <w:t xml:space="preserve">Subjective ratings</w:t>
      </w:r>
      <w:bookmarkEnd w:id="36"/>
    </w:p>
    <w:p>
      <w:pPr>
        <w:pStyle w:val="FirstParagraph"/>
      </w:pPr>
      <w:r>
        <w:t xml:space="preserve">Distributions of ratings were first tested for normality using Shapiro-Wilk’s test. The results of all four tests were highly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effect of load. That is, the comparisons between low and high load ratings for both emotional, Z = -1.35, p = .176, and neutral, Z = -0.06, p = .954, load ratings were not significantly different.</w:t>
      </w:r>
      <w:r>
        <w:rPr>
          <w:rStyle w:val="Funotenzeichen"/>
        </w:rPr>
        <w:footnoteReference w:id="37"/>
      </w:r>
      <w:r>
        <w:t xml:space="preserve"> </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8"/>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Next, we assessed differences in maximum absolute deviation (MD) across the working memory trial conditions. While one of the conditions, low emotional MD,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40" w:name="discussion"/>
      <w:r>
        <w:t xml:space="preserve">Discussion</w:t>
      </w:r>
      <w:bookmarkEnd w:id="40"/>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Increased working memory demands (i.e., a higher cognitive load) do not always result in poorer performance on concurrent tasks. For instance Baddeley -</w:t>
      </w:r>
      <w:r>
        <w:t xml:space="preserve">(Baddeley, 1986)</w:t>
      </w:r>
      <w:r>
        <w:t xml:space="preserve"> </w:t>
      </w:r>
      <w:r>
        <w:t xml:space="preserve">reported that increasing load by adding digits to a rehearsed number did not affect accuracy on a concurrent verbal reasoning task–instead, there was an increase in the latency of response, a potential interference effect that did not alter overall accuracy.</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Textkrper"/>
      </w:pPr>
      <w:r>
        <w:t xml:space="preserve">Future work should consider whether the representations of these emotional images in AWM (Reuter-Lorenz), or</w:t>
      </w:r>
    </w:p>
    <w:p>
      <w:pPr>
        <w:pStyle w:val="berschrift1"/>
      </w:pPr>
      <w:bookmarkStart w:id="41" w:name="references"/>
      <w:r>
        <w:t xml:space="preserve">References</w:t>
      </w:r>
      <w:bookmarkEnd w:id="41"/>
    </w:p>
    <w:bookmarkStart w:id="104" w:name="refs"/>
    <w:bookmarkStart w:id="42" w:name="ref-baddeley_working_1986"/>
    <w:p>
      <w:pPr>
        <w:pStyle w:val="FirstParagraph"/>
      </w:pPr>
      <w:r>
        <w:t xml:space="preserve">Baddeley, A. D. (1986). Working memory.</w:t>
      </w:r>
      <w:r>
        <w:t xml:space="preserve"> </w:t>
      </w:r>
      <w:r>
        <w:rPr>
          <w:i/>
        </w:rPr>
        <w:t xml:space="preserve">Philosophical Transactions of the Royal Society of London</w:t>
      </w:r>
      <w:r>
        <w:t xml:space="preserve">,</w:t>
      </w:r>
      <w:r>
        <w:t xml:space="preserve"> </w:t>
      </w:r>
      <w:r>
        <w:rPr>
          <w:i/>
        </w:rPr>
        <w:t xml:space="preserve">302</w:t>
      </w:r>
      <w:r>
        <w:t xml:space="preserve">(110), 311–324.</w:t>
      </w:r>
    </w:p>
    <w:bookmarkEnd w:id="42"/>
    <w:bookmarkStart w:id="44" w:name="ref-brown_cortisol_2017"/>
    <w:p>
      <w:pPr>
        <w:pStyle w:val="Textkrper"/>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43">
        <w:r>
          <w:rPr>
            <w:rStyle w:val="Hyperlink"/>
          </w:rPr>
          <w:t xml:space="preserve">10.1038/s41598-017-14846-3</w:t>
        </w:r>
      </w:hyperlink>
    </w:p>
    <w:bookmarkEnd w:id="44"/>
    <w:bookmarkStart w:id="46" w:name="ref-burnham_components_2014"/>
    <w:p>
      <w:pPr>
        <w:pStyle w:val="Textkrper"/>
      </w:pPr>
      <w:r>
        <w:t xml:space="preserve">Burnham, B. R., Sabia, M., &amp; Langan, C. (2014). Components of working memory and visual selective attention.</w:t>
      </w:r>
      <w:r>
        <w:t xml:space="preserve"> </w:t>
      </w:r>
      <w:r>
        <w:rPr>
          <w:i/>
        </w:rPr>
        <w:t xml:space="preserve">Journal of Experimental Psychology. Human Perception and Performance</w:t>
      </w:r>
      <w:r>
        <w:t xml:space="preserve">,</w:t>
      </w:r>
      <w:r>
        <w:t xml:space="preserve"> </w:t>
      </w:r>
      <w:r>
        <w:rPr>
          <w:i/>
        </w:rPr>
        <w:t xml:space="preserve">40</w:t>
      </w:r>
      <w:r>
        <w:t xml:space="preserve">(1), 391–403. doi:</w:t>
      </w:r>
      <w:hyperlink r:id="rId45">
        <w:r>
          <w:rPr>
            <w:rStyle w:val="Hyperlink"/>
          </w:rPr>
          <w:t xml:space="preserve">10.1037/a0033753</w:t>
        </w:r>
      </w:hyperlink>
    </w:p>
    <w:bookmarkEnd w:id="46"/>
    <w:bookmarkStart w:id="48"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47">
        <w:r>
          <w:rPr>
            <w:rStyle w:val="Hyperlink"/>
          </w:rPr>
          <w:t xml:space="preserve">10.1093/cercor/bhm179</w:t>
        </w:r>
      </w:hyperlink>
    </w:p>
    <w:bookmarkEnd w:id="48"/>
    <w:bookmarkStart w:id="50"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9">
        <w:r>
          <w:rPr>
            <w:rStyle w:val="Hyperlink"/>
          </w:rPr>
          <w:t xml:space="preserve">10.3758/BRM.42.1.226</w:t>
        </w:r>
      </w:hyperlink>
    </w:p>
    <w:bookmarkEnd w:id="50"/>
    <w:bookmarkStart w:id="52" w:name="ref-gerin_role_2006"/>
    <w:p>
      <w:pPr>
        <w:pStyle w:val="Textkrper"/>
      </w:pPr>
      <w:r>
        <w:t xml:space="preserve">Gerin, W., Davidson, K. W., Christenfeld, N. J. S., Goyal, T., &amp; Schwartz, J. E. (2006). The role of angry rumination and distraction in blood pressure recovery from emotional arousal.</w:t>
      </w:r>
      <w:r>
        <w:t xml:space="preserve"> </w:t>
      </w:r>
      <w:r>
        <w:rPr>
          <w:i/>
        </w:rPr>
        <w:t xml:space="preserve">Psychosomatic Medicine</w:t>
      </w:r>
      <w:r>
        <w:t xml:space="preserve">,</w:t>
      </w:r>
      <w:r>
        <w:t xml:space="preserve"> </w:t>
      </w:r>
      <w:r>
        <w:rPr>
          <w:i/>
        </w:rPr>
        <w:t xml:space="preserve">68</w:t>
      </w:r>
      <w:r>
        <w:t xml:space="preserve">(1), 64–72. doi:</w:t>
      </w:r>
      <w:hyperlink r:id="rId51">
        <w:r>
          <w:rPr>
            <w:rStyle w:val="Hyperlink"/>
          </w:rPr>
          <w:t xml:space="preserve">10.1097/01.psy.0000195747.12404.aa</w:t>
        </w:r>
      </w:hyperlink>
    </w:p>
    <w:bookmarkEnd w:id="52"/>
    <w:bookmarkStart w:id="54" w:name="ref-green_factors_2018"/>
    <w:p>
      <w:pPr>
        <w:pStyle w:val="Textkrper"/>
      </w:pPr>
      <w:r>
        <w:t xml:space="preserve">Green, C., &amp; Guo, K. (2018). Factors contributing to individual differences in facial expression categorisation.</w:t>
      </w:r>
      <w:r>
        <w:t xml:space="preserve"> </w:t>
      </w:r>
      <w:r>
        <w:rPr>
          <w:i/>
        </w:rPr>
        <w:t xml:space="preserve">Cognition &amp; Emotion</w:t>
      </w:r>
      <w:r>
        <w:t xml:space="preserve">,</w:t>
      </w:r>
      <w:r>
        <w:t xml:space="preserve"> </w:t>
      </w:r>
      <w:r>
        <w:rPr>
          <w:i/>
        </w:rPr>
        <w:t xml:space="preserve">32</w:t>
      </w:r>
      <w:r>
        <w:t xml:space="preserve">(1), 37–48. doi:</w:t>
      </w:r>
      <w:hyperlink r:id="rId53">
        <w:r>
          <w:rPr>
            <w:rStyle w:val="Hyperlink"/>
          </w:rPr>
          <w:t xml:space="preserve">10.1080/02699931.2016.1273200</w:t>
        </w:r>
      </w:hyperlink>
    </w:p>
    <w:bookmarkEnd w:id="54"/>
    <w:bookmarkStart w:id="56" w:name="ref-hodsoll_attentional_2011"/>
    <w:p>
      <w:pPr>
        <w:pStyle w:val="Textkrper"/>
      </w:pPr>
      <w:r>
        <w:t xml:space="preserve">Hodsoll, S., Viding, E., &amp; Lavie, N. (2011). Attentional capture by irrelevant emotional distractor faces.</w:t>
      </w:r>
      <w:r>
        <w:t xml:space="preserve"> </w:t>
      </w:r>
      <w:r>
        <w:rPr>
          <w:i/>
        </w:rPr>
        <w:t xml:space="preserve">Emotion</w:t>
      </w:r>
      <w:r>
        <w:t xml:space="preserve">,</w:t>
      </w:r>
      <w:r>
        <w:t xml:space="preserve"> </w:t>
      </w:r>
      <w:r>
        <w:rPr>
          <w:i/>
        </w:rPr>
        <w:t xml:space="preserve">11</w:t>
      </w:r>
      <w:r>
        <w:t xml:space="preserve">(2), 346–353. doi:</w:t>
      </w:r>
      <w:hyperlink r:id="rId55">
        <w:r>
          <w:rPr>
            <w:rStyle w:val="Hyperlink"/>
          </w:rPr>
          <w:t xml:space="preserve">10.1037/a0022771</w:t>
        </w:r>
      </w:hyperlink>
    </w:p>
    <w:bookmarkEnd w:id="56"/>
    <w:bookmarkStart w:id="58" w:name="ref-hofmann_executive_2012"/>
    <w:p>
      <w:pPr>
        <w:pStyle w:val="Textkrper"/>
      </w:pPr>
      <w:r>
        <w:t xml:space="preserve">Hofmann, W., Schmeichel, B. J., &amp; Baddeley, A. D. (2012). Executive functions and self-regulation.</w:t>
      </w:r>
      <w:r>
        <w:t xml:space="preserve"> </w:t>
      </w:r>
      <w:r>
        <w:rPr>
          <w:i/>
        </w:rPr>
        <w:t xml:space="preserve">Trends in Cognitive Sciences</w:t>
      </w:r>
      <w:r>
        <w:t xml:space="preserve">,</w:t>
      </w:r>
      <w:r>
        <w:t xml:space="preserve"> </w:t>
      </w:r>
      <w:r>
        <w:rPr>
          <w:i/>
        </w:rPr>
        <w:t xml:space="preserve">16</w:t>
      </w:r>
      <w:r>
        <w:t xml:space="preserve">(3), 174–180. doi:</w:t>
      </w:r>
      <w:hyperlink r:id="rId57">
        <w:r>
          <w:rPr>
            <w:rStyle w:val="Hyperlink"/>
          </w:rPr>
          <w:t xml:space="preserve">10.1016/j.tics.2012.01.006</w:t>
        </w:r>
      </w:hyperlink>
    </w:p>
    <w:bookmarkEnd w:id="58"/>
    <w:bookmarkStart w:id="60" w:name="ref-izard_innate_1994"/>
    <w:p>
      <w:pPr>
        <w:pStyle w:val="Textkrper"/>
      </w:pPr>
      <w:r>
        <w:t xml:space="preserve">Izard, C. E. (1994). Innate and universal facial expressions: Evidence from developmental and cross-cultural research.</w:t>
      </w:r>
      <w:r>
        <w:t xml:space="preserve"> </w:t>
      </w:r>
      <w:r>
        <w:rPr>
          <w:i/>
        </w:rPr>
        <w:t xml:space="preserve">Psychological Bulletin</w:t>
      </w:r>
      <w:r>
        <w:t xml:space="preserve">,</w:t>
      </w:r>
      <w:r>
        <w:t xml:space="preserve"> </w:t>
      </w:r>
      <w:r>
        <w:rPr>
          <w:i/>
        </w:rPr>
        <w:t xml:space="preserve">115</w:t>
      </w:r>
      <w:r>
        <w:t xml:space="preserve">(2), 288–299. doi:</w:t>
      </w:r>
      <w:hyperlink r:id="rId59">
        <w:r>
          <w:rPr>
            <w:rStyle w:val="Hyperlink"/>
          </w:rPr>
          <w:t xml:space="preserve">10.1037/0033-2909.115.2.288</w:t>
        </w:r>
      </w:hyperlink>
    </w:p>
    <w:bookmarkEnd w:id="60"/>
    <w:bookmarkStart w:id="61" w:name="ref-kensinger_effect_2003"/>
    <w:p>
      <w:pPr>
        <w:pStyle w:val="Textkrper"/>
      </w:pPr>
      <w:r>
        <w:t xml:space="preserve">Kensinger, E. A., &amp; Corkin, S. (2003). Effect of negative emotional content on working memory and long-term memory.</w:t>
      </w:r>
      <w:r>
        <w:t xml:space="preserve"> </w:t>
      </w:r>
      <w:r>
        <w:rPr>
          <w:i/>
        </w:rPr>
        <w:t xml:space="preserve">Emotion</w:t>
      </w:r>
      <w:r>
        <w:t xml:space="preserve">, 378–393.</w:t>
      </w:r>
    </w:p>
    <w:bookmarkEnd w:id="61"/>
    <w:bookmarkStart w:id="62"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62"/>
    <w:bookmarkStart w:id="64" w:name="ref-lavie_load_2004"/>
    <w:p>
      <w:pPr>
        <w:pStyle w:val="Textkrper"/>
      </w:pPr>
      <w:r>
        <w:t xml:space="preserve">Lavie, N., Hirst, A., Fockert, J. W. de, &amp; Viding, E. (2004). Load theory of selective attention and cognitive control.</w:t>
      </w:r>
      <w:r>
        <w:t xml:space="preserve"> </w:t>
      </w:r>
      <w:r>
        <w:rPr>
          <w:i/>
        </w:rPr>
        <w:t xml:space="preserve">Journal of Experimental Psychology: General</w:t>
      </w:r>
      <w:r>
        <w:t xml:space="preserve">,</w:t>
      </w:r>
      <w:r>
        <w:t xml:space="preserve"> </w:t>
      </w:r>
      <w:r>
        <w:rPr>
          <w:i/>
        </w:rPr>
        <w:t xml:space="preserve">133</w:t>
      </w:r>
      <w:r>
        <w:t xml:space="preserve">(3), 339–354. doi:</w:t>
      </w:r>
      <w:hyperlink r:id="rId63">
        <w:r>
          <w:rPr>
            <w:rStyle w:val="Hyperlink"/>
          </w:rPr>
          <w:t xml:space="preserve">10.1037/0096-3445.133.3.339</w:t>
        </w:r>
      </w:hyperlink>
    </w:p>
    <w:bookmarkEnd w:id="64"/>
    <w:bookmarkStart w:id="65"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65"/>
    <w:bookmarkStart w:id="67" w:name="ref-macnamara_working_2011"/>
    <w:p>
      <w:pPr>
        <w:pStyle w:val="Textkrper"/>
      </w:pPr>
      <w:r>
        <w:t xml:space="preserve">MacNamara, A., Ferri, J., &amp; Hajcak, G. (2011). Working memory load reduces the late positive potential and this effect is attenuated with increasing anxiety.</w:t>
      </w:r>
      <w:r>
        <w:t xml:space="preserve"> </w:t>
      </w:r>
      <w:r>
        <w:rPr>
          <w:i/>
        </w:rPr>
        <w:t xml:space="preserve">Cognitive, Affective, &amp; Behavioral Neuroscience</w:t>
      </w:r>
      <w:r>
        <w:t xml:space="preserve">,</w:t>
      </w:r>
      <w:r>
        <w:t xml:space="preserve"> </w:t>
      </w:r>
      <w:r>
        <w:rPr>
          <w:i/>
        </w:rPr>
        <w:t xml:space="preserve">11</w:t>
      </w:r>
      <w:r>
        <w:t xml:space="preserve">(3), 321–331. doi:</w:t>
      </w:r>
      <w:hyperlink r:id="rId66">
        <w:r>
          <w:rPr>
            <w:rStyle w:val="Hyperlink"/>
          </w:rPr>
          <w:t xml:space="preserve">10.3758/s13415-011-0036-z</w:t>
        </w:r>
      </w:hyperlink>
    </w:p>
    <w:bookmarkEnd w:id="67"/>
    <w:bookmarkStart w:id="69" w:name="ref-mathews_cognitive_2005"/>
    <w:p>
      <w:pPr>
        <w:pStyle w:val="Textkrper"/>
      </w:pPr>
      <w:r>
        <w:t xml:space="preserve">Mathews, A., &amp; MacLeod, C. (2005). Cognitive vulnerability to emotional disorders.</w:t>
      </w:r>
      <w:r>
        <w:t xml:space="preserve"> </w:t>
      </w:r>
      <w:r>
        <w:rPr>
          <w:i/>
        </w:rPr>
        <w:t xml:space="preserve">Annual Review of Clinical Psychology</w:t>
      </w:r>
      <w:r>
        <w:t xml:space="preserve">,</w:t>
      </w:r>
      <w:r>
        <w:t xml:space="preserve"> </w:t>
      </w:r>
      <w:r>
        <w:rPr>
          <w:i/>
        </w:rPr>
        <w:t xml:space="preserve">1</w:t>
      </w:r>
      <w:r>
        <w:t xml:space="preserve">, 167–195. doi:</w:t>
      </w:r>
      <w:hyperlink r:id="rId68">
        <w:r>
          <w:rPr>
            <w:rStyle w:val="Hyperlink"/>
          </w:rPr>
          <w:t xml:space="preserve">10.1146/annurev.clinpsy.1.102803.143916</w:t>
        </w:r>
      </w:hyperlink>
    </w:p>
    <w:bookmarkEnd w:id="69"/>
    <w:bookmarkStart w:id="71"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70">
        <w:r>
          <w:rPr>
            <w:rStyle w:val="Hyperlink"/>
          </w:rPr>
          <w:t xml:space="preserve">10.1037/emo0000148</w:t>
        </w:r>
      </w:hyperlink>
    </w:p>
    <w:bookmarkEnd w:id="71"/>
    <w:bookmarkStart w:id="73" w:name="ref-neta_through_2018"/>
    <w:p>
      <w:pPr>
        <w:pStyle w:val="Textkrper"/>
      </w:pPr>
      <w:r>
        <w:t xml:space="preserve">Neta, M., &amp; Dodd, M. D. (2018). Through the eyes of the beholder: Simulated eye-movement experience (“SEE”) modulates valence bias in response to emotional ambiguity.</w:t>
      </w:r>
      <w:r>
        <w:t xml:space="preserve"> </w:t>
      </w:r>
      <w:r>
        <w:rPr>
          <w:i/>
        </w:rPr>
        <w:t xml:space="preserve">Emotion</w:t>
      </w:r>
      <w:r>
        <w:t xml:space="preserve">,</w:t>
      </w:r>
      <w:r>
        <w:t xml:space="preserve"> </w:t>
      </w:r>
      <w:r>
        <w:rPr>
          <w:i/>
        </w:rPr>
        <w:t xml:space="preserve">18</w:t>
      </w:r>
      <w:r>
        <w:t xml:space="preserve">(8), 1122–1127. doi:</w:t>
      </w:r>
      <w:hyperlink r:id="rId72">
        <w:r>
          <w:rPr>
            <w:rStyle w:val="Hyperlink"/>
          </w:rPr>
          <w:t xml:space="preserve">10.1037/emo0000421</w:t>
        </w:r>
      </w:hyperlink>
    </w:p>
    <w:bookmarkEnd w:id="73"/>
    <w:bookmarkStart w:id="75"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74">
        <w:r>
          <w:rPr>
            <w:rStyle w:val="Hyperlink"/>
          </w:rPr>
          <w:t xml:space="preserve">10.1162/jocn_a_00363</w:t>
        </w:r>
      </w:hyperlink>
    </w:p>
    <w:bookmarkEnd w:id="75"/>
    <w:bookmarkStart w:id="77"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76">
        <w:r>
          <w:rPr>
            <w:rStyle w:val="Hyperlink"/>
          </w:rPr>
          <w:t xml:space="preserve">10.1037/a0016819</w:t>
        </w:r>
      </w:hyperlink>
    </w:p>
    <w:bookmarkEnd w:id="77"/>
    <w:bookmarkStart w:id="79"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78">
        <w:r>
          <w:rPr>
            <w:rStyle w:val="Hyperlink"/>
          </w:rPr>
          <w:t xml:space="preserve">10.1037/emo0000181</w:t>
        </w:r>
      </w:hyperlink>
    </w:p>
    <w:bookmarkEnd w:id="79"/>
    <w:bookmarkStart w:id="81" w:name="ref-neta_its_2018"/>
    <w:p>
      <w:pPr>
        <w:pStyle w:val="Textkrper"/>
      </w:pPr>
      <w:r>
        <w:t xml:space="preserve">Neta, M., Tong, T. T., &amp; Henley, D. J. (2018). It’s a matter of time (perspectives): Shifting valence responses to emotional ambiguity.</w:t>
      </w:r>
      <w:r>
        <w:t xml:space="preserve"> </w:t>
      </w:r>
      <w:r>
        <w:rPr>
          <w:i/>
        </w:rPr>
        <w:t xml:space="preserve">Motivation and Emotion</w:t>
      </w:r>
      <w:r>
        <w:t xml:space="preserve">,</w:t>
      </w:r>
      <w:r>
        <w:t xml:space="preserve"> </w:t>
      </w:r>
      <w:r>
        <w:rPr>
          <w:i/>
        </w:rPr>
        <w:t xml:space="preserve">42</w:t>
      </w:r>
      <w:r>
        <w:t xml:space="preserve">, 258–266. doi:</w:t>
      </w:r>
      <w:hyperlink r:id="rId80">
        <w:r>
          <w:rPr>
            <w:rStyle w:val="Hyperlink"/>
          </w:rPr>
          <w:t xml:space="preserve">10.1007/s11031-018-9665-7</w:t>
        </w:r>
      </w:hyperlink>
    </w:p>
    <w:bookmarkEnd w:id="81"/>
    <w:bookmarkStart w:id="83" w:name="ref-neta_primacy_2010"/>
    <w:p>
      <w:pPr>
        <w:pStyle w:val="Textkrper"/>
      </w:pPr>
      <w:r>
        <w:t xml:space="preserve">Neta, M., &amp; Whalen, P. J. (2010). The primacy of negative interpretations when resolving the valence of ambiguous facial expressions.</w:t>
      </w:r>
      <w:r>
        <w:t xml:space="preserve"> </w:t>
      </w:r>
      <w:r>
        <w:rPr>
          <w:i/>
        </w:rPr>
        <w:t xml:space="preserve">Psychological Science</w:t>
      </w:r>
      <w:r>
        <w:t xml:space="preserve">,</w:t>
      </w:r>
      <w:r>
        <w:t xml:space="preserve"> </w:t>
      </w:r>
      <w:r>
        <w:rPr>
          <w:i/>
        </w:rPr>
        <w:t xml:space="preserve">21</w:t>
      </w:r>
      <w:r>
        <w:t xml:space="preserve">(7), 901–907. doi:</w:t>
      </w:r>
      <w:hyperlink r:id="rId82">
        <w:r>
          <w:rPr>
            <w:rStyle w:val="Hyperlink"/>
          </w:rPr>
          <w:t xml:space="preserve">10.1177/0956797610373934</w:t>
        </w:r>
      </w:hyperlink>
    </w:p>
    <w:bookmarkEnd w:id="83"/>
    <w:bookmarkStart w:id="85" w:name="ref-petro_individual_2018"/>
    <w:p>
      <w:pPr>
        <w:pStyle w:val="Textkrper"/>
      </w:pPr>
      <w:r>
        <w:t xml:space="preserve">Petro, N. M., Tong, T. T., Henley, D. J., &amp; Neta, M. (2018). Individual differences in valence bias: fMRI evidence of the initial negativity hypothesis.</w:t>
      </w:r>
      <w:r>
        <w:t xml:space="preserve"> </w:t>
      </w:r>
      <w:r>
        <w:rPr>
          <w:i/>
        </w:rPr>
        <w:t xml:space="preserve">Social Cognitive and Affective Neuroscience</w:t>
      </w:r>
      <w:r>
        <w:t xml:space="preserve">,</w:t>
      </w:r>
      <w:r>
        <w:t xml:space="preserve"> </w:t>
      </w:r>
      <w:r>
        <w:rPr>
          <w:i/>
        </w:rPr>
        <w:t xml:space="preserve">13</w:t>
      </w:r>
      <w:r>
        <w:t xml:space="preserve">(7), 687–698. doi:</w:t>
      </w:r>
      <w:hyperlink r:id="rId84">
        <w:r>
          <w:rPr>
            <w:rStyle w:val="Hyperlink"/>
          </w:rPr>
          <w:t xml:space="preserve">10.1093/scan/nsy049</w:t>
        </w:r>
      </w:hyperlink>
    </w:p>
    <w:bookmarkEnd w:id="85"/>
    <w:bookmarkStart w:id="87" w:name="ref-piech_attentional_2011"/>
    <w:p>
      <w:pPr>
        <w:pStyle w:val="Textkrper"/>
      </w:pPr>
      <w:r>
        <w:t xml:space="preserve">Piech, R. M., McHugo, M., Smith, S. D., Dukic, M. S., Van Der Meer, J., Abou-Khalil, B., … Zald, D. H. (2011). Attentional capture by emotional stimuli is preserved in patients with amygdala lesions.</w:t>
      </w:r>
      <w:r>
        <w:t xml:space="preserve"> </w:t>
      </w:r>
      <w:r>
        <w:rPr>
          <w:i/>
        </w:rPr>
        <w:t xml:space="preserve">Neuropsychologia</w:t>
      </w:r>
      <w:r>
        <w:t xml:space="preserve">,</w:t>
      </w:r>
      <w:r>
        <w:t xml:space="preserve"> </w:t>
      </w:r>
      <w:r>
        <w:rPr>
          <w:i/>
        </w:rPr>
        <w:t xml:space="preserve">49</w:t>
      </w:r>
      <w:r>
        <w:t xml:space="preserve">(12), 3314–3319. doi:</w:t>
      </w:r>
      <w:hyperlink r:id="rId86">
        <w:r>
          <w:rPr>
            <w:rStyle w:val="Hyperlink"/>
          </w:rPr>
          <w:t xml:space="preserve">10.1016/j.neuropsychologia.2011.08.004</w:t>
        </w:r>
      </w:hyperlink>
    </w:p>
    <w:bookmarkEnd w:id="87"/>
    <w:bookmarkStart w:id="89" w:name="ref-posner_circumplex_2005"/>
    <w:p>
      <w:pPr>
        <w:pStyle w:val="Textkrper"/>
      </w:pPr>
      <w:r>
        <w:t xml:space="preserve">Posner, J., Russell, J. A., &amp; Peterson, B. S. (2005). The circumplex model of affect: An integrative approach to affective neuroscience, cognitive development, and psychopathology.</w:t>
      </w:r>
      <w:r>
        <w:t xml:space="preserve"> </w:t>
      </w:r>
      <w:r>
        <w:rPr>
          <w:i/>
        </w:rPr>
        <w:t xml:space="preserve">Development and Psychopathology</w:t>
      </w:r>
      <w:r>
        <w:t xml:space="preserve">,</w:t>
      </w:r>
      <w:r>
        <w:t xml:space="preserve"> </w:t>
      </w:r>
      <w:r>
        <w:rPr>
          <w:i/>
        </w:rPr>
        <w:t xml:space="preserve">17</w:t>
      </w:r>
      <w:r>
        <w:t xml:space="preserve">(3), 715–734. doi:</w:t>
      </w:r>
      <w:hyperlink r:id="rId88">
        <w:r>
          <w:rPr>
            <w:rStyle w:val="Hyperlink"/>
          </w:rPr>
          <w:t xml:space="preserve">10.1017/S0954579405050340</w:t>
        </w:r>
      </w:hyperlink>
    </w:p>
    <w:bookmarkEnd w:id="89"/>
    <w:bookmarkStart w:id="91" w:name="ref-schmeichel_working_2008"/>
    <w:p>
      <w:pPr>
        <w:pStyle w:val="Textkrper"/>
      </w:pPr>
      <w:r>
        <w:t xml:space="preserve">Schmeichel, B. J., Volokhov, R. N., &amp; Demaree, H. A. (2008). Working memory capacity and the self-regulation of emotional expression and experience.</w:t>
      </w:r>
      <w:r>
        <w:t xml:space="preserve"> </w:t>
      </w:r>
      <w:r>
        <w:rPr>
          <w:i/>
        </w:rPr>
        <w:t xml:space="preserve">Journal of Personality and Social Psychology</w:t>
      </w:r>
      <w:r>
        <w:t xml:space="preserve">,</w:t>
      </w:r>
      <w:r>
        <w:t xml:space="preserve"> </w:t>
      </w:r>
      <w:r>
        <w:rPr>
          <w:i/>
        </w:rPr>
        <w:t xml:space="preserve">95</w:t>
      </w:r>
      <w:r>
        <w:t xml:space="preserve">(6), 1526–1540. doi:</w:t>
      </w:r>
      <w:hyperlink r:id="rId90">
        <w:r>
          <w:rPr>
            <w:rStyle w:val="Hyperlink"/>
          </w:rPr>
          <w:t xml:space="preserve">10.1037/a0013345</w:t>
        </w:r>
      </w:hyperlink>
    </w:p>
    <w:bookmarkEnd w:id="91"/>
    <w:bookmarkStart w:id="93" w:name="ref-shaw_dieting_2004"/>
    <w:p>
      <w:pPr>
        <w:pStyle w:val="Textkrper"/>
      </w:pPr>
      <w:r>
        <w:t xml:space="preserve">Shaw, J., &amp; Tiggemann, M. (2004). Dieting and working memory: Preoccupying cognitions and the role of the articulatory control process.</w:t>
      </w:r>
      <w:r>
        <w:t xml:space="preserve"> </w:t>
      </w:r>
      <w:r>
        <w:rPr>
          <w:i/>
        </w:rPr>
        <w:t xml:space="preserve">British Journal of Health Psychology</w:t>
      </w:r>
      <w:r>
        <w:t xml:space="preserve">,</w:t>
      </w:r>
      <w:r>
        <w:t xml:space="preserve"> </w:t>
      </w:r>
      <w:r>
        <w:rPr>
          <w:i/>
        </w:rPr>
        <w:t xml:space="preserve">9</w:t>
      </w:r>
      <w:r>
        <w:t xml:space="preserve">(Pt 2), 175–185. doi:</w:t>
      </w:r>
      <w:hyperlink r:id="rId92">
        <w:r>
          <w:rPr>
            <w:rStyle w:val="Hyperlink"/>
          </w:rPr>
          <w:t xml:space="preserve">10.1348/135910704773891032</w:t>
        </w:r>
      </w:hyperlink>
    </w:p>
    <w:bookmarkEnd w:id="93"/>
    <w:bookmarkStart w:id="95"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94">
        <w:r>
          <w:rPr>
            <w:rStyle w:val="Hyperlink"/>
          </w:rPr>
          <w:t xml:space="preserve">10.1037/h0054651</w:t>
        </w:r>
      </w:hyperlink>
    </w:p>
    <w:bookmarkEnd w:id="95"/>
    <w:bookmarkStart w:id="97"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96">
        <w:r>
          <w:rPr>
            <w:rStyle w:val="Hyperlink"/>
          </w:rPr>
          <w:t xml:space="preserve">10.1016/j.psychres.2008.05.006</w:t>
        </w:r>
      </w:hyperlink>
    </w:p>
    <w:bookmarkEnd w:id="97"/>
    <w:bookmarkStart w:id="99" w:name="ref-van_dillen_tuning_2009"/>
    <w:p>
      <w:pPr>
        <w:pStyle w:val="Textkrper"/>
      </w:pPr>
      <w:r>
        <w:t xml:space="preserve">Van Dillen, L. F., Heslenfeld, D. J., &amp; Koole, S. L. (2009). Tuning down the emotional brain: An fMRI study of the effects of cognitive load on the processing of affective images.</w:t>
      </w:r>
      <w:r>
        <w:t xml:space="preserve"> </w:t>
      </w:r>
      <w:r>
        <w:rPr>
          <w:i/>
        </w:rPr>
        <w:t xml:space="preserve">NeuroImage</w:t>
      </w:r>
      <w:r>
        <w:t xml:space="preserve">,</w:t>
      </w:r>
      <w:r>
        <w:t xml:space="preserve"> </w:t>
      </w:r>
      <w:r>
        <w:rPr>
          <w:i/>
        </w:rPr>
        <w:t xml:space="preserve">45</w:t>
      </w:r>
      <w:r>
        <w:t xml:space="preserve">(4), 1212–1219. doi:</w:t>
      </w:r>
      <w:hyperlink r:id="rId98">
        <w:r>
          <w:rPr>
            <w:rStyle w:val="Hyperlink"/>
          </w:rPr>
          <w:t xml:space="preserve">10.1016/j.neuroimage.2009.01.016</w:t>
        </w:r>
      </w:hyperlink>
    </w:p>
    <w:bookmarkEnd w:id="99"/>
    <w:bookmarkStart w:id="101"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100">
        <w:r>
          <w:rPr>
            <w:rStyle w:val="Hyperlink"/>
          </w:rPr>
          <w:t xml:space="preserve">10.1038/nprot.2006.45</w:t>
        </w:r>
      </w:hyperlink>
    </w:p>
    <w:bookmarkEnd w:id="101"/>
    <w:bookmarkStart w:id="103" w:name="ref-yang_positive_2013"/>
    <w:p>
      <w:pPr>
        <w:pStyle w:val="Textkrper"/>
      </w:pPr>
      <w:r>
        <w:t xml:space="preserve">Yang, H., Yang, S., &amp; Isen, A. M. (2013). Positive affect improves working memory: Implications for controlled cognitive processing.</w:t>
      </w:r>
      <w:r>
        <w:t xml:space="preserve"> </w:t>
      </w:r>
      <w:r>
        <w:rPr>
          <w:i/>
        </w:rPr>
        <w:t xml:space="preserve">Cognition and Emotion</w:t>
      </w:r>
      <w:r>
        <w:t xml:space="preserve">,</w:t>
      </w:r>
      <w:r>
        <w:t xml:space="preserve"> </w:t>
      </w:r>
      <w:r>
        <w:rPr>
          <w:i/>
        </w:rPr>
        <w:t xml:space="preserve">27</w:t>
      </w:r>
      <w:r>
        <w:t xml:space="preserve">(3), 474–482. doi:</w:t>
      </w:r>
      <w:hyperlink r:id="rId102">
        <w:r>
          <w:rPr>
            <w:rStyle w:val="Hyperlink"/>
          </w:rPr>
          <w:t xml:space="preserve">10.1080/02699931.2012.713325</w:t>
        </w:r>
      </w:hyperlink>
    </w:p>
    <w:bookmarkEnd w:id="103"/>
    <w:bookmarkEnd w:id="104"/>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unotentext"/>
      </w:pPr>
      <w:r>
        <w:rPr>
          <w:rStyle w:val="Funotenzeichen"/>
        </w:rPr>
        <w:footnoteRef/>
      </w:r>
      <w:r>
        <w:t xml:space="preserve"> </w:t>
      </w:r>
      <w:r>
        <w:t xml:space="preserve">Some versions of the task only included 142 trials due to a programming error.</w:t>
      </w:r>
    </w:p>
  </w:footnote>
  <w:footnote w:id="37">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hyperlink" Id="rId80" Target="https://doi.org/10.1007/s11031-018-9665-7" TargetMode="External" /><Relationship Type="http://schemas.openxmlformats.org/officeDocument/2006/relationships/hyperlink" Id="rId98" Target="https://doi.org/10.1016/j.neuroimage.2009.01.016" TargetMode="External" /><Relationship Type="http://schemas.openxmlformats.org/officeDocument/2006/relationships/hyperlink" Id="rId86" Target="https://doi.org/10.1016/j.neuropsychologia.2011.08.004" TargetMode="External" /><Relationship Type="http://schemas.openxmlformats.org/officeDocument/2006/relationships/hyperlink" Id="rId96" Target="https://doi.org/10.1016/j.psychres.2008.05.006" TargetMode="External" /><Relationship Type="http://schemas.openxmlformats.org/officeDocument/2006/relationships/hyperlink" Id="rId57" Target="https://doi.org/10.1016/j.tics.2012.01.006" TargetMode="External" /><Relationship Type="http://schemas.openxmlformats.org/officeDocument/2006/relationships/hyperlink" Id="rId88" Target="https://doi.org/10.1017/S0954579405050340" TargetMode="External" /><Relationship Type="http://schemas.openxmlformats.org/officeDocument/2006/relationships/hyperlink" Id="rId59" Target="https://doi.org/10.1037/0033-2909.115.2.288" TargetMode="External" /><Relationship Type="http://schemas.openxmlformats.org/officeDocument/2006/relationships/hyperlink" Id="rId63" Target="https://doi.org/10.1037/0096-3445.133.3.339" TargetMode="External" /><Relationship Type="http://schemas.openxmlformats.org/officeDocument/2006/relationships/hyperlink" Id="rId90" Target="https://doi.org/10.1037/a0013345" TargetMode="External" /><Relationship Type="http://schemas.openxmlformats.org/officeDocument/2006/relationships/hyperlink" Id="rId76" Target="https://doi.org/10.1037/a0016819" TargetMode="External" /><Relationship Type="http://schemas.openxmlformats.org/officeDocument/2006/relationships/hyperlink" Id="rId55" Target="https://doi.org/10.1037/a0022771" TargetMode="External" /><Relationship Type="http://schemas.openxmlformats.org/officeDocument/2006/relationships/hyperlink" Id="rId45" Target="https://doi.org/10.1037/a0033753" TargetMode="External" /><Relationship Type="http://schemas.openxmlformats.org/officeDocument/2006/relationships/hyperlink" Id="rId70" Target="https://doi.org/10.1037/emo0000148" TargetMode="External" /><Relationship Type="http://schemas.openxmlformats.org/officeDocument/2006/relationships/hyperlink" Id="rId78" Target="https://doi.org/10.1037/emo0000181" TargetMode="External" /><Relationship Type="http://schemas.openxmlformats.org/officeDocument/2006/relationships/hyperlink" Id="rId72" Target="https://doi.org/10.1037/emo0000421" TargetMode="External" /><Relationship Type="http://schemas.openxmlformats.org/officeDocument/2006/relationships/hyperlink" Id="rId94" Target="https://doi.org/10.1037/h0054651" TargetMode="External" /><Relationship Type="http://schemas.openxmlformats.org/officeDocument/2006/relationships/hyperlink" Id="rId100" Target="https://doi.org/10.1038/nprot.2006.45" TargetMode="External" /><Relationship Type="http://schemas.openxmlformats.org/officeDocument/2006/relationships/hyperlink" Id="rId43" Target="https://doi.org/10.1038/s41598-017-14846-3" TargetMode="External" /><Relationship Type="http://schemas.openxmlformats.org/officeDocument/2006/relationships/hyperlink" Id="rId102" Target="https://doi.org/10.1080/02699931.2012.713325" TargetMode="External" /><Relationship Type="http://schemas.openxmlformats.org/officeDocument/2006/relationships/hyperlink" Id="rId53" Target="https://doi.org/10.1080/02699931.2016.1273200" TargetMode="External" /><Relationship Type="http://schemas.openxmlformats.org/officeDocument/2006/relationships/hyperlink" Id="rId47" Target="https://doi.org/10.1093/cercor/bhm179" TargetMode="External" /><Relationship Type="http://schemas.openxmlformats.org/officeDocument/2006/relationships/hyperlink" Id="rId84" Target="https://doi.org/10.1093/scan/nsy049" TargetMode="External" /><Relationship Type="http://schemas.openxmlformats.org/officeDocument/2006/relationships/hyperlink" Id="rId51" Target="https://doi.org/10.1097/01.psy.0000195747.12404.aa" TargetMode="External" /><Relationship Type="http://schemas.openxmlformats.org/officeDocument/2006/relationships/hyperlink" Id="rId68" Target="https://doi.org/10.1146/annurev.clinpsy.1.102803.143916" TargetMode="External" /><Relationship Type="http://schemas.openxmlformats.org/officeDocument/2006/relationships/hyperlink" Id="rId74" Target="https://doi.org/10.1162/jocn_a_00363" TargetMode="External" /><Relationship Type="http://schemas.openxmlformats.org/officeDocument/2006/relationships/hyperlink" Id="rId82" Target="https://doi.org/10.1177/0956797610373934" TargetMode="External" /><Relationship Type="http://schemas.openxmlformats.org/officeDocument/2006/relationships/hyperlink" Id="rId92" Target="https://doi.org/10.1348/135910704773891032" TargetMode="External" /><Relationship Type="http://schemas.openxmlformats.org/officeDocument/2006/relationships/hyperlink" Id="rId49" Target="https://doi.org/10.3758/BRM.42.1.226" TargetMode="External" /><Relationship Type="http://schemas.openxmlformats.org/officeDocument/2006/relationships/hyperlink" Id="rId66" Target="https://doi.org/10.3758/s13415-011-0036-z"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80" Target="https://doi.org/10.1007/s11031-018-9665-7" TargetMode="External" /><Relationship Type="http://schemas.openxmlformats.org/officeDocument/2006/relationships/hyperlink" Id="rId98" Target="https://doi.org/10.1016/j.neuroimage.2009.01.016" TargetMode="External" /><Relationship Type="http://schemas.openxmlformats.org/officeDocument/2006/relationships/hyperlink" Id="rId86" Target="https://doi.org/10.1016/j.neuropsychologia.2011.08.004" TargetMode="External" /><Relationship Type="http://schemas.openxmlformats.org/officeDocument/2006/relationships/hyperlink" Id="rId96" Target="https://doi.org/10.1016/j.psychres.2008.05.006" TargetMode="External" /><Relationship Type="http://schemas.openxmlformats.org/officeDocument/2006/relationships/hyperlink" Id="rId57" Target="https://doi.org/10.1016/j.tics.2012.01.006" TargetMode="External" /><Relationship Type="http://schemas.openxmlformats.org/officeDocument/2006/relationships/hyperlink" Id="rId88" Target="https://doi.org/10.1017/S0954579405050340" TargetMode="External" /><Relationship Type="http://schemas.openxmlformats.org/officeDocument/2006/relationships/hyperlink" Id="rId59" Target="https://doi.org/10.1037/0033-2909.115.2.288" TargetMode="External" /><Relationship Type="http://schemas.openxmlformats.org/officeDocument/2006/relationships/hyperlink" Id="rId63" Target="https://doi.org/10.1037/0096-3445.133.3.339" TargetMode="External" /><Relationship Type="http://schemas.openxmlformats.org/officeDocument/2006/relationships/hyperlink" Id="rId90" Target="https://doi.org/10.1037/a0013345" TargetMode="External" /><Relationship Type="http://schemas.openxmlformats.org/officeDocument/2006/relationships/hyperlink" Id="rId76" Target="https://doi.org/10.1037/a0016819" TargetMode="External" /><Relationship Type="http://schemas.openxmlformats.org/officeDocument/2006/relationships/hyperlink" Id="rId55" Target="https://doi.org/10.1037/a0022771" TargetMode="External" /><Relationship Type="http://schemas.openxmlformats.org/officeDocument/2006/relationships/hyperlink" Id="rId45" Target="https://doi.org/10.1037/a0033753" TargetMode="External" /><Relationship Type="http://schemas.openxmlformats.org/officeDocument/2006/relationships/hyperlink" Id="rId70" Target="https://doi.org/10.1037/emo0000148" TargetMode="External" /><Relationship Type="http://schemas.openxmlformats.org/officeDocument/2006/relationships/hyperlink" Id="rId78" Target="https://doi.org/10.1037/emo0000181" TargetMode="External" /><Relationship Type="http://schemas.openxmlformats.org/officeDocument/2006/relationships/hyperlink" Id="rId72" Target="https://doi.org/10.1037/emo0000421" TargetMode="External" /><Relationship Type="http://schemas.openxmlformats.org/officeDocument/2006/relationships/hyperlink" Id="rId94" Target="https://doi.org/10.1037/h0054651" TargetMode="External" /><Relationship Type="http://schemas.openxmlformats.org/officeDocument/2006/relationships/hyperlink" Id="rId100" Target="https://doi.org/10.1038/nprot.2006.45" TargetMode="External" /><Relationship Type="http://schemas.openxmlformats.org/officeDocument/2006/relationships/hyperlink" Id="rId43" Target="https://doi.org/10.1038/s41598-017-14846-3" TargetMode="External" /><Relationship Type="http://schemas.openxmlformats.org/officeDocument/2006/relationships/hyperlink" Id="rId102" Target="https://doi.org/10.1080/02699931.2012.713325" TargetMode="External" /><Relationship Type="http://schemas.openxmlformats.org/officeDocument/2006/relationships/hyperlink" Id="rId53" Target="https://doi.org/10.1080/02699931.2016.1273200" TargetMode="External" /><Relationship Type="http://schemas.openxmlformats.org/officeDocument/2006/relationships/hyperlink" Id="rId47" Target="https://doi.org/10.1093/cercor/bhm179" TargetMode="External" /><Relationship Type="http://schemas.openxmlformats.org/officeDocument/2006/relationships/hyperlink" Id="rId84" Target="https://doi.org/10.1093/scan/nsy049" TargetMode="External" /><Relationship Type="http://schemas.openxmlformats.org/officeDocument/2006/relationships/hyperlink" Id="rId51" Target="https://doi.org/10.1097/01.psy.0000195747.12404.aa" TargetMode="External" /><Relationship Type="http://schemas.openxmlformats.org/officeDocument/2006/relationships/hyperlink" Id="rId68" Target="https://doi.org/10.1146/annurev.clinpsy.1.102803.143916" TargetMode="External" /><Relationship Type="http://schemas.openxmlformats.org/officeDocument/2006/relationships/hyperlink" Id="rId74" Target="https://doi.org/10.1162/jocn_a_00363" TargetMode="External" /><Relationship Type="http://schemas.openxmlformats.org/officeDocument/2006/relationships/hyperlink" Id="rId82" Target="https://doi.org/10.1177/0956797610373934" TargetMode="External" /><Relationship Type="http://schemas.openxmlformats.org/officeDocument/2006/relationships/hyperlink" Id="rId92" Target="https://doi.org/10.1348/135910704773891032" TargetMode="External" /><Relationship Type="http://schemas.openxmlformats.org/officeDocument/2006/relationships/hyperlink" Id="rId49" Target="https://doi.org/10.3758/BRM.42.1.226" TargetMode="External" /><Relationship Type="http://schemas.openxmlformats.org/officeDocument/2006/relationships/hyperlink" Id="rId66" Target="https://doi.org/10.3758/s13415-011-0036-z"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interpretations of surprised facial expressions</dc:title>
  <dc:creator/>
  <cp:keywords/>
  <dcterms:created xsi:type="dcterms:W3CDTF">2019-10-01T20:18:04Z</dcterms:created>
  <dcterms:modified xsi:type="dcterms:W3CDTF">2019-10-01T20:18:04Z</dcterms:modified>
</cp:coreProperties>
</file>