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854" w:val="left" w:leader="none"/>
        </w:tabs>
        <w:spacing w:before="145"/>
        <w:ind w:left="277"/>
      </w:pPr>
      <w:r>
        <w:rPr>
          <w:rFonts w:ascii="Arial"/>
          <w:w w:val="105"/>
          <w:sz w:val="12"/>
        </w:rPr>
        <w:t>1</w:t>
        <w:tab/>
      </w:r>
      <w:r>
        <w:rPr>
          <w:w w:val="105"/>
        </w:rPr>
        <w:t>Emotional</w:t>
      </w:r>
      <w:r>
        <w:rPr>
          <w:spacing w:val="10"/>
          <w:w w:val="105"/>
        </w:rPr>
        <w:t> </w:t>
      </w:r>
      <w:r>
        <w:rPr>
          <w:w w:val="105"/>
        </w:rPr>
        <w:t>working</w:t>
      </w:r>
      <w:r>
        <w:rPr>
          <w:spacing w:val="10"/>
          <w:w w:val="105"/>
        </w:rPr>
        <w:t> </w:t>
      </w:r>
      <w:r>
        <w:rPr>
          <w:w w:val="105"/>
        </w:rPr>
        <w:t>memory</w:t>
      </w:r>
      <w:r>
        <w:rPr>
          <w:spacing w:val="10"/>
          <w:w w:val="105"/>
        </w:rPr>
        <w:t> </w:t>
      </w:r>
      <w:r>
        <w:rPr>
          <w:w w:val="105"/>
        </w:rPr>
        <w:t>loads</w:t>
      </w:r>
      <w:r>
        <w:rPr>
          <w:spacing w:val="10"/>
          <w:w w:val="105"/>
        </w:rPr>
        <w:t> </w:t>
      </w:r>
      <w:r>
        <w:rPr>
          <w:w w:val="105"/>
        </w:rPr>
        <w:t>increase</w:t>
      </w:r>
      <w:r>
        <w:rPr>
          <w:spacing w:val="9"/>
          <w:w w:val="105"/>
        </w:rPr>
        <w:t> </w:t>
      </w:r>
      <w:r>
        <w:rPr>
          <w:w w:val="105"/>
        </w:rPr>
        <w:t>negative</w:t>
      </w:r>
      <w:r>
        <w:rPr>
          <w:spacing w:val="11"/>
          <w:w w:val="105"/>
        </w:rPr>
        <w:t> </w:t>
      </w:r>
      <w:r>
        <w:rPr>
          <w:w w:val="105"/>
        </w:rPr>
        <w:t>interpertations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surprised</w:t>
      </w:r>
      <w:r>
        <w:rPr>
          <w:spacing w:val="10"/>
          <w:w w:val="105"/>
        </w:rPr>
        <w:t> </w:t>
      </w:r>
      <w:r>
        <w:rPr>
          <w:w w:val="105"/>
        </w:rPr>
        <w:t>facial</w:t>
      </w:r>
    </w:p>
    <w:p>
      <w:pPr>
        <w:pStyle w:val="BodyText"/>
        <w:tabs>
          <w:tab w:pos="4648" w:val="left" w:leader="none"/>
        </w:tabs>
        <w:spacing w:before="203"/>
        <w:ind w:left="277"/>
      </w:pPr>
      <w:r>
        <w:rPr>
          <w:rFonts w:ascii="Arial"/>
          <w:sz w:val="12"/>
        </w:rPr>
        <w:t>2</w:t>
        <w:tab/>
      </w:r>
      <w:r>
        <w:rPr/>
        <w:t>expressions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455" w:val="left" w:leader="none"/>
        </w:tabs>
        <w:spacing w:before="130"/>
        <w:ind w:left="277"/>
        <w:rPr>
          <w:rFonts w:ascii="Arial"/>
          <w:sz w:val="16"/>
        </w:rPr>
      </w:pPr>
      <w:r>
        <w:rPr>
          <w:rFonts w:ascii="Arial"/>
          <w:sz w:val="12"/>
        </w:rPr>
        <w:t>3</w:t>
        <w:tab/>
      </w:r>
      <w:r>
        <w:rPr/>
        <w:t>Nicholas  R.  Harp</w:t>
      </w:r>
      <w:r>
        <w:rPr>
          <w:rFonts w:ascii="Arial"/>
          <w:position w:val="9"/>
          <w:sz w:val="16"/>
        </w:rPr>
        <w:t>1  </w:t>
      </w:r>
      <w:r>
        <w:rPr/>
        <w:t>&amp;  Maital</w:t>
      </w:r>
      <w:r>
        <w:rPr>
          <w:spacing w:val="7"/>
        </w:rPr>
        <w:t> </w:t>
      </w:r>
      <w:r>
        <w:rPr/>
        <w:t>Neta</w:t>
      </w:r>
      <w:r>
        <w:rPr>
          <w:rFonts w:ascii="Arial"/>
          <w:position w:val="9"/>
          <w:sz w:val="16"/>
        </w:rPr>
        <w:t>1</w:t>
      </w:r>
    </w:p>
    <w:p>
      <w:pPr>
        <w:pStyle w:val="BodyText"/>
        <w:spacing w:before="6"/>
        <w:rPr>
          <w:rFonts w:ascii="Arial"/>
          <w:sz w:val="29"/>
        </w:rPr>
      </w:pPr>
    </w:p>
    <w:p>
      <w:pPr>
        <w:pStyle w:val="BodyText"/>
        <w:tabs>
          <w:tab w:pos="3543" w:val="left" w:leader="none"/>
        </w:tabs>
        <w:spacing w:before="130"/>
        <w:ind w:left="277"/>
      </w:pPr>
      <w:r>
        <w:rPr>
          <w:rFonts w:ascii="Arial"/>
          <w:sz w:val="12"/>
        </w:rPr>
        <w:t>4</w:t>
        <w:tab/>
      </w:r>
      <w:r>
        <w:rPr>
          <w:rFonts w:ascii="Arial"/>
          <w:position w:val="9"/>
          <w:sz w:val="16"/>
        </w:rPr>
        <w:t>1   </w:t>
      </w:r>
      <w:r>
        <w:rPr/>
        <w:t>University  of Nebraska-Lincoln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4572" w:val="left" w:leader="none"/>
        </w:tabs>
        <w:spacing w:before="146"/>
        <w:ind w:left="277"/>
      </w:pPr>
      <w:r>
        <w:rPr>
          <w:rFonts w:ascii="Arial"/>
          <w:w w:val="105"/>
          <w:sz w:val="12"/>
        </w:rPr>
        <w:t>5</w:t>
        <w:tab/>
      </w:r>
      <w:r>
        <w:rPr>
          <w:w w:val="105"/>
        </w:rPr>
        <w:t>Author</w:t>
      </w:r>
      <w:r>
        <w:rPr>
          <w:spacing w:val="14"/>
          <w:w w:val="105"/>
        </w:rPr>
        <w:t> </w:t>
      </w:r>
      <w:r>
        <w:rPr>
          <w:w w:val="105"/>
        </w:rPr>
        <w:t>Note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1115" w:val="left" w:leader="none"/>
        </w:tabs>
        <w:spacing w:before="146"/>
        <w:ind w:left="277"/>
      </w:pPr>
      <w:r>
        <w:rPr>
          <w:rFonts w:ascii="Arial"/>
          <w:w w:val="105"/>
          <w:sz w:val="12"/>
        </w:rPr>
        <w:t>6</w:t>
        <w:tab/>
      </w:r>
      <w:r>
        <w:rPr>
          <w:spacing w:val="-3"/>
          <w:w w:val="105"/>
        </w:rPr>
        <w:t>Add</w:t>
      </w:r>
      <w:r>
        <w:rPr>
          <w:spacing w:val="11"/>
          <w:w w:val="105"/>
        </w:rPr>
        <w:t> </w:t>
      </w:r>
      <w:r>
        <w:rPr>
          <w:w w:val="105"/>
        </w:rPr>
        <w:t>complete</w:t>
      </w:r>
      <w:r>
        <w:rPr>
          <w:spacing w:val="12"/>
          <w:w w:val="105"/>
        </w:rPr>
        <w:t> </w:t>
      </w:r>
      <w:r>
        <w:rPr>
          <w:w w:val="105"/>
        </w:rPr>
        <w:t>departmental</w:t>
      </w:r>
      <w:r>
        <w:rPr>
          <w:spacing w:val="11"/>
          <w:w w:val="105"/>
        </w:rPr>
        <w:t> </w:t>
      </w:r>
      <w:r>
        <w:rPr>
          <w:w w:val="105"/>
        </w:rPr>
        <w:t>affiliations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author</w:t>
      </w:r>
      <w:r>
        <w:rPr>
          <w:spacing w:val="11"/>
          <w:w w:val="105"/>
        </w:rPr>
        <w:t> </w:t>
      </w:r>
      <w:r>
        <w:rPr>
          <w:w w:val="105"/>
        </w:rPr>
        <w:t>here.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1"/>
          <w:w w:val="105"/>
        </w:rPr>
        <w:t> </w:t>
      </w:r>
      <w:r>
        <w:rPr>
          <w:w w:val="105"/>
        </w:rPr>
        <w:t>line</w:t>
      </w:r>
      <w:r>
        <w:rPr>
          <w:spacing w:val="11"/>
          <w:w w:val="105"/>
        </w:rPr>
        <w:t> </w:t>
      </w:r>
      <w:r>
        <w:rPr>
          <w:w w:val="105"/>
        </w:rPr>
        <w:t>herein</w:t>
      </w:r>
    </w:p>
    <w:p>
      <w:pPr>
        <w:pStyle w:val="BodyText"/>
        <w:ind w:left="277"/>
      </w:pPr>
      <w:r>
        <w:rPr>
          <w:rFonts w:ascii="Arial"/>
          <w:w w:val="105"/>
          <w:sz w:val="12"/>
        </w:rPr>
        <w:t>7 </w:t>
      </w:r>
      <w:r>
        <w:rPr>
          <w:w w:val="105"/>
        </w:rPr>
        <w:t>must </w:t>
      </w:r>
      <w:r>
        <w:rPr>
          <w:spacing w:val="3"/>
          <w:w w:val="105"/>
        </w:rPr>
        <w:t>be </w:t>
      </w:r>
      <w:r>
        <w:rPr>
          <w:w w:val="105"/>
        </w:rPr>
        <w:t>indented, like this</w:t>
      </w:r>
      <w:r>
        <w:rPr>
          <w:spacing w:val="57"/>
          <w:w w:val="105"/>
        </w:rPr>
        <w:t> </w:t>
      </w:r>
      <w:r>
        <w:rPr>
          <w:w w:val="105"/>
        </w:rPr>
        <w:t>line.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115" w:val="left" w:leader="none"/>
        </w:tabs>
        <w:spacing w:before="146"/>
        <w:ind w:left="277"/>
      </w:pPr>
      <w:r>
        <w:rPr>
          <w:rFonts w:ascii="Arial"/>
          <w:w w:val="110"/>
          <w:sz w:val="12"/>
        </w:rPr>
        <w:t>8</w:t>
        <w:tab/>
      </w:r>
      <w:r>
        <w:rPr>
          <w:w w:val="110"/>
        </w:rPr>
        <w:t>Enter author note</w:t>
      </w:r>
      <w:r>
        <w:rPr>
          <w:spacing w:val="32"/>
          <w:w w:val="110"/>
        </w:rPr>
        <w:t> </w:t>
      </w:r>
      <w:r>
        <w:rPr>
          <w:w w:val="110"/>
        </w:rPr>
        <w:t>here.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115" w:val="left" w:leader="none"/>
        </w:tabs>
        <w:spacing w:before="146"/>
        <w:ind w:left="277"/>
      </w:pPr>
      <w:r>
        <w:rPr>
          <w:rFonts w:ascii="Arial"/>
          <w:w w:val="105"/>
          <w:sz w:val="12"/>
        </w:rPr>
        <w:t>9</w:t>
        <w:tab/>
      </w:r>
      <w:r>
        <w:rPr>
          <w:w w:val="105"/>
        </w:rPr>
        <w:t>Correspondence</w:t>
      </w:r>
      <w:r>
        <w:rPr>
          <w:spacing w:val="10"/>
          <w:w w:val="105"/>
        </w:rPr>
        <w:t> </w:t>
      </w:r>
      <w:r>
        <w:rPr>
          <w:w w:val="105"/>
        </w:rPr>
        <w:t>concerning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article</w:t>
      </w:r>
      <w:r>
        <w:rPr>
          <w:spacing w:val="10"/>
          <w:w w:val="105"/>
        </w:rPr>
        <w:t> </w:t>
      </w:r>
      <w:r>
        <w:rPr>
          <w:w w:val="105"/>
        </w:rPr>
        <w:t>should</w:t>
      </w:r>
      <w:r>
        <w:rPr>
          <w:spacing w:val="12"/>
          <w:w w:val="105"/>
        </w:rPr>
        <w:t> </w:t>
      </w:r>
      <w:r>
        <w:rPr>
          <w:spacing w:val="3"/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addressed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Nicholas</w:t>
      </w:r>
      <w:r>
        <w:rPr>
          <w:spacing w:val="12"/>
          <w:w w:val="105"/>
        </w:rPr>
        <w:t> </w:t>
      </w:r>
      <w:r>
        <w:rPr>
          <w:w w:val="105"/>
        </w:rPr>
        <w:t>R.</w:t>
      </w:r>
      <w:r>
        <w:rPr>
          <w:spacing w:val="10"/>
          <w:w w:val="105"/>
        </w:rPr>
        <w:t> </w:t>
      </w:r>
      <w:r>
        <w:rPr>
          <w:w w:val="105"/>
        </w:rPr>
        <w:t>Harp,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10 </w:t>
      </w:r>
      <w:r>
        <w:rPr>
          <w:w w:val="105"/>
        </w:rPr>
        <w:t>Postal address. E-mail: </w:t>
      </w:r>
      <w:hyperlink r:id="rId6">
        <w:r>
          <w:rPr>
            <w:w w:val="105"/>
          </w:rPr>
          <w:t>nharp@huskers.unl.edu</w:t>
        </w:r>
      </w:hyperlink>
    </w:p>
    <w:p>
      <w:pPr>
        <w:spacing w:after="0"/>
        <w:sectPr>
          <w:headerReference w:type="default" r:id="rId5"/>
          <w:type w:val="continuous"/>
          <w:pgSz w:w="12240" w:h="15840"/>
          <w:pgMar w:header="649" w:top="1380" w:bottom="280" w:left="900" w:right="1240"/>
        </w:sectPr>
      </w:pPr>
    </w:p>
    <w:p>
      <w:pPr>
        <w:tabs>
          <w:tab w:pos="4776" w:val="left" w:leader="none"/>
        </w:tabs>
        <w:spacing w:before="137"/>
        <w:ind w:left="213" w:right="0" w:firstLine="0"/>
        <w:jc w:val="left"/>
        <w:rPr>
          <w:sz w:val="24"/>
        </w:rPr>
      </w:pPr>
      <w:r>
        <w:rPr>
          <w:rFonts w:ascii="Arial"/>
          <w:w w:val="105"/>
          <w:sz w:val="12"/>
        </w:rPr>
        <w:t>11</w:t>
        <w:tab/>
      </w:r>
      <w:bookmarkStart w:name="Abstract" w:id="1"/>
      <w:bookmarkEnd w:id="1"/>
      <w:r>
        <w:rPr>
          <w:rFonts w:ascii="Arial"/>
          <w:w w:val="105"/>
          <w:sz w:val="12"/>
        </w:rPr>
      </w:r>
      <w:r>
        <w:rPr>
          <w:w w:val="105"/>
          <w:sz w:val="24"/>
        </w:rPr>
        <w:t>Abstract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tabs>
          <w:tab w:pos="617" w:val="left" w:leader="none"/>
        </w:tabs>
        <w:spacing w:before="1"/>
        <w:ind w:left="213"/>
      </w:pPr>
      <w:r>
        <w:rPr>
          <w:rFonts w:ascii="Arial"/>
          <w:w w:val="105"/>
          <w:sz w:val="12"/>
        </w:rPr>
        <w:t>12</w:t>
        <w:tab/>
      </w:r>
      <w:r>
        <w:rPr>
          <w:w w:val="105"/>
        </w:rPr>
        <w:t>Individual</w:t>
      </w:r>
      <w:r>
        <w:rPr>
          <w:spacing w:val="11"/>
          <w:w w:val="105"/>
        </w:rPr>
        <w:t> </w:t>
      </w:r>
      <w:r>
        <w:rPr>
          <w:w w:val="105"/>
        </w:rPr>
        <w:t>differences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interpretations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emotional</w:t>
      </w:r>
      <w:r>
        <w:rPr>
          <w:spacing w:val="12"/>
          <w:w w:val="105"/>
        </w:rPr>
        <w:t> </w:t>
      </w:r>
      <w:r>
        <w:rPr>
          <w:w w:val="105"/>
        </w:rPr>
        <w:t>ambiguity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useful</w:t>
      </w:r>
      <w:r>
        <w:rPr>
          <w:spacing w:val="11"/>
          <w:w w:val="105"/>
        </w:rPr>
        <w:t> </w:t>
      </w:r>
      <w:r>
        <w:rPr>
          <w:w w:val="105"/>
        </w:rPr>
        <w:t>tool</w:t>
      </w:r>
      <w:r>
        <w:rPr>
          <w:spacing w:val="11"/>
          <w:w w:val="105"/>
        </w:rPr>
        <w:t> </w:t>
      </w:r>
      <w:r>
        <w:rPr>
          <w:w w:val="105"/>
        </w:rPr>
        <w:t>for</w:t>
      </w:r>
    </w:p>
    <w:p>
      <w:pPr>
        <w:pStyle w:val="BodyText"/>
        <w:ind w:left="213"/>
      </w:pPr>
      <w:r>
        <w:rPr>
          <w:rFonts w:ascii="Arial"/>
          <w:sz w:val="12"/>
        </w:rPr>
        <w:t>13 </w:t>
      </w:r>
      <w:r>
        <w:rPr/>
        <w:t>measuring affective biases.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/>
          <w:w w:val="105"/>
          <w:sz w:val="12"/>
        </w:rPr>
        <w:t>14</w:t>
        <w:tab/>
      </w:r>
      <w:r>
        <w:rPr>
          <w:w w:val="105"/>
        </w:rPr>
        <w:t>While trait-like, these biases are also susceptible to experimental manipulations. In</w:t>
      </w:r>
      <w:r>
        <w:rPr>
          <w:spacing w:val="-3"/>
          <w:w w:val="105"/>
        </w:rPr>
        <w:t> </w:t>
      </w:r>
      <w:r>
        <w:rPr>
          <w:w w:val="105"/>
        </w:rPr>
        <w:t>the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15 </w:t>
      </w:r>
      <w:r>
        <w:rPr>
          <w:w w:val="105"/>
        </w:rPr>
        <w:t>present study, we capitalize on this malleability to expand on previous research suggesting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16 </w:t>
      </w:r>
      <w:r>
        <w:rPr>
          <w:w w:val="105"/>
        </w:rPr>
        <w:t>that subjective interpretations are stable independently of cognitive load.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/>
          <w:w w:val="105"/>
          <w:sz w:val="12"/>
        </w:rPr>
        <w:t>17</w:t>
        <w:tab/>
      </w:r>
      <w:r>
        <w:rPr>
          <w:spacing w:val="-10"/>
          <w:w w:val="105"/>
        </w:rPr>
        <w:t>We </w:t>
      </w:r>
      <w:r>
        <w:rPr>
          <w:w w:val="105"/>
        </w:rPr>
        <w:t>tested the effects of working memory loads containing either neutral or</w:t>
      </w:r>
      <w:r>
        <w:rPr>
          <w:spacing w:val="10"/>
          <w:w w:val="105"/>
        </w:rPr>
        <w:t> </w:t>
      </w:r>
      <w:r>
        <w:rPr>
          <w:w w:val="105"/>
        </w:rPr>
        <w:t>emotional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18 </w:t>
      </w:r>
      <w:r>
        <w:rPr>
          <w:w w:val="105"/>
        </w:rPr>
        <w:t>content on concurrent interpretations of surprised facial expressions.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/>
          <w:w w:val="105"/>
          <w:sz w:val="12"/>
        </w:rPr>
        <w:t>19</w:t>
        <w:tab/>
      </w:r>
      <w:r>
        <w:rPr>
          <w:w w:val="105"/>
        </w:rPr>
        <w:t>Here </w:t>
      </w:r>
      <w:r>
        <w:rPr>
          <w:spacing w:val="-4"/>
          <w:w w:val="105"/>
        </w:rPr>
        <w:t>we </w:t>
      </w:r>
      <w:r>
        <w:rPr>
          <w:w w:val="105"/>
        </w:rPr>
        <w:t>show that interpretations of surprise are more negative during maintenance</w:t>
      </w:r>
      <w:r>
        <w:rPr>
          <w:spacing w:val="59"/>
          <w:w w:val="105"/>
        </w:rPr>
        <w:t> </w:t>
      </w:r>
      <w:r>
        <w:rPr>
          <w:w w:val="105"/>
        </w:rPr>
        <w:t>of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20 </w:t>
      </w:r>
      <w:r>
        <w:rPr>
          <w:w w:val="105"/>
        </w:rPr>
        <w:t>working memory loads with emotional content compared to those with neutral content.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1115" w:val="left" w:leader="none"/>
        </w:tabs>
        <w:spacing w:before="148"/>
        <w:ind w:left="213"/>
      </w:pPr>
      <w:r>
        <w:rPr>
          <w:rFonts w:ascii="Arial"/>
          <w:w w:val="105"/>
          <w:sz w:val="12"/>
        </w:rPr>
        <w:t>21</w:t>
        <w:tab/>
      </w:r>
      <w:r>
        <w:rPr>
          <w:spacing w:val="-9"/>
          <w:w w:val="105"/>
        </w:rPr>
        <w:t>Two </w:t>
      </w:r>
      <w:r>
        <w:rPr>
          <w:w w:val="105"/>
        </w:rPr>
        <w:t>or three sentences explaining what the </w:t>
      </w:r>
      <w:r>
        <w:rPr>
          <w:b/>
          <w:w w:val="105"/>
        </w:rPr>
        <w:t>main result </w:t>
      </w:r>
      <w:r>
        <w:rPr>
          <w:w w:val="105"/>
        </w:rPr>
        <w:t>reveals in direct</w:t>
      </w:r>
      <w:r>
        <w:rPr>
          <w:spacing w:val="26"/>
          <w:w w:val="105"/>
        </w:rPr>
        <w:t> </w:t>
      </w:r>
      <w:r>
        <w:rPr>
          <w:w w:val="105"/>
        </w:rPr>
        <w:t>comparison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22 </w:t>
      </w:r>
      <w:r>
        <w:rPr>
          <w:w w:val="105"/>
        </w:rPr>
        <w:t>to what was thought to be the case previously, or how the main result adds to previous</w:t>
      </w:r>
    </w:p>
    <w:p>
      <w:pPr>
        <w:spacing w:before="202"/>
        <w:ind w:left="213" w:right="0" w:firstLine="0"/>
        <w:jc w:val="left"/>
        <w:rPr>
          <w:sz w:val="24"/>
        </w:rPr>
      </w:pPr>
      <w:r>
        <w:rPr>
          <w:rFonts w:ascii="Arial"/>
          <w:sz w:val="12"/>
        </w:rPr>
        <w:t>23 </w:t>
      </w:r>
      <w:r>
        <w:rPr>
          <w:sz w:val="24"/>
        </w:rPr>
        <w:t>knowledge.</w:t>
      </w:r>
    </w:p>
    <w:p>
      <w:pPr>
        <w:pStyle w:val="BodyText"/>
        <w:spacing w:before="6"/>
        <w:rPr>
          <w:sz w:val="25"/>
        </w:rPr>
      </w:pPr>
    </w:p>
    <w:p>
      <w:pPr>
        <w:tabs>
          <w:tab w:pos="1115" w:val="left" w:leader="none"/>
        </w:tabs>
        <w:spacing w:before="148"/>
        <w:ind w:left="213" w:right="0" w:firstLine="0"/>
        <w:jc w:val="left"/>
        <w:rPr>
          <w:sz w:val="24"/>
        </w:rPr>
      </w:pPr>
      <w:r>
        <w:rPr>
          <w:rFonts w:ascii="Arial"/>
          <w:w w:val="110"/>
          <w:sz w:val="12"/>
        </w:rPr>
        <w:t>24</w:t>
        <w:tab/>
      </w:r>
      <w:r>
        <w:rPr>
          <w:w w:val="110"/>
          <w:sz w:val="24"/>
        </w:rPr>
        <w:t>One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8"/>
          <w:w w:val="110"/>
          <w:sz w:val="24"/>
        </w:rPr>
        <w:t> </w:t>
      </w:r>
      <w:r>
        <w:rPr>
          <w:spacing w:val="-5"/>
          <w:w w:val="110"/>
          <w:sz w:val="24"/>
        </w:rPr>
        <w:t>two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sentences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put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results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general</w:t>
      </w:r>
      <w:r>
        <w:rPr>
          <w:b/>
          <w:spacing w:val="18"/>
          <w:w w:val="110"/>
          <w:sz w:val="24"/>
        </w:rPr>
        <w:t> </w:t>
      </w:r>
      <w:r>
        <w:rPr>
          <w:b/>
          <w:w w:val="110"/>
          <w:sz w:val="24"/>
        </w:rPr>
        <w:t>context</w:t>
      </w:r>
      <w:r>
        <w:rPr>
          <w:w w:val="110"/>
          <w:sz w:val="24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tabs>
          <w:tab w:pos="1115" w:val="left" w:leader="none"/>
        </w:tabs>
        <w:spacing w:before="148"/>
        <w:ind w:left="213" w:right="0" w:firstLine="0"/>
        <w:jc w:val="left"/>
        <w:rPr>
          <w:sz w:val="24"/>
        </w:rPr>
      </w:pPr>
      <w:r>
        <w:rPr>
          <w:rFonts w:ascii="Arial"/>
          <w:w w:val="105"/>
          <w:sz w:val="12"/>
        </w:rPr>
        <w:t>25</w:t>
        <w:tab/>
      </w:r>
      <w:r>
        <w:rPr>
          <w:spacing w:val="-9"/>
          <w:w w:val="105"/>
          <w:sz w:val="24"/>
        </w:rPr>
        <w:t>Two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sentences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provide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b/>
          <w:w w:val="105"/>
          <w:sz w:val="24"/>
        </w:rPr>
        <w:t>broader</w:t>
      </w:r>
      <w:r>
        <w:rPr>
          <w:b/>
          <w:spacing w:val="31"/>
          <w:w w:val="105"/>
          <w:sz w:val="24"/>
        </w:rPr>
        <w:t> </w:t>
      </w:r>
      <w:r>
        <w:rPr>
          <w:b/>
          <w:w w:val="105"/>
          <w:sz w:val="24"/>
        </w:rPr>
        <w:t>perspective</w:t>
      </w:r>
      <w:r>
        <w:rPr>
          <w:w w:val="105"/>
          <w:sz w:val="24"/>
        </w:rPr>
        <w:t>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readily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comprehensible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26 </w:t>
      </w:r>
      <w:r>
        <w:rPr>
          <w:w w:val="105"/>
        </w:rPr>
        <w:t>a scientist in any discipline.</w:t>
      </w:r>
    </w:p>
    <w:p>
      <w:pPr>
        <w:pStyle w:val="BodyText"/>
        <w:spacing w:before="8"/>
        <w:rPr>
          <w:sz w:val="25"/>
        </w:rPr>
      </w:pPr>
    </w:p>
    <w:p>
      <w:pPr>
        <w:tabs>
          <w:tab w:pos="1115" w:val="left" w:leader="none"/>
        </w:tabs>
        <w:spacing w:before="146"/>
        <w:ind w:left="213" w:right="0" w:firstLine="0"/>
        <w:jc w:val="left"/>
        <w:rPr>
          <w:sz w:val="24"/>
        </w:rPr>
      </w:pPr>
      <w:r>
        <w:rPr>
          <w:rFonts w:ascii="Arial"/>
          <w:sz w:val="12"/>
        </w:rPr>
        <w:t>27</w:t>
        <w:tab/>
      </w:r>
      <w:r>
        <w:rPr>
          <w:i/>
          <w:spacing w:val="-3"/>
          <w:sz w:val="24"/>
        </w:rPr>
        <w:t>Keywords: </w:t>
      </w:r>
      <w:r>
        <w:rPr>
          <w:spacing w:val="-4"/>
          <w:sz w:val="24"/>
        </w:rPr>
        <w:t>ambiguity, </w:t>
      </w:r>
      <w:r>
        <w:rPr>
          <w:sz w:val="24"/>
        </w:rPr>
        <w:t>working </w:t>
      </w:r>
      <w:r>
        <w:rPr>
          <w:spacing w:val="-3"/>
          <w:sz w:val="24"/>
        </w:rPr>
        <w:t>memory,</w:t>
      </w:r>
      <w:r>
        <w:rPr>
          <w:spacing w:val="4"/>
          <w:sz w:val="24"/>
        </w:rPr>
        <w:t> </w:t>
      </w:r>
      <w:r>
        <w:rPr>
          <w:sz w:val="24"/>
        </w:rPr>
        <w:t>bias</w:t>
      </w:r>
    </w:p>
    <w:p>
      <w:pPr>
        <w:pStyle w:val="BodyText"/>
        <w:tabs>
          <w:tab w:pos="1115" w:val="left" w:leader="none"/>
        </w:tabs>
        <w:ind w:left="213"/>
      </w:pPr>
      <w:r>
        <w:rPr>
          <w:rFonts w:ascii="Arial"/>
          <w:w w:val="105"/>
          <w:sz w:val="12"/>
        </w:rPr>
        <w:t>28</w:t>
        <w:tab/>
      </w:r>
      <w:r>
        <w:rPr>
          <w:spacing w:val="-6"/>
          <w:w w:val="105"/>
        </w:rPr>
        <w:t>Word </w:t>
      </w:r>
      <w:r>
        <w:rPr>
          <w:w w:val="105"/>
        </w:rPr>
        <w:t>count:</w:t>
      </w:r>
      <w:r>
        <w:rPr>
          <w:spacing w:val="5"/>
          <w:w w:val="105"/>
        </w:rPr>
        <w:t> </w:t>
      </w:r>
      <w:r>
        <w:rPr>
          <w:w w:val="105"/>
        </w:rPr>
        <w:t>X</w:t>
      </w:r>
    </w:p>
    <w:p>
      <w:pPr>
        <w:spacing w:after="0"/>
        <w:sectPr>
          <w:headerReference w:type="default" r:id="rId7"/>
          <w:pgSz w:w="12240" w:h="15840"/>
          <w:pgMar w:header="649" w:footer="0" w:top="1380" w:bottom="280" w:left="900" w:right="1240"/>
          <w:pgNumType w:start="2"/>
        </w:sectPr>
      </w:pPr>
    </w:p>
    <w:p>
      <w:pPr>
        <w:pStyle w:val="BodyText"/>
        <w:tabs>
          <w:tab w:pos="854" w:val="left" w:leader="none"/>
        </w:tabs>
        <w:spacing w:before="137"/>
        <w:ind w:left="213"/>
      </w:pPr>
      <w:r>
        <w:rPr>
          <w:rFonts w:ascii="Arial"/>
          <w:w w:val="105"/>
          <w:sz w:val="12"/>
        </w:rPr>
        <w:t>29</w:t>
        <w:tab/>
      </w:r>
      <w:bookmarkStart w:name="Emotional working memory loads increase " w:id="2"/>
      <w:bookmarkEnd w:id="2"/>
      <w:r>
        <w:rPr>
          <w:rFonts w:ascii="Arial"/>
          <w:w w:val="105"/>
          <w:sz w:val="12"/>
        </w:rPr>
      </w:r>
      <w:r>
        <w:rPr>
          <w:w w:val="105"/>
        </w:rPr>
        <w:t>Emotional</w:t>
      </w:r>
      <w:r>
        <w:rPr>
          <w:spacing w:val="10"/>
          <w:w w:val="105"/>
        </w:rPr>
        <w:t> </w:t>
      </w:r>
      <w:r>
        <w:rPr>
          <w:w w:val="105"/>
        </w:rPr>
        <w:t>working</w:t>
      </w:r>
      <w:r>
        <w:rPr>
          <w:spacing w:val="10"/>
          <w:w w:val="105"/>
        </w:rPr>
        <w:t> </w:t>
      </w:r>
      <w:r>
        <w:rPr>
          <w:w w:val="105"/>
        </w:rPr>
        <w:t>memory</w:t>
      </w:r>
      <w:r>
        <w:rPr>
          <w:spacing w:val="10"/>
          <w:w w:val="105"/>
        </w:rPr>
        <w:t> </w:t>
      </w:r>
      <w:r>
        <w:rPr>
          <w:w w:val="105"/>
        </w:rPr>
        <w:t>loads</w:t>
      </w:r>
      <w:r>
        <w:rPr>
          <w:spacing w:val="10"/>
          <w:w w:val="105"/>
        </w:rPr>
        <w:t> </w:t>
      </w:r>
      <w:r>
        <w:rPr>
          <w:w w:val="105"/>
        </w:rPr>
        <w:t>increase</w:t>
      </w:r>
      <w:r>
        <w:rPr>
          <w:spacing w:val="9"/>
          <w:w w:val="105"/>
        </w:rPr>
        <w:t> </w:t>
      </w:r>
      <w:r>
        <w:rPr>
          <w:w w:val="105"/>
        </w:rPr>
        <w:t>negative</w:t>
      </w:r>
      <w:r>
        <w:rPr>
          <w:spacing w:val="11"/>
          <w:w w:val="105"/>
        </w:rPr>
        <w:t> </w:t>
      </w:r>
      <w:r>
        <w:rPr>
          <w:w w:val="105"/>
        </w:rPr>
        <w:t>interpertations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surprised</w:t>
      </w:r>
      <w:r>
        <w:rPr>
          <w:spacing w:val="10"/>
          <w:w w:val="105"/>
        </w:rPr>
        <w:t> </w:t>
      </w:r>
      <w:r>
        <w:rPr>
          <w:w w:val="105"/>
        </w:rPr>
        <w:t>facial</w:t>
      </w:r>
    </w:p>
    <w:p>
      <w:pPr>
        <w:tabs>
          <w:tab w:pos="4648" w:val="left" w:leader="none"/>
        </w:tabs>
        <w:spacing w:before="203"/>
        <w:ind w:left="213" w:right="0" w:firstLine="0"/>
        <w:jc w:val="left"/>
        <w:rPr>
          <w:sz w:val="24"/>
        </w:rPr>
      </w:pPr>
      <w:r>
        <w:rPr>
          <w:rFonts w:ascii="Arial"/>
          <w:sz w:val="12"/>
        </w:rPr>
        <w:t>30</w:t>
        <w:tab/>
      </w:r>
      <w:r>
        <w:rPr>
          <w:sz w:val="24"/>
        </w:rPr>
        <w:t>expressions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tabs>
          <w:tab w:pos="4479" w:val="left" w:leader="none"/>
        </w:tabs>
        <w:spacing w:before="148"/>
        <w:ind w:left="213"/>
      </w:pPr>
      <w:r>
        <w:rPr>
          <w:rFonts w:ascii="Arial"/>
          <w:b w:val="0"/>
          <w:w w:val="110"/>
          <w:sz w:val="12"/>
        </w:rPr>
        <w:t>31</w:t>
        <w:tab/>
      </w:r>
      <w:bookmarkStart w:name="Introduction" w:id="3"/>
      <w:bookmarkEnd w:id="3"/>
      <w:r>
        <w:rPr>
          <w:rFonts w:ascii="Arial"/>
          <w:b w:val="0"/>
          <w:w w:val="110"/>
          <w:sz w:val="12"/>
        </w:rPr>
      </w:r>
      <w:r>
        <w:rPr>
          <w:w w:val="110"/>
        </w:rPr>
        <w:t>Introduction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/>
          <w:w w:val="105"/>
          <w:sz w:val="12"/>
        </w:rPr>
        <w:t>32</w:t>
        <w:tab/>
      </w:r>
      <w:r>
        <w:rPr>
          <w:w w:val="105"/>
        </w:rPr>
        <w:t>Even</w:t>
      </w:r>
      <w:r>
        <w:rPr>
          <w:spacing w:val="12"/>
          <w:w w:val="105"/>
        </w:rPr>
        <w:t> </w:t>
      </w:r>
      <w:r>
        <w:rPr>
          <w:w w:val="105"/>
        </w:rPr>
        <w:t>simple</w:t>
      </w:r>
      <w:r>
        <w:rPr>
          <w:spacing w:val="12"/>
          <w:w w:val="105"/>
        </w:rPr>
        <w:t> </w:t>
      </w:r>
      <w:r>
        <w:rPr>
          <w:w w:val="105"/>
        </w:rPr>
        <w:t>tasks</w:t>
      </w:r>
      <w:r>
        <w:rPr>
          <w:spacing w:val="12"/>
          <w:w w:val="105"/>
        </w:rPr>
        <w:t> </w:t>
      </w:r>
      <w:r>
        <w:rPr>
          <w:w w:val="105"/>
        </w:rPr>
        <w:t>(e.g.,</w:t>
      </w:r>
      <w:r>
        <w:rPr>
          <w:spacing w:val="11"/>
          <w:w w:val="105"/>
        </w:rPr>
        <w:t> </w:t>
      </w:r>
      <w:r>
        <w:rPr>
          <w:w w:val="105"/>
        </w:rPr>
        <w:t>remembering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phone</w:t>
      </w:r>
      <w:r>
        <w:rPr>
          <w:spacing w:val="11"/>
          <w:w w:val="105"/>
        </w:rPr>
        <w:t> </w:t>
      </w:r>
      <w:r>
        <w:rPr>
          <w:w w:val="105"/>
        </w:rPr>
        <w:t>number)</w:t>
      </w:r>
      <w:r>
        <w:rPr>
          <w:spacing w:val="12"/>
          <w:w w:val="105"/>
        </w:rPr>
        <w:t> </w:t>
      </w:r>
      <w:r>
        <w:rPr>
          <w:w w:val="105"/>
        </w:rPr>
        <w:t>reveal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limits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human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33 </w:t>
      </w:r>
      <w:r>
        <w:rPr>
          <w:w w:val="105"/>
        </w:rPr>
        <w:t>cognition. In fact, many researchers believe that there is a magic number of the amount of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34 </w:t>
      </w:r>
      <w:r>
        <w:rPr>
          <w:w w:val="105"/>
        </w:rPr>
        <w:t>information able to be held in working memory (7 +- 2 paper). Others have focused on the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35 </w:t>
      </w:r>
      <w:r>
        <w:rPr>
          <w:w w:val="105"/>
        </w:rPr>
        <w:t>limits of working memory and successful task performance to inform industrial and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36 </w:t>
      </w:r>
      <w:r>
        <w:rPr>
          <w:w w:val="105"/>
        </w:rPr>
        <w:t>organizational policies (Sweller, Merrienboer, &amp; Paas, 1998). Despite the large amount of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37 </w:t>
      </w:r>
      <w:r>
        <w:rPr>
          <w:w w:val="105"/>
        </w:rPr>
        <w:t>research around working memory and cognitive control, much controversy remains around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38 </w:t>
      </w:r>
      <w:r>
        <w:rPr>
          <w:w w:val="105"/>
        </w:rPr>
        <w:t>the mechanisms through which attention to perceptually salient stimuli affect attentional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39 </w:t>
      </w:r>
      <w:r>
        <w:rPr>
          <w:w w:val="105"/>
        </w:rPr>
        <w:t>processes and subsequent cognitive control (Lavie, Hirst, Fockert, &amp; Viding, 2004).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40 </w:t>
      </w:r>
      <w:r>
        <w:rPr>
          <w:w w:val="105"/>
        </w:rPr>
        <w:t>Specifically, there is a divide amongst researchers that believe cognitive loads either inhibit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41 </w:t>
      </w:r>
      <w:r>
        <w:rPr>
          <w:w w:val="105"/>
        </w:rPr>
        <w:t>perceptions of non-relevant stimuli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tabs>
          <w:tab w:pos="1115" w:val="left" w:leader="none"/>
        </w:tabs>
        <w:spacing w:before="265"/>
        <w:ind w:left="213"/>
      </w:pPr>
      <w:r>
        <w:rPr>
          <w:rFonts w:ascii="Arial"/>
          <w:w w:val="105"/>
          <w:sz w:val="12"/>
        </w:rPr>
        <w:t>42</w:t>
        <w:tab/>
      </w:r>
      <w:r>
        <w:rPr>
          <w:w w:val="105"/>
        </w:rPr>
        <w:t>Recent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work</w:t>
      </w:r>
      <w:r>
        <w:rPr>
          <w:spacing w:val="16"/>
          <w:w w:val="105"/>
        </w:rPr>
        <w:t> </w:t>
      </w:r>
      <w:r>
        <w:rPr>
          <w:w w:val="105"/>
        </w:rPr>
        <w:t>suggests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ambiguity</w:t>
      </w:r>
      <w:r>
        <w:rPr>
          <w:spacing w:val="17"/>
          <w:w w:val="105"/>
        </w:rPr>
        <w:t> </w:t>
      </w:r>
      <w:r>
        <w:rPr>
          <w:w w:val="105"/>
        </w:rPr>
        <w:t>resolution,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least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context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surprised</w:t>
      </w:r>
    </w:p>
    <w:p>
      <w:pPr>
        <w:pStyle w:val="BodyText"/>
        <w:ind w:left="213"/>
      </w:pPr>
      <w:r>
        <w:rPr>
          <w:rFonts w:ascii="Arial"/>
          <w:sz w:val="12"/>
        </w:rPr>
        <w:t>43 </w:t>
      </w:r>
      <w:r>
        <w:rPr/>
        <w:t>facial expressions, requires more cognitive resources/processing compared to clearly valenced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44     </w:t>
      </w:r>
      <w:r>
        <w:rPr>
          <w:w w:val="105"/>
        </w:rPr>
        <w:t>faces (Mattek, Whalen, Berkowitz, &amp; </w:t>
      </w:r>
      <w:r>
        <w:rPr>
          <w:spacing w:val="-4"/>
          <w:w w:val="105"/>
        </w:rPr>
        <w:t>Freeman, </w:t>
      </w:r>
      <w:r>
        <w:rPr>
          <w:w w:val="105"/>
        </w:rPr>
        <w:t>2016; Neta &amp; </w:t>
      </w:r>
      <w:r>
        <w:rPr>
          <w:spacing w:val="-5"/>
          <w:w w:val="105"/>
        </w:rPr>
        <w:t>Tong, </w:t>
      </w:r>
      <w:r>
        <w:rPr>
          <w:w w:val="105"/>
        </w:rPr>
        <w:t>2016).  Surprised</w:t>
      </w:r>
      <w:r>
        <w:rPr>
          <w:spacing w:val="46"/>
          <w:w w:val="105"/>
        </w:rPr>
        <w:t> </w:t>
      </w:r>
      <w:r>
        <w:rPr>
          <w:w w:val="105"/>
        </w:rPr>
        <w:t>facial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45      </w:t>
      </w:r>
      <w:r>
        <w:rPr>
          <w:w w:val="105"/>
        </w:rPr>
        <w:t>expressions are ambiguous without contextual information.  </w:t>
      </w:r>
      <w:r>
        <w:rPr>
          <w:spacing w:val="-7"/>
          <w:w w:val="105"/>
        </w:rPr>
        <w:t>For  </w:t>
      </w:r>
      <w:r>
        <w:rPr>
          <w:w w:val="105"/>
        </w:rPr>
        <w:t>instance, a surprised</w:t>
      </w:r>
      <w:r>
        <w:rPr>
          <w:spacing w:val="30"/>
          <w:w w:val="105"/>
        </w:rPr>
        <w:t> </w:t>
      </w:r>
      <w:r>
        <w:rPr>
          <w:w w:val="105"/>
        </w:rPr>
        <w:t>facial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46    </w:t>
      </w:r>
      <w:r>
        <w:rPr>
          <w:rFonts w:ascii="Arial"/>
          <w:spacing w:val="17"/>
          <w:w w:val="105"/>
          <w:sz w:val="12"/>
        </w:rPr>
        <w:t> </w:t>
      </w:r>
      <w:r>
        <w:rPr>
          <w:w w:val="105"/>
        </w:rPr>
        <w:t>expression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</w:rPr>
        <w:t>indicate</w:t>
      </w:r>
      <w:r>
        <w:rPr>
          <w:spacing w:val="12"/>
          <w:w w:val="105"/>
        </w:rPr>
        <w:t> </w:t>
      </w:r>
      <w:r>
        <w:rPr>
          <w:w w:val="105"/>
        </w:rPr>
        <w:t>either</w:t>
      </w:r>
      <w:r>
        <w:rPr>
          <w:spacing w:val="13"/>
          <w:w w:val="105"/>
        </w:rPr>
        <w:t> </w:t>
      </w:r>
      <w:r>
        <w:rPr>
          <w:w w:val="105"/>
        </w:rPr>
        <w:t>positive</w:t>
      </w:r>
      <w:r>
        <w:rPr>
          <w:spacing w:val="12"/>
          <w:w w:val="105"/>
        </w:rPr>
        <w:t> </w:t>
      </w:r>
      <w:r>
        <w:rPr>
          <w:w w:val="105"/>
        </w:rPr>
        <w:t>(e.g.,</w:t>
      </w:r>
      <w:r>
        <w:rPr>
          <w:spacing w:val="12"/>
          <w:w w:val="105"/>
        </w:rPr>
        <w:t> </w:t>
      </w:r>
      <w:r>
        <w:rPr>
          <w:w w:val="105"/>
        </w:rPr>
        <w:t>winning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lottery)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negative</w:t>
      </w:r>
      <w:r>
        <w:rPr>
          <w:spacing w:val="12"/>
          <w:w w:val="105"/>
        </w:rPr>
        <w:t> </w:t>
      </w:r>
      <w:r>
        <w:rPr>
          <w:w w:val="105"/>
        </w:rPr>
        <w:t>(e.g.,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snake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47     </w:t>
      </w:r>
      <w:r>
        <w:rPr>
          <w:w w:val="105"/>
        </w:rPr>
        <w:t>in the woods) events/contexts.  Previous </w:t>
      </w:r>
      <w:r>
        <w:rPr>
          <w:spacing w:val="-3"/>
          <w:w w:val="105"/>
        </w:rPr>
        <w:t>work </w:t>
      </w:r>
      <w:r>
        <w:rPr>
          <w:w w:val="105"/>
        </w:rPr>
        <w:t>shows that individuals differ in their</w:t>
      </w:r>
      <w:r>
        <w:rPr>
          <w:spacing w:val="18"/>
          <w:w w:val="105"/>
        </w:rPr>
        <w:t> </w:t>
      </w:r>
      <w:r>
        <w:rPr>
          <w:w w:val="105"/>
        </w:rPr>
        <w:t>tendency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48 </w:t>
      </w:r>
      <w:r>
        <w:rPr>
          <w:w w:val="105"/>
        </w:rPr>
        <w:t>to interpret these expressions as either positive or negative (Neta, Norris, &amp; Whalen, 2009).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49 </w:t>
      </w:r>
      <w:r>
        <w:rPr>
          <w:w w:val="105"/>
        </w:rPr>
        <w:t>This difference is trait-like (Neta et al., 2009) and generalizes to non-face stimuli (Neta,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50 </w:t>
      </w:r>
      <w:r>
        <w:rPr>
          <w:spacing w:val="-3"/>
          <w:w w:val="105"/>
        </w:rPr>
        <w:t>Kelley, </w:t>
      </w:r>
      <w:r>
        <w:rPr>
          <w:w w:val="105"/>
        </w:rPr>
        <w:t>&amp; Whalen, 2013); </w:t>
      </w:r>
      <w:r>
        <w:rPr>
          <w:spacing w:val="-3"/>
          <w:w w:val="105"/>
        </w:rPr>
        <w:t>however, </w:t>
      </w:r>
      <w:r>
        <w:rPr>
          <w:w w:val="105"/>
        </w:rPr>
        <w:t>these individual differences are also malleable and</w:t>
      </w:r>
      <w:r>
        <w:rPr>
          <w:spacing w:val="62"/>
          <w:w w:val="105"/>
        </w:rPr>
        <w:t> </w:t>
      </w:r>
      <w:r>
        <w:rPr>
          <w:spacing w:val="-3"/>
          <w:w w:val="105"/>
        </w:rPr>
        <w:t>may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51 </w:t>
      </w:r>
      <w:r>
        <w:rPr>
          <w:w w:val="105"/>
        </w:rPr>
        <w:t>differ depenending on experimental manipulations (Brown, Raio, &amp; Neta, 2017; Neta &amp;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52    </w:t>
      </w:r>
      <w:r>
        <w:rPr>
          <w:rFonts w:ascii="Arial"/>
          <w:spacing w:val="7"/>
          <w:w w:val="105"/>
          <w:sz w:val="12"/>
        </w:rPr>
        <w:t> </w:t>
      </w:r>
      <w:r>
        <w:rPr>
          <w:spacing w:val="-5"/>
          <w:w w:val="105"/>
        </w:rPr>
        <w:t>Tong,</w:t>
      </w:r>
      <w:r>
        <w:rPr>
          <w:spacing w:val="10"/>
          <w:w w:val="105"/>
        </w:rPr>
        <w:t> </w:t>
      </w:r>
      <w:r>
        <w:rPr>
          <w:w w:val="105"/>
        </w:rPr>
        <w:t>2016).</w:t>
      </w:r>
      <w:r>
        <w:rPr>
          <w:spacing w:val="37"/>
          <w:w w:val="105"/>
        </w:rPr>
        <w:t> </w:t>
      </w:r>
      <w:r>
        <w:rPr>
          <w:spacing w:val="-3"/>
          <w:w w:val="105"/>
        </w:rPr>
        <w:t>Importantly,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behavioral</w:t>
      </w:r>
      <w:r>
        <w:rPr>
          <w:spacing w:val="12"/>
          <w:w w:val="105"/>
        </w:rPr>
        <w:t> </w:t>
      </w:r>
      <w:r>
        <w:rPr>
          <w:w w:val="105"/>
        </w:rPr>
        <w:t>bias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related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depressive</w:t>
      </w:r>
      <w:r>
        <w:rPr>
          <w:spacing w:val="12"/>
          <w:w w:val="105"/>
        </w:rPr>
        <w:t> </w:t>
      </w:r>
      <w:r>
        <w:rPr>
          <w:w w:val="105"/>
        </w:rPr>
        <w:t>symptomology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???</w:t>
      </w:r>
      <w:r>
        <w:rPr>
          <w:w w:val="105"/>
        </w:rPr>
        <w:t>);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53</w:t>
      </w:r>
      <w:r>
        <w:rPr>
          <w:rFonts w:ascii="Arial"/>
          <w:spacing w:val="28"/>
          <w:w w:val="105"/>
          <w:sz w:val="12"/>
        </w:rPr>
        <w:t> </w:t>
      </w:r>
      <w:r>
        <w:rPr>
          <w:w w:val="105"/>
        </w:rPr>
        <w:t>specifically, more pubertally mature individuals show a correlation between negative bias and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54 </w:t>
      </w:r>
      <w:r>
        <w:rPr>
          <w:w w:val="105"/>
        </w:rPr>
        <w:t>more severe depressive symptoms.</w:t>
      </w:r>
    </w:p>
    <w:p>
      <w:pPr>
        <w:spacing w:after="0"/>
        <w:sectPr>
          <w:pgSz w:w="12240" w:h="15840"/>
          <w:pgMar w:header="649" w:footer="0" w:top="1380" w:bottom="280" w:left="900" w:right="1240"/>
        </w:sectPr>
      </w:pPr>
    </w:p>
    <w:p>
      <w:pPr>
        <w:pStyle w:val="BodyText"/>
        <w:tabs>
          <w:tab w:pos="1115" w:val="left" w:leader="none"/>
        </w:tabs>
        <w:spacing w:before="137"/>
        <w:ind w:left="213"/>
      </w:pPr>
      <w:r>
        <w:rPr>
          <w:rFonts w:ascii="Arial"/>
          <w:w w:val="110"/>
          <w:sz w:val="12"/>
        </w:rPr>
        <w:t>55</w:t>
        <w:tab/>
      </w:r>
      <w:r>
        <w:rPr>
          <w:w w:val="110"/>
        </w:rPr>
        <w:t>It is well known that distractors and task </w:t>
      </w:r>
      <w:r>
        <w:rPr>
          <w:spacing w:val="-3"/>
          <w:w w:val="110"/>
        </w:rPr>
        <w:t>irrelevant </w:t>
      </w:r>
      <w:r>
        <w:rPr>
          <w:w w:val="110"/>
        </w:rPr>
        <w:t>stimuli can </w:t>
      </w:r>
      <w:r>
        <w:rPr>
          <w:spacing w:val="-4"/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detrimental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56 </w:t>
      </w:r>
      <w:r>
        <w:rPr>
          <w:w w:val="105"/>
        </w:rPr>
        <w:t>effects on performance in a variety of tasks (cite, cite, cite). Further, emotional stimuli may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57 </w:t>
      </w:r>
      <w:r>
        <w:rPr>
          <w:w w:val="105"/>
        </w:rPr>
        <w:t>further exacerbate attentional interference compared to neutral stimuli. For example, the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58 </w:t>
      </w:r>
      <w:r>
        <w:rPr>
          <w:w w:val="105"/>
        </w:rPr>
        <w:t>Stroop task (</w:t>
      </w:r>
      <w:r>
        <w:rPr>
          <w:b/>
          <w:w w:val="105"/>
        </w:rPr>
        <w:t>???</w:t>
      </w:r>
      <w:r>
        <w:rPr>
          <w:w w:val="105"/>
        </w:rPr>
        <w:t>) has been modified by some researchers to include emotional stimuli (</w:t>
      </w:r>
      <w:r>
        <w:rPr>
          <w:b/>
          <w:w w:val="105"/>
        </w:rPr>
        <w:t>???</w:t>
      </w:r>
      <w:r>
        <w:rPr>
          <w:w w:val="105"/>
        </w:rPr>
        <w:t>)</w:t>
      </w:r>
    </w:p>
    <w:p>
      <w:pPr>
        <w:pStyle w:val="BodyText"/>
        <w:ind w:left="213"/>
      </w:pPr>
      <w:r>
        <w:rPr>
          <w:rFonts w:ascii="Arial"/>
          <w:sz w:val="12"/>
        </w:rPr>
        <w:t>59 </w:t>
      </w:r>
      <w:r>
        <w:rPr/>
        <w:t>which has pronounced effects when the emotional words are population specific (e.g., trauma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60 </w:t>
      </w:r>
      <w:r>
        <w:rPr>
          <w:w w:val="105"/>
        </w:rPr>
        <w:t>words in a PTSD sample). Similarly, others have shown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/>
          <w:w w:val="105"/>
          <w:sz w:val="12"/>
        </w:rPr>
        <w:t>61</w:t>
        <w:tab/>
      </w:r>
      <w:r>
        <w:rPr>
          <w:w w:val="105"/>
        </w:rPr>
        <w:t>Mattek and colleagues (2016) recently </w:t>
      </w:r>
      <w:r>
        <w:rPr>
          <w:spacing w:val="-3"/>
          <w:w w:val="105"/>
        </w:rPr>
        <w:t>showed </w:t>
      </w:r>
      <w:r>
        <w:rPr>
          <w:w w:val="105"/>
        </w:rPr>
        <w:t>that different levels of cognitive</w:t>
      </w:r>
      <w:r>
        <w:rPr>
          <w:spacing w:val="10"/>
          <w:w w:val="105"/>
        </w:rPr>
        <w:t> </w:t>
      </w:r>
      <w:r>
        <w:rPr>
          <w:w w:val="105"/>
        </w:rPr>
        <w:t>load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62 </w:t>
      </w:r>
      <w:r>
        <w:rPr>
          <w:w w:val="105"/>
        </w:rPr>
        <w:t>(i.e., holding either a single or seven digit number in working memory) does not affect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63 </w:t>
      </w:r>
      <w:r>
        <w:rPr>
          <w:w w:val="105"/>
        </w:rPr>
        <w:t>subjective interpretations of surprised facial expressions, but that high cognitive loads do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64 </w:t>
      </w:r>
      <w:r>
        <w:rPr>
          <w:w w:val="105"/>
        </w:rPr>
        <w:t>mitigate mouse trajectories. While the authors interpret this as a distinction between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65     </w:t>
      </w:r>
      <w:r>
        <w:rPr>
          <w:w w:val="105"/>
        </w:rPr>
        <w:t>trait-like biases and dynamic cognitive-motor processes, there </w:t>
      </w:r>
      <w:r>
        <w:rPr>
          <w:spacing w:val="-3"/>
          <w:w w:val="105"/>
        </w:rPr>
        <w:t>may </w:t>
      </w:r>
      <w:r>
        <w:rPr>
          <w:spacing w:val="3"/>
          <w:w w:val="105"/>
        </w:rPr>
        <w:t>be </w:t>
      </w:r>
      <w:r>
        <w:rPr>
          <w:w w:val="105"/>
        </w:rPr>
        <w:t>more</w:t>
      </w:r>
      <w:r>
        <w:rPr>
          <w:spacing w:val="37"/>
          <w:w w:val="105"/>
        </w:rPr>
        <w:t> </w:t>
      </w:r>
      <w:r>
        <w:rPr>
          <w:w w:val="105"/>
        </w:rPr>
        <w:t>domain-specific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66    </w:t>
      </w:r>
      <w:r>
        <w:rPr>
          <w:rFonts w:ascii="Arial"/>
          <w:spacing w:val="9"/>
          <w:w w:val="105"/>
          <w:sz w:val="12"/>
        </w:rPr>
        <w:t> </w:t>
      </w:r>
      <w:r>
        <w:rPr>
          <w:w w:val="105"/>
        </w:rPr>
        <w:t>processes</w:t>
      </w:r>
      <w:r>
        <w:rPr>
          <w:spacing w:val="9"/>
          <w:w w:val="105"/>
        </w:rPr>
        <w:t> </w:t>
      </w:r>
      <w:r>
        <w:rPr>
          <w:w w:val="105"/>
        </w:rPr>
        <w:t>(e.g.,</w:t>
      </w:r>
      <w:r>
        <w:rPr>
          <w:spacing w:val="9"/>
          <w:w w:val="105"/>
        </w:rPr>
        <w:t> </w:t>
      </w:r>
      <w:r>
        <w:rPr>
          <w:w w:val="105"/>
        </w:rPr>
        <w:t>emotional</w:t>
      </w:r>
      <w:r>
        <w:rPr>
          <w:spacing w:val="10"/>
          <w:w w:val="105"/>
        </w:rPr>
        <w:t> </w:t>
      </w:r>
      <w:r>
        <w:rPr>
          <w:w w:val="105"/>
        </w:rPr>
        <w:t>components)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span</w:t>
      </w:r>
      <w:r>
        <w:rPr>
          <w:spacing w:val="9"/>
          <w:w w:val="105"/>
        </w:rPr>
        <w:t> </w:t>
      </w:r>
      <w:r>
        <w:rPr>
          <w:w w:val="105"/>
        </w:rPr>
        <w:t>across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measures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3"/>
          <w:w w:val="105"/>
        </w:rPr>
        <w:t>valence</w:t>
      </w:r>
      <w:r>
        <w:rPr>
          <w:spacing w:val="8"/>
          <w:w w:val="105"/>
        </w:rPr>
        <w:t> </w:t>
      </w:r>
      <w:r>
        <w:rPr>
          <w:w w:val="105"/>
        </w:rPr>
        <w:t>bias.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67 </w:t>
      </w:r>
      <w:r>
        <w:rPr>
          <w:w w:val="105"/>
        </w:rPr>
        <w:t>Indeed, neuroimaging work suggests that separate systems handle attentional biasing for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68     </w:t>
      </w:r>
      <w:r>
        <w:rPr>
          <w:w w:val="105"/>
        </w:rPr>
        <w:t>domain-specific (emotional vs. non-emotional) task </w:t>
      </w:r>
      <w:r>
        <w:rPr>
          <w:spacing w:val="-3"/>
          <w:w w:val="105"/>
        </w:rPr>
        <w:t>relevancy </w:t>
      </w:r>
      <w:r>
        <w:rPr>
          <w:w w:val="105"/>
        </w:rPr>
        <w:t>(Egner, Etkin, Gale, &amp; Hirsch,</w:t>
      </w:r>
    </w:p>
    <w:p>
      <w:pPr>
        <w:pStyle w:val="BodyText"/>
        <w:ind w:left="213"/>
      </w:pPr>
      <w:r>
        <w:rPr>
          <w:rFonts w:ascii="Arial" w:hAnsi="Arial"/>
          <w:sz w:val="12"/>
        </w:rPr>
        <w:t>69     </w:t>
      </w:r>
      <w:r>
        <w:rPr>
          <w:rFonts w:ascii="Arial" w:hAnsi="Arial"/>
          <w:spacing w:val="15"/>
          <w:sz w:val="12"/>
        </w:rPr>
        <w:t> </w:t>
      </w:r>
      <w:r>
        <w:rPr/>
        <w:t>2008).</w:t>
      </w:r>
      <w:r>
        <w:rPr>
          <w:spacing w:val="56"/>
        </w:rPr>
        <w:t> </w:t>
      </w:r>
      <w:r>
        <w:rPr/>
        <w:t>Given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task</w:t>
      </w:r>
      <w:r>
        <w:rPr>
          <w:spacing w:val="27"/>
        </w:rPr>
        <w:t> </w:t>
      </w:r>
      <w:r>
        <w:rPr/>
        <w:t>irrelevance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numeric</w:t>
      </w:r>
      <w:r>
        <w:rPr>
          <w:spacing w:val="27"/>
        </w:rPr>
        <w:t> </w:t>
      </w:r>
      <w:r>
        <w:rPr/>
        <w:t>distractors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Mattek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colleagues’</w:t>
      </w:r>
      <w:r>
        <w:rPr>
          <w:spacing w:val="26"/>
        </w:rPr>
        <w:t> </w:t>
      </w:r>
      <w:r>
        <w:rPr/>
        <w:t>(2016)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70     </w:t>
      </w:r>
      <w:r>
        <w:rPr>
          <w:w w:val="105"/>
        </w:rPr>
        <w:t>work, it follows that the resources required for interpreting ambiguity as positive (Neta et</w:t>
      </w:r>
      <w:r>
        <w:rPr>
          <w:spacing w:val="-36"/>
          <w:w w:val="105"/>
        </w:rPr>
        <w:t> </w:t>
      </w:r>
      <w:r>
        <w:rPr>
          <w:w w:val="105"/>
        </w:rPr>
        <w:t>al.,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71 </w:t>
      </w:r>
      <w:r>
        <w:rPr>
          <w:w w:val="105"/>
        </w:rPr>
        <w:t>2009) may not have been recruited for working memory maintenance.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/>
          <w:sz w:val="12"/>
        </w:rPr>
        <w:t>72</w:t>
        <w:tab/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>
          <w:spacing w:val="-4"/>
        </w:rPr>
        <w:t>study,</w:t>
      </w:r>
      <w:r>
        <w:rPr>
          <w:spacing w:val="31"/>
        </w:rPr>
        <w:t> </w:t>
      </w:r>
      <w:r>
        <w:rPr>
          <w:spacing w:val="-4"/>
        </w:rPr>
        <w:t>we</w:t>
      </w:r>
      <w:r>
        <w:rPr>
          <w:spacing w:val="32"/>
        </w:rPr>
        <w:t> </w:t>
      </w:r>
      <w:r>
        <w:rPr/>
        <w:t>aim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test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effects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3"/>
        </w:rPr>
        <w:t>low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high</w:t>
      </w:r>
      <w:r>
        <w:rPr>
          <w:spacing w:val="30"/>
        </w:rPr>
        <w:t> </w:t>
      </w:r>
      <w:r>
        <w:rPr/>
        <w:t>working</w:t>
      </w:r>
      <w:r>
        <w:rPr>
          <w:spacing w:val="31"/>
        </w:rPr>
        <w:t> </w:t>
      </w:r>
      <w:r>
        <w:rPr/>
        <w:t>memory</w:t>
      </w:r>
      <w:r>
        <w:rPr>
          <w:spacing w:val="31"/>
        </w:rPr>
        <w:t> </w:t>
      </w:r>
      <w:r>
        <w:rPr/>
        <w:t>loads</w:t>
      </w:r>
    </w:p>
    <w:p>
      <w:pPr>
        <w:pStyle w:val="BodyText"/>
        <w:ind w:left="213"/>
      </w:pPr>
      <w:r>
        <w:rPr>
          <w:rFonts w:ascii="Arial"/>
          <w:w w:val="110"/>
          <w:sz w:val="12"/>
        </w:rPr>
        <w:t>73 </w:t>
      </w:r>
      <w:r>
        <w:rPr>
          <w:w w:val="110"/>
        </w:rPr>
        <w:t>in both emotional and neutral domains. We expect that trials in which participants are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74 </w:t>
      </w:r>
      <w:r>
        <w:rPr>
          <w:w w:val="105"/>
        </w:rPr>
        <w:t>maintaining an emotional working memory load will be more negative than neutral trials.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75 </w:t>
      </w:r>
      <w:r>
        <w:rPr>
          <w:w w:val="105"/>
        </w:rPr>
        <w:t>Further, we predict that higher working memory laod trials, specifically in the emotional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76 </w:t>
      </w:r>
      <w:r>
        <w:rPr>
          <w:w w:val="105"/>
        </w:rPr>
        <w:t>domain, will result in even more exaggerated negative interpretations.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1115" w:val="left" w:leader="none"/>
        </w:tabs>
        <w:spacing w:before="146"/>
        <w:ind w:left="213"/>
      </w:pPr>
      <w:r>
        <w:rPr>
          <w:rFonts w:ascii="Arial" w:hAnsi="Arial"/>
          <w:w w:val="110"/>
          <w:sz w:val="12"/>
        </w:rPr>
        <w:t>77</w:t>
        <w:tab/>
      </w:r>
      <w:r>
        <w:rPr>
          <w:w w:val="110"/>
        </w:rPr>
        <w:t>Notes: Allie </w:t>
      </w:r>
      <w:r>
        <w:rPr>
          <w:spacing w:val="-3"/>
          <w:w w:val="110"/>
        </w:rPr>
        <w:t>showed </w:t>
      </w:r>
      <w:r>
        <w:rPr>
          <w:w w:val="110"/>
        </w:rPr>
        <w:t>that depletion doesn’t affect ratings, but </w:t>
      </w:r>
      <w:r>
        <w:rPr>
          <w:spacing w:val="-4"/>
          <w:w w:val="110"/>
        </w:rPr>
        <w:t>we </w:t>
      </w:r>
      <w:r>
        <w:rPr>
          <w:w w:val="110"/>
        </w:rPr>
        <w:t>thought that</w:t>
      </w:r>
      <w:r>
        <w:rPr>
          <w:spacing w:val="-39"/>
          <w:w w:val="110"/>
        </w:rPr>
        <w:t> </w:t>
      </w:r>
      <w:r>
        <w:rPr>
          <w:w w:val="110"/>
        </w:rPr>
        <w:t>there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78 </w:t>
      </w:r>
      <w:r>
        <w:rPr>
          <w:w w:val="105"/>
        </w:rPr>
        <w:t>may be an effect of specific domains of depletion (i.e., neutral vs. emotional) on ratings.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79 </w:t>
      </w:r>
      <w:r>
        <w:rPr>
          <w:w w:val="105"/>
        </w:rPr>
        <w:t>Focus on EMO &gt; NEU ratings and POS &gt; NEG MDs. MT analyses could be supplementary</w:t>
      </w:r>
    </w:p>
    <w:p>
      <w:pPr>
        <w:pStyle w:val="BodyText"/>
        <w:spacing w:before="203"/>
        <w:ind w:left="213"/>
      </w:pPr>
      <w:r>
        <w:rPr>
          <w:rFonts w:ascii="Arial" w:hAnsi="Arial"/>
          <w:w w:val="105"/>
          <w:sz w:val="12"/>
        </w:rPr>
        <w:t>80 </w:t>
      </w:r>
      <w:r>
        <w:rPr>
          <w:w w:val="105"/>
        </w:rPr>
        <w:t>material, but you’ll be going down the rabbit hole. Recently, others have suggested a</w:t>
      </w:r>
    </w:p>
    <w:p>
      <w:pPr>
        <w:spacing w:after="0"/>
        <w:sectPr>
          <w:pgSz w:w="12240" w:h="15840"/>
          <w:pgMar w:header="649" w:footer="0" w:top="1380" w:bottom="280" w:left="900" w:right="1240"/>
        </w:sectPr>
      </w:pPr>
    </w:p>
    <w:p>
      <w:pPr>
        <w:pStyle w:val="BodyText"/>
        <w:spacing w:before="137"/>
        <w:ind w:left="213"/>
      </w:pPr>
      <w:r>
        <w:rPr>
          <w:rFonts w:ascii="Arial"/>
          <w:w w:val="105"/>
          <w:sz w:val="12"/>
        </w:rPr>
        <w:t>81 </w:t>
      </w:r>
      <w:r>
        <w:rPr>
          <w:w w:val="105"/>
        </w:rPr>
        <w:t>dynamic social trait space model for judgments of faces (Stolier, Hehman, &amp; Freeman, 2018),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82 </w:t>
      </w:r>
      <w:r>
        <w:rPr>
          <w:w w:val="105"/>
        </w:rPr>
        <w:t>and it may be important to consider additional components of the categorization process,</w:t>
      </w:r>
    </w:p>
    <w:p>
      <w:pPr>
        <w:pStyle w:val="BodyText"/>
        <w:ind w:left="213"/>
      </w:pPr>
      <w:r>
        <w:rPr>
          <w:rFonts w:ascii="Arial"/>
          <w:sz w:val="12"/>
        </w:rPr>
        <w:t>83 </w:t>
      </w:r>
      <w:r>
        <w:rPr/>
        <w:t>such as domain-specific loads.</w:t>
      </w:r>
    </w:p>
    <w:p>
      <w:pPr>
        <w:pStyle w:val="BodyText"/>
        <w:spacing w:before="3"/>
        <w:rPr>
          <w:sz w:val="27"/>
        </w:rPr>
      </w:pPr>
    </w:p>
    <w:p>
      <w:pPr>
        <w:tabs>
          <w:tab w:pos="4705" w:val="left" w:leader="none"/>
        </w:tabs>
        <w:spacing w:before="148"/>
        <w:ind w:left="213" w:right="0" w:firstLine="0"/>
        <w:jc w:val="left"/>
        <w:rPr>
          <w:b/>
          <w:sz w:val="24"/>
        </w:rPr>
      </w:pPr>
      <w:r>
        <w:rPr>
          <w:rFonts w:ascii="Arial"/>
          <w:w w:val="110"/>
          <w:sz w:val="12"/>
        </w:rPr>
        <w:t>84</w:t>
        <w:tab/>
      </w:r>
      <w:bookmarkStart w:name="Methods" w:id="4"/>
      <w:bookmarkEnd w:id="4"/>
      <w:r>
        <w:rPr>
          <w:rFonts w:ascii="Arial"/>
          <w:w w:val="110"/>
          <w:sz w:val="12"/>
        </w:rPr>
      </w:r>
      <w:r>
        <w:rPr>
          <w:b/>
          <w:w w:val="110"/>
          <w:sz w:val="24"/>
        </w:rPr>
        <w:t>Methods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tabs>
          <w:tab w:pos="1115" w:val="left" w:leader="none"/>
        </w:tabs>
        <w:spacing w:before="0"/>
        <w:ind w:left="213"/>
      </w:pPr>
      <w:r>
        <w:rPr>
          <w:rFonts w:ascii="Arial"/>
          <w:w w:val="105"/>
          <w:sz w:val="12"/>
        </w:rPr>
        <w:t>85</w:t>
        <w:tab/>
      </w:r>
      <w:r>
        <w:rPr>
          <w:spacing w:val="-10"/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report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how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determined</w:t>
      </w:r>
      <w:r>
        <w:rPr>
          <w:spacing w:val="12"/>
          <w:w w:val="105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w w:val="105"/>
        </w:rPr>
        <w:t>sample</w:t>
      </w:r>
      <w:r>
        <w:rPr>
          <w:spacing w:val="12"/>
          <w:w w:val="105"/>
        </w:rPr>
        <w:t> </w:t>
      </w:r>
      <w:r>
        <w:rPr>
          <w:w w:val="105"/>
        </w:rPr>
        <w:t>size,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exclusions</w:t>
      </w:r>
      <w:r>
        <w:rPr>
          <w:spacing w:val="13"/>
          <w:w w:val="105"/>
        </w:rPr>
        <w:t> </w:t>
      </w:r>
      <w:r>
        <w:rPr>
          <w:w w:val="105"/>
        </w:rPr>
        <w:t>(if</w:t>
      </w:r>
      <w:r>
        <w:rPr>
          <w:spacing w:val="11"/>
          <w:w w:val="105"/>
        </w:rPr>
        <w:t> </w:t>
      </w:r>
      <w:r>
        <w:rPr>
          <w:w w:val="105"/>
        </w:rPr>
        <w:t>any),</w:t>
      </w:r>
      <w:r>
        <w:rPr>
          <w:spacing w:val="12"/>
          <w:w w:val="105"/>
        </w:rPr>
        <w:t> </w:t>
      </w:r>
      <w:r>
        <w:rPr>
          <w:w w:val="105"/>
        </w:rPr>
        <w:t>all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86 </w:t>
      </w:r>
      <w:r>
        <w:rPr>
          <w:w w:val="105"/>
        </w:rPr>
        <w:t>manipulations, and all measures in the study.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148"/>
        <w:ind w:left="213"/>
      </w:pPr>
      <w:r>
        <w:rPr>
          <w:rFonts w:ascii="Arial"/>
          <w:b w:val="0"/>
          <w:w w:val="110"/>
          <w:sz w:val="12"/>
        </w:rPr>
        <w:t>87</w:t>
      </w:r>
      <w:bookmarkStart w:name="Participants" w:id="5"/>
      <w:bookmarkEnd w:id="5"/>
      <w:r>
        <w:rPr>
          <w:rFonts w:ascii="Arial"/>
          <w:b w:val="0"/>
          <w:w w:val="110"/>
          <w:sz w:val="12"/>
        </w:rPr>
      </w:r>
      <w:r>
        <w:rPr>
          <w:rFonts w:ascii="Arial"/>
          <w:b w:val="0"/>
          <w:w w:val="110"/>
          <w:sz w:val="12"/>
        </w:rPr>
        <w:t> </w:t>
      </w:r>
      <w:r>
        <w:rPr>
          <w:w w:val="110"/>
        </w:rPr>
        <w:t>Participants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tabs>
          <w:tab w:pos="1115" w:val="left" w:leader="none"/>
        </w:tabs>
        <w:spacing w:before="0"/>
        <w:ind w:left="213"/>
      </w:pPr>
      <w:r>
        <w:rPr>
          <w:rFonts w:ascii="Arial"/>
          <w:w w:val="105"/>
          <w:sz w:val="12"/>
        </w:rPr>
        <w:t>88</w:t>
        <w:tab/>
      </w:r>
      <w:r>
        <w:rPr>
          <w:w w:val="105"/>
        </w:rPr>
        <w:t>58 subjects were recruited from the University of Nebraska-Lincoln. All</w:t>
      </w:r>
      <w:r>
        <w:rPr>
          <w:spacing w:val="50"/>
          <w:w w:val="105"/>
        </w:rPr>
        <w:t> </w:t>
      </w:r>
      <w:r>
        <w:rPr>
          <w:w w:val="105"/>
        </w:rPr>
        <w:t>subjects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89 </w:t>
      </w:r>
      <w:r>
        <w:rPr>
          <w:w w:val="105"/>
        </w:rPr>
        <w:t>provided written informed consent in accordance with the Declaration of Helsinki and all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90 </w:t>
      </w:r>
      <w:r>
        <w:rPr>
          <w:w w:val="105"/>
        </w:rPr>
        <w:t>procedures were approved by the local Institutional Review Board (Approval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91 </w:t>
      </w:r>
      <w:r>
        <w:rPr>
          <w:w w:val="105"/>
        </w:rPr>
        <w:t>#20141014670EP). The data from eight subjects were excluded due to technical difficulties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92 </w:t>
      </w:r>
      <w:r>
        <w:rPr>
          <w:w w:val="105"/>
        </w:rPr>
        <w:t>or an error in the experiment script. This left 50 individuals in the final sample.</w:t>
      </w:r>
    </w:p>
    <w:p>
      <w:pPr>
        <w:pStyle w:val="BodyText"/>
        <w:spacing w:before="3"/>
        <w:rPr>
          <w:sz w:val="27"/>
        </w:rPr>
      </w:pPr>
    </w:p>
    <w:p>
      <w:pPr>
        <w:spacing w:before="148"/>
        <w:ind w:left="213" w:right="0" w:firstLine="0"/>
        <w:jc w:val="left"/>
        <w:rPr>
          <w:b/>
          <w:sz w:val="24"/>
        </w:rPr>
      </w:pPr>
      <w:r>
        <w:rPr>
          <w:rFonts w:ascii="Arial"/>
          <w:w w:val="110"/>
          <w:sz w:val="12"/>
        </w:rPr>
        <w:t>93</w:t>
      </w:r>
      <w:bookmarkStart w:name="Material" w:id="6"/>
      <w:bookmarkEnd w:id="6"/>
      <w:r>
        <w:rPr>
          <w:rFonts w:ascii="Arial"/>
          <w:w w:val="110"/>
          <w:sz w:val="12"/>
        </w:rPr>
      </w:r>
      <w:r>
        <w:rPr>
          <w:rFonts w:ascii="Arial"/>
          <w:w w:val="110"/>
          <w:sz w:val="12"/>
        </w:rPr>
        <w:t> </w:t>
      </w:r>
      <w:r>
        <w:rPr>
          <w:b/>
          <w:w w:val="110"/>
          <w:sz w:val="24"/>
        </w:rPr>
        <w:t>Material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tabs>
          <w:tab w:pos="1115" w:val="left" w:leader="none"/>
          <w:tab w:pos="2269" w:val="left" w:leader="none"/>
        </w:tabs>
        <w:spacing w:before="0"/>
        <w:ind w:left="213"/>
      </w:pPr>
      <w:r>
        <w:rPr>
          <w:rFonts w:ascii="Arial"/>
          <w:w w:val="105"/>
          <w:sz w:val="12"/>
        </w:rPr>
        <w:t>94</w:t>
        <w:tab/>
      </w:r>
      <w:bookmarkStart w:name="Stimuli" w:id="7"/>
      <w:bookmarkEnd w:id="7"/>
      <w:r>
        <w:rPr>
          <w:rFonts w:ascii="Arial"/>
          <w:w w:val="105"/>
          <w:sz w:val="12"/>
        </w:rPr>
      </w:r>
      <w:r>
        <w:rPr>
          <w:b/>
          <w:w w:val="105"/>
        </w:rPr>
        <w:t>Stimuli.</w:t>
        <w:tab/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stimuli</w:t>
      </w:r>
      <w:r>
        <w:rPr>
          <w:spacing w:val="17"/>
          <w:w w:val="105"/>
        </w:rPr>
        <w:t> </w:t>
      </w:r>
      <w:r>
        <w:rPr>
          <w:w w:val="105"/>
        </w:rPr>
        <w:t>included</w:t>
      </w:r>
      <w:r>
        <w:rPr>
          <w:spacing w:val="18"/>
          <w:w w:val="105"/>
        </w:rPr>
        <w:t> </w:t>
      </w:r>
      <w:r>
        <w:rPr>
          <w:w w:val="105"/>
        </w:rPr>
        <w:t>faces</w:t>
      </w:r>
      <w:r>
        <w:rPr>
          <w:spacing w:val="18"/>
          <w:w w:val="105"/>
        </w:rPr>
        <w:t> </w:t>
      </w:r>
      <w:r>
        <w:rPr>
          <w:w w:val="105"/>
        </w:rPr>
        <w:t>taken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NimStim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(Tottenham</w:t>
      </w:r>
      <w:r>
        <w:rPr>
          <w:spacing w:val="18"/>
          <w:w w:val="105"/>
        </w:rPr>
        <w:t> </w:t>
      </w:r>
      <w:r>
        <w:rPr>
          <w:w w:val="105"/>
        </w:rPr>
        <w:t>et</w:t>
      </w:r>
      <w:r>
        <w:rPr>
          <w:spacing w:val="18"/>
          <w:w w:val="105"/>
        </w:rPr>
        <w:t> </w:t>
      </w:r>
      <w:r>
        <w:rPr>
          <w:w w:val="105"/>
        </w:rPr>
        <w:t>al.,</w:t>
      </w:r>
    </w:p>
    <w:p>
      <w:pPr>
        <w:pStyle w:val="BodyText"/>
        <w:ind w:left="213"/>
      </w:pPr>
      <w:r>
        <w:rPr>
          <w:rFonts w:ascii="Arial" w:hAnsi="Arial"/>
          <w:w w:val="105"/>
          <w:sz w:val="12"/>
        </w:rPr>
        <w:t>95 </w:t>
      </w:r>
      <w:r>
        <w:rPr>
          <w:w w:val="105"/>
        </w:rPr>
        <w:t>2009) and Karolinska Directed Emotional Faces (Lundqvist, Flykt, &amp; Öhman, 1998) stimuli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96 </w:t>
      </w:r>
      <w:r>
        <w:rPr>
          <w:w w:val="105"/>
        </w:rPr>
        <w:t>sets. The faces consisted of 47 unique identities including 11 angry , 12 happy , and 24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97 </w:t>
      </w:r>
      <w:r>
        <w:rPr>
          <w:w w:val="105"/>
        </w:rPr>
        <w:t>surprised expressions organized pseudorandomly. The scenes were taken from the</w:t>
      </w:r>
    </w:p>
    <w:p>
      <w:pPr>
        <w:pStyle w:val="BodyText"/>
        <w:ind w:left="213"/>
      </w:pPr>
      <w:r>
        <w:rPr>
          <w:rFonts w:ascii="Arial"/>
          <w:w w:val="105"/>
          <w:sz w:val="12"/>
        </w:rPr>
        <w:t>98 </w:t>
      </w:r>
      <w:r>
        <w:rPr>
          <w:w w:val="105"/>
        </w:rPr>
        <w:t>International Affective Picture System (Lang, Bradley, &amp; Cuthbert, 2008). A total of 288</w:t>
      </w:r>
    </w:p>
    <w:p>
      <w:pPr>
        <w:pStyle w:val="BodyText"/>
        <w:spacing w:before="203"/>
        <w:ind w:left="213"/>
      </w:pPr>
      <w:r>
        <w:rPr>
          <w:rFonts w:ascii="Arial"/>
          <w:w w:val="105"/>
          <w:sz w:val="12"/>
        </w:rPr>
        <w:t>99 </w:t>
      </w:r>
      <w:r>
        <w:rPr>
          <w:w w:val="105"/>
        </w:rPr>
        <w:t>scenes (72 positive, 72 negative, and 144 neutral) were selected for the image matrices. The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100 </w:t>
      </w:r>
      <w:r>
        <w:rPr>
          <w:w w:val="105"/>
        </w:rPr>
        <w:t>positive and negative images did not differ on arousal (report t-test). The scenes were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101 </w:t>
      </w:r>
      <w:r>
        <w:rPr>
          <w:w w:val="105"/>
        </w:rPr>
        <w:t>organized into low (two images) and high (six images) cognitive load of either neutral or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102</w:t>
      </w:r>
      <w:bookmarkStart w:name="Software" w:id="8"/>
      <w:bookmarkEnd w:id="8"/>
      <w:r>
        <w:rPr>
          <w:rFonts w:ascii="Arial"/>
          <w:w w:val="105"/>
          <w:sz w:val="12"/>
        </w:rPr>
      </w:r>
      <w:r>
        <w:rPr>
          <w:rFonts w:ascii="Arial"/>
          <w:w w:val="105"/>
          <w:sz w:val="12"/>
        </w:rPr>
        <w:t> </w:t>
      </w:r>
      <w:r>
        <w:rPr>
          <w:w w:val="105"/>
        </w:rPr>
        <w:t>emotional (equal number of positive and negative) images (Figure 1).</w:t>
      </w:r>
    </w:p>
    <w:p>
      <w:pPr>
        <w:pStyle w:val="BodyText"/>
        <w:tabs>
          <w:tab w:pos="1115" w:val="left" w:leader="none"/>
          <w:tab w:pos="2438" w:val="left" w:leader="none"/>
        </w:tabs>
        <w:spacing w:before="203"/>
        <w:ind w:left="150"/>
      </w:pPr>
      <w:r>
        <w:rPr>
          <w:rFonts w:ascii="Arial"/>
          <w:w w:val="105"/>
          <w:sz w:val="12"/>
        </w:rPr>
        <w:t>103</w:t>
        <w:tab/>
      </w:r>
      <w:r>
        <w:rPr>
          <w:b/>
          <w:spacing w:val="-2"/>
          <w:w w:val="105"/>
        </w:rPr>
        <w:t>Software.</w:t>
        <w:tab/>
      </w:r>
      <w:r>
        <w:rPr>
          <w:w w:val="105"/>
        </w:rPr>
        <w:t>The task </w:t>
      </w:r>
      <w:r>
        <w:rPr>
          <w:spacing w:val="-3"/>
          <w:w w:val="105"/>
        </w:rPr>
        <w:t>was </w:t>
      </w:r>
      <w:r>
        <w:rPr>
          <w:w w:val="105"/>
        </w:rPr>
        <w:t>completed in </w:t>
      </w:r>
      <w:r>
        <w:rPr>
          <w:spacing w:val="-3"/>
          <w:w w:val="105"/>
        </w:rPr>
        <w:t>MouseTracker </w:t>
      </w:r>
      <w:r>
        <w:rPr>
          <w:spacing w:val="-4"/>
          <w:w w:val="105"/>
        </w:rPr>
        <w:t>(Freeman </w:t>
      </w:r>
      <w:r>
        <w:rPr>
          <w:w w:val="105"/>
        </w:rPr>
        <w:t>&amp; </w:t>
      </w:r>
      <w:r>
        <w:rPr>
          <w:spacing w:val="-4"/>
          <w:w w:val="105"/>
        </w:rPr>
        <w:t>Ambady, </w:t>
      </w:r>
      <w:r>
        <w:rPr>
          <w:w w:val="105"/>
        </w:rPr>
        <w:t>2010)</w:t>
      </w:r>
      <w:r>
        <w:rPr>
          <w:spacing w:val="10"/>
          <w:w w:val="105"/>
        </w:rPr>
        <w:t> </w:t>
      </w:r>
      <w:r>
        <w:rPr>
          <w:w w:val="105"/>
        </w:rPr>
        <w:t>and</w:t>
      </w:r>
    </w:p>
    <w:p>
      <w:pPr>
        <w:pStyle w:val="BodyText"/>
        <w:ind w:left="150"/>
      </w:pPr>
      <w:r>
        <w:rPr>
          <w:rFonts w:ascii="Arial"/>
          <w:w w:val="110"/>
          <w:sz w:val="12"/>
        </w:rPr>
        <w:t>104 </w:t>
      </w:r>
      <w:r>
        <w:rPr>
          <w:w w:val="110"/>
        </w:rPr>
        <w:t>participants used a mouse to click the appropriate response for the face ratings (i.e.,</w:t>
      </w:r>
    </w:p>
    <w:p>
      <w:pPr>
        <w:pStyle w:val="BodyText"/>
        <w:ind w:left="150"/>
      </w:pPr>
      <w:r>
        <w:rPr>
          <w:rFonts w:ascii="Arial" w:hAnsi="Arial"/>
          <w:w w:val="105"/>
          <w:sz w:val="12"/>
        </w:rPr>
        <w:t>105 </w:t>
      </w:r>
      <w:r>
        <w:rPr>
          <w:w w:val="105"/>
        </w:rPr>
        <w:t>“POSITIVE” or “NEGATIVE”) and the memory probe (i.e., “YES” or “NO”).</w:t>
      </w:r>
    </w:p>
    <w:p>
      <w:pPr>
        <w:spacing w:after="0"/>
        <w:sectPr>
          <w:pgSz w:w="12240" w:h="15840"/>
          <w:pgMar w:header="649" w:footer="0" w:top="1380" w:bottom="280" w:left="900" w:right="1240"/>
        </w:sectPr>
      </w:pPr>
    </w:p>
    <w:p>
      <w:pPr>
        <w:spacing w:before="137"/>
        <w:ind w:left="150" w:right="0" w:firstLine="0"/>
        <w:jc w:val="left"/>
        <w:rPr>
          <w:b/>
          <w:sz w:val="24"/>
        </w:rPr>
      </w:pPr>
      <w:r>
        <w:rPr>
          <w:rFonts w:ascii="Arial"/>
          <w:w w:val="110"/>
          <w:sz w:val="12"/>
        </w:rPr>
        <w:t>106</w:t>
      </w:r>
      <w:bookmarkStart w:name="Procedure" w:id="9"/>
      <w:bookmarkEnd w:id="9"/>
      <w:r>
        <w:rPr>
          <w:rFonts w:ascii="Arial"/>
          <w:w w:val="110"/>
          <w:sz w:val="12"/>
        </w:rPr>
      </w:r>
      <w:r>
        <w:rPr>
          <w:rFonts w:ascii="Arial"/>
          <w:w w:val="110"/>
          <w:sz w:val="12"/>
        </w:rPr>
        <w:t> </w:t>
      </w:r>
      <w:r>
        <w:rPr>
          <w:b/>
          <w:w w:val="110"/>
          <w:sz w:val="24"/>
        </w:rPr>
        <w:t>Procedure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tabs>
          <w:tab w:pos="1115" w:val="left" w:leader="none"/>
        </w:tabs>
        <w:spacing w:before="304"/>
        <w:ind w:left="150"/>
      </w:pPr>
      <w:r>
        <w:rPr>
          <w:rFonts w:ascii="Arial"/>
          <w:w w:val="105"/>
          <w:sz w:val="12"/>
        </w:rPr>
        <w:t>107</w:t>
        <w:tab/>
      </w:r>
      <w:r>
        <w:rPr>
          <w:w w:val="105"/>
        </w:rPr>
        <w:t>Participants</w:t>
      </w:r>
      <w:r>
        <w:rPr>
          <w:spacing w:val="12"/>
          <w:w w:val="105"/>
        </w:rPr>
        <w:t> </w:t>
      </w:r>
      <w:r>
        <w:rPr>
          <w:w w:val="105"/>
        </w:rPr>
        <w:t>were</w:t>
      </w:r>
      <w:r>
        <w:rPr>
          <w:spacing w:val="13"/>
          <w:w w:val="105"/>
        </w:rPr>
        <w:t> </w:t>
      </w:r>
      <w:r>
        <w:rPr>
          <w:w w:val="105"/>
        </w:rPr>
        <w:t>randomly</w:t>
      </w:r>
      <w:r>
        <w:rPr>
          <w:spacing w:val="12"/>
          <w:w w:val="105"/>
        </w:rPr>
        <w:t> </w:t>
      </w:r>
      <w:r>
        <w:rPr>
          <w:w w:val="105"/>
        </w:rPr>
        <w:t>assigned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complete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task</w:t>
      </w:r>
      <w:r>
        <w:rPr>
          <w:spacing w:val="12"/>
          <w:w w:val="105"/>
        </w:rPr>
        <w:t> </w:t>
      </w:r>
      <w:r>
        <w:rPr>
          <w:w w:val="105"/>
        </w:rPr>
        <w:t>versions.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tasks</w:t>
      </w:r>
    </w:p>
    <w:p>
      <w:pPr>
        <w:pStyle w:val="BodyText"/>
        <w:spacing w:before="186"/>
        <w:ind w:left="150"/>
      </w:pPr>
      <w:r>
        <w:rPr>
          <w:rFonts w:ascii="Arial"/>
          <w:w w:val="105"/>
          <w:sz w:val="12"/>
        </w:rPr>
        <w:t>108 </w:t>
      </w:r>
      <w:r>
        <w:rPr>
          <w:w w:val="105"/>
        </w:rPr>
        <w:t>included 144</w:t>
      </w:r>
      <w:r>
        <w:rPr>
          <w:rFonts w:ascii="Arial"/>
          <w:w w:val="105"/>
          <w:position w:val="9"/>
          <w:sz w:val="16"/>
        </w:rPr>
        <w:t>1 </w:t>
      </w:r>
      <w:r>
        <w:rPr>
          <w:w w:val="105"/>
        </w:rPr>
        <w:t>trials split between working memory probe and face rating trials. On</w:t>
      </w:r>
      <w:r>
        <w:rPr>
          <w:spacing w:val="55"/>
          <w:w w:val="105"/>
        </w:rPr>
        <w:t> </w:t>
      </w:r>
      <w:r>
        <w:rPr>
          <w:w w:val="105"/>
        </w:rPr>
        <w:t>each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109    </w:t>
      </w:r>
      <w:r>
        <w:rPr>
          <w:rFonts w:ascii="Arial"/>
          <w:spacing w:val="12"/>
          <w:w w:val="105"/>
          <w:sz w:val="12"/>
        </w:rPr>
        <w:t> </w:t>
      </w:r>
      <w:r>
        <w:rPr>
          <w:w w:val="105"/>
        </w:rPr>
        <w:t>trial,</w:t>
      </w:r>
      <w:r>
        <w:rPr>
          <w:spacing w:val="9"/>
          <w:w w:val="105"/>
        </w:rPr>
        <w:t> </w:t>
      </w:r>
      <w:r>
        <w:rPr>
          <w:w w:val="105"/>
        </w:rPr>
        <w:t>participants</w:t>
      </w:r>
      <w:r>
        <w:rPr>
          <w:spacing w:val="9"/>
          <w:w w:val="105"/>
        </w:rPr>
        <w:t> </w:t>
      </w:r>
      <w:r>
        <w:rPr>
          <w:w w:val="105"/>
        </w:rPr>
        <w:t>first</w:t>
      </w:r>
      <w:r>
        <w:rPr>
          <w:spacing w:val="10"/>
          <w:w w:val="105"/>
        </w:rPr>
        <w:t> </w:t>
      </w:r>
      <w:r>
        <w:rPr>
          <w:w w:val="105"/>
        </w:rPr>
        <w:t>viewed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image</w:t>
      </w:r>
      <w:r>
        <w:rPr>
          <w:spacing w:val="10"/>
          <w:w w:val="105"/>
        </w:rPr>
        <w:t> </w:t>
      </w:r>
      <w:r>
        <w:rPr>
          <w:w w:val="105"/>
        </w:rPr>
        <w:t>matrix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either</w:t>
      </w:r>
      <w:r>
        <w:rPr>
          <w:spacing w:val="10"/>
          <w:w w:val="105"/>
        </w:rPr>
        <w:t> </w:t>
      </w:r>
      <w:r>
        <w:rPr>
          <w:w w:val="105"/>
        </w:rPr>
        <w:t>neutral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emotional</w:t>
      </w:r>
      <w:r>
        <w:rPr>
          <w:spacing w:val="10"/>
          <w:w w:val="105"/>
        </w:rPr>
        <w:t> </w:t>
      </w:r>
      <w:r>
        <w:rPr>
          <w:w w:val="105"/>
        </w:rPr>
        <w:t>images,</w:t>
      </w:r>
      <w:r>
        <w:rPr>
          <w:spacing w:val="10"/>
          <w:w w:val="105"/>
        </w:rPr>
        <w:t> </w:t>
      </w:r>
      <w:r>
        <w:rPr>
          <w:w w:val="105"/>
        </w:rPr>
        <w:t>which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110    </w:t>
      </w:r>
      <w:r>
        <w:rPr>
          <w:rFonts w:ascii="Arial"/>
          <w:spacing w:val="14"/>
          <w:w w:val="105"/>
          <w:sz w:val="12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participants</w:t>
      </w:r>
      <w:r>
        <w:rPr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11"/>
          <w:w w:val="105"/>
        </w:rPr>
        <w:t> </w:t>
      </w:r>
      <w:r>
        <w:rPr>
          <w:w w:val="105"/>
        </w:rPr>
        <w:t>instructed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remember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duration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trial.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image</w:t>
      </w:r>
      <w:r>
        <w:rPr>
          <w:spacing w:val="10"/>
          <w:w w:val="105"/>
        </w:rPr>
        <w:t> </w:t>
      </w:r>
      <w:r>
        <w:rPr>
          <w:w w:val="105"/>
        </w:rPr>
        <w:t>matrix</w:t>
      </w:r>
    </w:p>
    <w:p>
      <w:pPr>
        <w:pStyle w:val="BodyText"/>
        <w:spacing w:before="203"/>
        <w:ind w:left="150"/>
      </w:pPr>
      <w:r>
        <w:rPr>
          <w:rFonts w:ascii="Arial"/>
          <w:w w:val="105"/>
          <w:sz w:val="12"/>
        </w:rPr>
        <w:t>111 </w:t>
      </w:r>
      <w:r>
        <w:rPr>
          <w:w w:val="105"/>
        </w:rPr>
        <w:t>was presented for four seconds and the images were swapped from low and high load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112     </w:t>
      </w:r>
      <w:r>
        <w:rPr>
          <w:w w:val="105"/>
        </w:rPr>
        <w:t>matrices across versions of the task.  After the image matrix a </w:t>
      </w:r>
      <w:r>
        <w:rPr>
          <w:spacing w:val="-5"/>
          <w:w w:val="105"/>
        </w:rPr>
        <w:t>happy, </w:t>
      </w:r>
      <w:r>
        <w:rPr>
          <w:spacing w:val="-4"/>
          <w:w w:val="105"/>
        </w:rPr>
        <w:t>angry, </w:t>
      </w:r>
      <w:r>
        <w:rPr>
          <w:w w:val="105"/>
        </w:rPr>
        <w:t>or surprised</w:t>
      </w:r>
      <w:r>
        <w:rPr>
          <w:spacing w:val="-13"/>
          <w:w w:val="105"/>
        </w:rPr>
        <w:t> </w:t>
      </w:r>
      <w:r>
        <w:rPr>
          <w:w w:val="105"/>
        </w:rPr>
        <w:t>face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113     </w:t>
      </w:r>
      <w:r>
        <w:rPr>
          <w:w w:val="105"/>
        </w:rPr>
        <w:t>appeared for one second and the participants rated the face </w:t>
      </w:r>
      <w:r>
        <w:rPr>
          <w:spacing w:val="-4"/>
          <w:w w:val="105"/>
        </w:rPr>
        <w:t>by </w:t>
      </w:r>
      <w:r>
        <w:rPr>
          <w:w w:val="105"/>
        </w:rPr>
        <w:t>clicking on either the</w:t>
      </w:r>
      <w:r>
        <w:rPr>
          <w:spacing w:val="52"/>
          <w:w w:val="105"/>
        </w:rPr>
        <w:t> </w:t>
      </w:r>
      <w:r>
        <w:rPr>
          <w:w w:val="105"/>
        </w:rPr>
        <w:t>positive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114 </w:t>
      </w:r>
      <w:r>
        <w:rPr>
          <w:w w:val="105"/>
        </w:rPr>
        <w:t>or negative response option. After the face rating, a single image probe appeared and</w:t>
      </w:r>
    </w:p>
    <w:p>
      <w:pPr>
        <w:pStyle w:val="BodyText"/>
        <w:ind w:left="150"/>
      </w:pPr>
      <w:r>
        <w:rPr>
          <w:rFonts w:ascii="Arial"/>
          <w:w w:val="110"/>
          <w:sz w:val="12"/>
        </w:rPr>
        <w:t>115 </w:t>
      </w:r>
      <w:r>
        <w:rPr>
          <w:w w:val="110"/>
        </w:rPr>
        <w:t>participants indicated whether or not the image probe was present in the previous image</w:t>
      </w:r>
    </w:p>
    <w:p>
      <w:pPr>
        <w:spacing w:before="203"/>
        <w:ind w:left="150" w:right="0" w:firstLine="0"/>
        <w:jc w:val="left"/>
        <w:rPr>
          <w:sz w:val="24"/>
        </w:rPr>
      </w:pPr>
      <w:r>
        <w:rPr>
          <w:rFonts w:ascii="Arial"/>
          <w:w w:val="105"/>
          <w:sz w:val="12"/>
        </w:rPr>
        <w:t>116 </w:t>
      </w:r>
      <w:r>
        <w:rPr>
          <w:w w:val="105"/>
          <w:sz w:val="24"/>
        </w:rPr>
        <w:t>matrix.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6"/>
        </w:rPr>
      </w:pPr>
    </w:p>
    <w:p>
      <w:pPr>
        <w:spacing w:before="148"/>
        <w:ind w:left="150" w:right="0" w:firstLine="0"/>
        <w:jc w:val="left"/>
        <w:rPr>
          <w:b/>
          <w:sz w:val="24"/>
        </w:rPr>
      </w:pPr>
      <w:r>
        <w:rPr>
          <w:rFonts w:ascii="Arial"/>
          <w:w w:val="110"/>
          <w:sz w:val="12"/>
        </w:rPr>
        <w:t>117</w:t>
      </w:r>
      <w:bookmarkStart w:name="Data analysis" w:id="10"/>
      <w:bookmarkEnd w:id="10"/>
      <w:r>
        <w:rPr>
          <w:rFonts w:ascii="Arial"/>
          <w:w w:val="110"/>
          <w:sz w:val="12"/>
        </w:rPr>
      </w:r>
      <w:r>
        <w:rPr>
          <w:rFonts w:ascii="Arial"/>
          <w:w w:val="110"/>
          <w:sz w:val="12"/>
        </w:rPr>
        <w:t> </w:t>
      </w:r>
      <w:r>
        <w:rPr>
          <w:b/>
          <w:w w:val="110"/>
          <w:sz w:val="24"/>
        </w:rPr>
        <w:t>Data analysis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tabs>
          <w:tab w:pos="1115" w:val="left" w:leader="none"/>
        </w:tabs>
        <w:spacing w:before="304"/>
        <w:ind w:left="150"/>
        <w:rPr>
          <w:i/>
        </w:rPr>
      </w:pPr>
      <w:r>
        <w:rPr>
          <w:rFonts w:ascii="Arial"/>
          <w:w w:val="105"/>
          <w:sz w:val="12"/>
        </w:rPr>
        <w:t>118</w:t>
        <w:tab/>
      </w:r>
      <w:r>
        <w:rPr>
          <w:spacing w:val="-10"/>
          <w:w w:val="105"/>
        </w:rPr>
        <w:t>We </w:t>
      </w:r>
      <w:r>
        <w:rPr>
          <w:w w:val="105"/>
        </w:rPr>
        <w:t>used R </w:t>
      </w:r>
      <w:r>
        <w:rPr>
          <w:spacing w:val="-3"/>
          <w:w w:val="105"/>
        </w:rPr>
        <w:t>(Version </w:t>
      </w:r>
      <w:r>
        <w:rPr>
          <w:w w:val="105"/>
        </w:rPr>
        <w:t>3.6.0; </w:t>
      </w:r>
      <w:r>
        <w:rPr>
          <w:b/>
          <w:w w:val="105"/>
        </w:rPr>
        <w:t>???</w:t>
      </w:r>
      <w:r>
        <w:rPr>
          <w:w w:val="105"/>
        </w:rPr>
        <w:t>) and the R-packages * }dplyr* [@ }R-dplyr],</w:t>
      </w:r>
      <w:r>
        <w:rPr>
          <w:spacing w:val="10"/>
          <w:w w:val="105"/>
        </w:rPr>
        <w:t> </w:t>
      </w:r>
      <w:r>
        <w:rPr>
          <w:i/>
          <w:spacing w:val="-4"/>
          <w:w w:val="105"/>
        </w:rPr>
        <w:t>forcats</w:t>
      </w:r>
    </w:p>
    <w:p>
      <w:pPr>
        <w:spacing w:before="202"/>
        <w:ind w:left="150" w:right="0" w:firstLine="0"/>
        <w:jc w:val="left"/>
        <w:rPr>
          <w:i/>
          <w:sz w:val="24"/>
        </w:rPr>
      </w:pPr>
      <w:r>
        <w:rPr>
          <w:rFonts w:ascii="Arial"/>
          <w:sz w:val="12"/>
        </w:rPr>
        <w:t>119 </w:t>
      </w:r>
      <w:r>
        <w:rPr>
          <w:sz w:val="24"/>
        </w:rPr>
        <w:t>(Version 0.4.0; </w:t>
      </w:r>
      <w:r>
        <w:rPr>
          <w:b/>
          <w:sz w:val="24"/>
        </w:rPr>
        <w:t>???</w:t>
      </w:r>
      <w:r>
        <w:rPr>
          <w:sz w:val="24"/>
        </w:rPr>
        <w:t>), </w:t>
      </w:r>
      <w:r>
        <w:rPr>
          <w:i/>
          <w:sz w:val="24"/>
        </w:rPr>
        <w:t>ggplot2 </w:t>
      </w:r>
      <w:r>
        <w:rPr>
          <w:sz w:val="24"/>
        </w:rPr>
        <w:t>(Version 3.1.1; </w:t>
      </w:r>
      <w:r>
        <w:rPr>
          <w:b/>
          <w:sz w:val="24"/>
        </w:rPr>
        <w:t>???</w:t>
      </w:r>
      <w:r>
        <w:rPr>
          <w:sz w:val="24"/>
        </w:rPr>
        <w:t>), </w:t>
      </w:r>
      <w:r>
        <w:rPr>
          <w:i/>
          <w:sz w:val="24"/>
        </w:rPr>
        <w:t>papaja </w:t>
      </w:r>
      <w:r>
        <w:rPr>
          <w:sz w:val="24"/>
        </w:rPr>
        <w:t>(Version 0.1.0.9842; </w:t>
      </w:r>
      <w:r>
        <w:rPr>
          <w:b/>
          <w:sz w:val="24"/>
        </w:rPr>
        <w:t>???</w:t>
      </w:r>
      <w:r>
        <w:rPr>
          <w:sz w:val="24"/>
        </w:rPr>
        <w:t>), </w:t>
      </w:r>
      <w:r>
        <w:rPr>
          <w:i/>
          <w:sz w:val="24"/>
        </w:rPr>
        <w:t>purrr</w:t>
      </w:r>
    </w:p>
    <w:p>
      <w:pPr>
        <w:spacing w:before="202"/>
        <w:ind w:left="150" w:right="0" w:firstLine="0"/>
        <w:jc w:val="left"/>
        <w:rPr>
          <w:sz w:val="24"/>
        </w:rPr>
      </w:pPr>
      <w:r>
        <w:rPr>
          <w:rFonts w:ascii="Arial"/>
          <w:sz w:val="12"/>
        </w:rPr>
        <w:t>120 </w:t>
      </w:r>
      <w:r>
        <w:rPr>
          <w:sz w:val="24"/>
        </w:rPr>
        <w:t>(Version 0.3.2; </w:t>
      </w:r>
      <w:r>
        <w:rPr>
          <w:b/>
          <w:sz w:val="24"/>
        </w:rPr>
        <w:t>???</w:t>
      </w:r>
      <w:r>
        <w:rPr>
          <w:sz w:val="24"/>
        </w:rPr>
        <w:t>), </w:t>
      </w:r>
      <w:r>
        <w:rPr>
          <w:i/>
          <w:sz w:val="24"/>
        </w:rPr>
        <w:t>readr </w:t>
      </w:r>
      <w:r>
        <w:rPr>
          <w:sz w:val="24"/>
        </w:rPr>
        <w:t>(Version 1.3.1; </w:t>
      </w:r>
      <w:r>
        <w:rPr>
          <w:b/>
          <w:sz w:val="24"/>
        </w:rPr>
        <w:t>???</w:t>
      </w:r>
      <w:r>
        <w:rPr>
          <w:sz w:val="24"/>
        </w:rPr>
        <w:t>), </w:t>
      </w:r>
      <w:r>
        <w:rPr>
          <w:i/>
          <w:sz w:val="24"/>
        </w:rPr>
        <w:t>readxl </w:t>
      </w:r>
      <w:r>
        <w:rPr>
          <w:sz w:val="24"/>
        </w:rPr>
        <w:t>(Version 1.3.1; </w:t>
      </w:r>
      <w:r>
        <w:rPr>
          <w:b/>
          <w:sz w:val="24"/>
        </w:rPr>
        <w:t>???</w:t>
      </w:r>
      <w:r>
        <w:rPr>
          <w:sz w:val="24"/>
        </w:rPr>
        <w:t>), </w:t>
      </w:r>
      <w:r>
        <w:rPr>
          <w:i/>
          <w:sz w:val="24"/>
        </w:rPr>
        <w:t>stringr </w:t>
      </w:r>
      <w:r>
        <w:rPr>
          <w:sz w:val="24"/>
        </w:rPr>
        <w:t>(Version</w:t>
      </w:r>
    </w:p>
    <w:p>
      <w:pPr>
        <w:spacing w:before="202"/>
        <w:ind w:left="150" w:right="0" w:firstLine="0"/>
        <w:jc w:val="left"/>
        <w:rPr>
          <w:i/>
          <w:sz w:val="24"/>
        </w:rPr>
      </w:pPr>
      <w:r>
        <w:rPr>
          <w:rFonts w:ascii="Arial"/>
          <w:w w:val="105"/>
          <w:sz w:val="12"/>
        </w:rPr>
        <w:t>121 </w:t>
      </w:r>
      <w:r>
        <w:rPr>
          <w:w w:val="105"/>
          <w:sz w:val="24"/>
        </w:rPr>
        <w:t>1.4.0; </w:t>
      </w:r>
      <w:r>
        <w:rPr>
          <w:b/>
          <w:w w:val="105"/>
          <w:sz w:val="24"/>
        </w:rPr>
        <w:t>???</w:t>
      </w:r>
      <w:r>
        <w:rPr>
          <w:w w:val="105"/>
          <w:sz w:val="24"/>
        </w:rPr>
        <w:t>), </w:t>
      </w:r>
      <w:r>
        <w:rPr>
          <w:i/>
          <w:w w:val="105"/>
          <w:sz w:val="24"/>
        </w:rPr>
        <w:t>tibble </w:t>
      </w:r>
      <w:r>
        <w:rPr>
          <w:w w:val="105"/>
          <w:sz w:val="24"/>
        </w:rPr>
        <w:t>(Version 2.1.3; </w:t>
      </w:r>
      <w:r>
        <w:rPr>
          <w:b/>
          <w:w w:val="105"/>
          <w:sz w:val="24"/>
        </w:rPr>
        <w:t>???</w:t>
      </w:r>
      <w:r>
        <w:rPr>
          <w:w w:val="105"/>
          <w:sz w:val="24"/>
        </w:rPr>
        <w:t>), </w:t>
      </w:r>
      <w:r>
        <w:rPr>
          <w:i/>
          <w:w w:val="105"/>
          <w:sz w:val="24"/>
        </w:rPr>
        <w:t>tidyr </w:t>
      </w:r>
      <w:r>
        <w:rPr>
          <w:w w:val="105"/>
          <w:sz w:val="24"/>
        </w:rPr>
        <w:t>(Version 0.8.3.9000; </w:t>
      </w:r>
      <w:r>
        <w:rPr>
          <w:b/>
          <w:w w:val="105"/>
          <w:sz w:val="24"/>
        </w:rPr>
        <w:t>???</w:t>
      </w:r>
      <w:r>
        <w:rPr>
          <w:w w:val="105"/>
          <w:sz w:val="24"/>
        </w:rPr>
        <w:t>), and </w:t>
      </w:r>
      <w:r>
        <w:rPr>
          <w:i/>
          <w:w w:val="105"/>
          <w:sz w:val="24"/>
        </w:rPr>
        <w:t>tidyverse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122 </w:t>
      </w:r>
      <w:r>
        <w:rPr>
          <w:w w:val="105"/>
        </w:rPr>
        <w:t>(Version 1.2.1; </w:t>
      </w:r>
      <w:r>
        <w:rPr>
          <w:b/>
          <w:w w:val="105"/>
        </w:rPr>
        <w:t>???</w:t>
      </w:r>
      <w:r>
        <w:rPr>
          <w:w w:val="105"/>
        </w:rPr>
        <w:t>) for all our analyses. Data preprocessing was completed in R using the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123 </w:t>
      </w:r>
      <w:r>
        <w:rPr>
          <w:w w:val="105"/>
        </w:rPr>
        <w:t>mousetrap package (</w:t>
      </w:r>
      <w:r>
        <w:rPr>
          <w:b/>
          <w:w w:val="105"/>
        </w:rPr>
        <w:t>???</w:t>
      </w:r>
      <w:r>
        <w:rPr>
          <w:w w:val="105"/>
        </w:rPr>
        <w:t>). First, percent negative ratings were calculated for happy, angry,</w:t>
      </w:r>
    </w:p>
    <w:p>
      <w:pPr>
        <w:pStyle w:val="BodyText"/>
        <w:spacing w:before="203"/>
        <w:ind w:left="150"/>
      </w:pPr>
      <w:r>
        <w:rPr>
          <w:rFonts w:ascii="Arial"/>
          <w:w w:val="105"/>
          <w:sz w:val="12"/>
        </w:rPr>
        <w:t>124 </w:t>
      </w:r>
      <w:r>
        <w:rPr>
          <w:w w:val="105"/>
        </w:rPr>
        <w:t>and surprised faces across all trial types. Next, we used Shapiro-Wilks test to determine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125 </w:t>
      </w:r>
      <w:r>
        <w:rPr>
          <w:w w:val="105"/>
        </w:rPr>
        <w:t>normality of the data. Afterwards, since the rating data were non-normally distributed, we</w:t>
      </w:r>
    </w:p>
    <w:p>
      <w:pPr>
        <w:pStyle w:val="BodyText"/>
        <w:ind w:left="150"/>
      </w:pPr>
      <w:r>
        <w:rPr>
          <w:rFonts w:ascii="Arial" w:hAnsi="Arial"/>
          <w:w w:val="105"/>
          <w:sz w:val="12"/>
        </w:rPr>
        <w:t>126 </w:t>
      </w:r>
      <w:r>
        <w:rPr>
          <w:w w:val="105"/>
        </w:rPr>
        <w:t>submitted the data to non-parametric within-subjects testing:</w:t>
      </w:r>
      <w:r>
        <w:rPr>
          <w:spacing w:val="60"/>
          <w:w w:val="105"/>
        </w:rPr>
        <w:t> </w:t>
      </w:r>
      <w:r>
        <w:rPr>
          <w:spacing w:val="-3"/>
          <w:w w:val="105"/>
        </w:rPr>
        <w:t>Friedman’s </w:t>
      </w:r>
      <w:r>
        <w:rPr>
          <w:w w:val="105"/>
        </w:rPr>
        <w:t>test.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0.828949pt" to="108pt,10.828949pt" stroked="true" strokeweight=".125pt" strokecolor="#000000">
            <v:stroke dashstyle="solid"/>
            <w10:wrap type="topAndBottom"/>
          </v:line>
        </w:pict>
      </w:r>
    </w:p>
    <w:p>
      <w:pPr>
        <w:spacing w:before="139"/>
        <w:ind w:left="540" w:right="0" w:firstLine="0"/>
        <w:jc w:val="left"/>
        <w:rPr>
          <w:sz w:val="20"/>
        </w:rPr>
      </w:pPr>
      <w:r>
        <w:rPr>
          <w:rFonts w:ascii="Arial"/>
          <w:w w:val="105"/>
          <w:position w:val="7"/>
          <w:sz w:val="14"/>
        </w:rPr>
        <w:t>1</w:t>
      </w:r>
      <w:bookmarkStart w:name="_bookmark0" w:id="11"/>
      <w:bookmarkEnd w:id="11"/>
      <w:r>
        <w:rPr>
          <w:rFonts w:ascii="Arial"/>
          <w:w w:val="105"/>
          <w:position w:val="7"/>
          <w:sz w:val="14"/>
        </w:rPr>
      </w:r>
      <w:r>
        <w:rPr>
          <w:rFonts w:ascii="Arial"/>
          <w:w w:val="105"/>
          <w:position w:val="7"/>
          <w:sz w:val="14"/>
        </w:rPr>
        <w:t> </w:t>
      </w:r>
      <w:r>
        <w:rPr>
          <w:w w:val="105"/>
          <w:sz w:val="20"/>
        </w:rPr>
        <w:t>Some versions of the task only included 142 trials due to a programming error.</w:t>
      </w:r>
    </w:p>
    <w:p>
      <w:pPr>
        <w:spacing w:after="0"/>
        <w:jc w:val="left"/>
        <w:rPr>
          <w:sz w:val="20"/>
        </w:rPr>
        <w:sectPr>
          <w:pgSz w:w="12240" w:h="15840"/>
          <w:pgMar w:header="649" w:footer="0" w:top="1380" w:bottom="280" w:left="900" w:right="1240"/>
        </w:sectPr>
      </w:pPr>
    </w:p>
    <w:p>
      <w:pPr>
        <w:pStyle w:val="BodyText"/>
        <w:spacing w:before="7"/>
        <w:rPr>
          <w:sz w:val="21"/>
        </w:rPr>
      </w:pPr>
    </w:p>
    <w:p>
      <w:pPr>
        <w:spacing w:before="1"/>
        <w:ind w:left="150" w:right="0" w:firstLine="0"/>
        <w:jc w:val="left"/>
        <w:rPr>
          <w:rFonts w:ascii="Arial"/>
          <w:sz w:val="12"/>
        </w:rPr>
      </w:pPr>
      <w:r>
        <w:rPr>
          <w:rFonts w:ascii="Arial"/>
          <w:w w:val="95"/>
          <w:sz w:val="12"/>
        </w:rPr>
        <w:t>127</w:t>
      </w:r>
    </w:p>
    <w:p>
      <w:pPr>
        <w:pStyle w:val="BodyText"/>
        <w:spacing w:before="0"/>
        <w:rPr>
          <w:rFonts w:ascii="Arial"/>
          <w:sz w:val="18"/>
        </w:rPr>
      </w:pPr>
    </w:p>
    <w:p>
      <w:pPr>
        <w:pStyle w:val="BodyText"/>
        <w:spacing w:before="11"/>
        <w:rPr>
          <w:rFonts w:ascii="Arial"/>
        </w:rPr>
      </w:pPr>
    </w:p>
    <w:p>
      <w:pPr>
        <w:spacing w:before="0"/>
        <w:ind w:left="150" w:right="0" w:firstLine="0"/>
        <w:jc w:val="left"/>
        <w:rPr>
          <w:rFonts w:ascii="Arial"/>
          <w:sz w:val="12"/>
        </w:rPr>
      </w:pPr>
      <w:r>
        <w:rPr>
          <w:rFonts w:ascii="Arial"/>
          <w:w w:val="95"/>
          <w:sz w:val="12"/>
        </w:rPr>
        <w:t>128</w:t>
      </w:r>
    </w:p>
    <w:p>
      <w:pPr>
        <w:pStyle w:val="BodyText"/>
        <w:spacing w:before="0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pStyle w:val="BodyText"/>
        <w:spacing w:before="11"/>
        <w:rPr>
          <w:rFonts w:ascii="Arial"/>
          <w:sz w:val="32"/>
        </w:rPr>
      </w:pPr>
    </w:p>
    <w:p>
      <w:pPr>
        <w:pStyle w:val="Heading1"/>
      </w:pPr>
      <w:bookmarkStart w:name="Subjective ratings" w:id="12"/>
      <w:bookmarkEnd w:id="12"/>
      <w:r>
        <w:rPr>
          <w:b w:val="0"/>
        </w:rPr>
      </w:r>
      <w:r>
        <w:rPr>
          <w:w w:val="115"/>
        </w:rPr>
        <w:t>Subjective ratings</w:t>
      </w:r>
    </w:p>
    <w:p>
      <w:pPr>
        <w:spacing w:before="137"/>
        <w:ind w:left="150" w:right="0" w:firstLine="0"/>
        <w:jc w:val="left"/>
        <w:rPr>
          <w:b/>
          <w:sz w:val="24"/>
        </w:rPr>
      </w:pPr>
      <w:r>
        <w:rPr/>
        <w:br w:type="column"/>
      </w:r>
      <w:bookmarkStart w:name="Results" w:id="13"/>
      <w:bookmarkEnd w:id="13"/>
      <w:r>
        <w:rPr/>
      </w:r>
      <w:r>
        <w:rPr>
          <w:b/>
          <w:w w:val="115"/>
          <w:sz w:val="24"/>
        </w:rPr>
        <w:t>Results</w:t>
      </w:r>
    </w:p>
    <w:p>
      <w:pPr>
        <w:spacing w:after="0"/>
        <w:jc w:val="left"/>
        <w:rPr>
          <w:sz w:val="24"/>
        </w:rPr>
        <w:sectPr>
          <w:pgSz w:w="12240" w:h="15840"/>
          <w:pgMar w:header="649" w:footer="0" w:top="1380" w:bottom="280" w:left="900" w:right="1240"/>
          <w:cols w:num="3" w:equalWidth="0">
            <w:col w:w="341" w:space="49"/>
            <w:col w:w="2307" w:space="1941"/>
            <w:col w:w="5462"/>
          </w:cols>
        </w:sect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tabs>
          <w:tab w:pos="1115" w:val="left" w:leader="none"/>
        </w:tabs>
        <w:spacing w:before="146"/>
        <w:ind w:left="150"/>
      </w:pPr>
      <w:r>
        <w:rPr>
          <w:rFonts w:ascii="Arial" w:hAnsi="Arial"/>
          <w:w w:val="105"/>
          <w:sz w:val="12"/>
        </w:rPr>
        <w:t>129</w:t>
        <w:tab/>
      </w:r>
      <w:r>
        <w:rPr>
          <w:spacing w:val="-3"/>
          <w:w w:val="105"/>
        </w:rPr>
        <w:t>Friedman’s </w:t>
      </w:r>
      <w:r>
        <w:rPr>
          <w:w w:val="105"/>
        </w:rPr>
        <w:t>test results </w:t>
      </w:r>
      <w:r>
        <w:rPr>
          <w:spacing w:val="-3"/>
          <w:w w:val="105"/>
        </w:rPr>
        <w:t>showed </w:t>
      </w:r>
      <w:r>
        <w:rPr>
          <w:w w:val="105"/>
        </w:rPr>
        <w:t>significantly different distributions across the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</w:p>
    <w:p>
      <w:pPr>
        <w:pStyle w:val="BodyText"/>
        <w:spacing w:before="201"/>
        <w:ind w:left="150"/>
      </w:pPr>
      <w:r>
        <w:rPr>
          <w:rFonts w:ascii="Arial" w:hAnsi="Arial"/>
          <w:w w:val="105"/>
          <w:sz w:val="12"/>
        </w:rPr>
        <w:t>130 </w:t>
      </w:r>
      <w:r>
        <w:rPr>
          <w:rFonts w:ascii="Arial" w:hAnsi="Arial"/>
          <w:i/>
          <w:w w:val="105"/>
        </w:rPr>
        <w:t>χ</w:t>
      </w:r>
      <w:r>
        <w:rPr>
          <w:rFonts w:ascii="Arial" w:hAnsi="Arial"/>
          <w:w w:val="105"/>
          <w:vertAlign w:val="superscript"/>
        </w:rPr>
        <w:t>2</w:t>
      </w:r>
      <w:r>
        <w:rPr>
          <w:w w:val="105"/>
          <w:vertAlign w:val="baseline"/>
        </w:rPr>
        <w:t>(3.00) = 27.41, p &lt; .001. Follow up Wilcoxon signed rank tests revealed that surprise is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131 </w:t>
      </w:r>
      <w:r>
        <w:rPr>
          <w:w w:val="105"/>
        </w:rPr>
        <w:t>rated as more negative when holding emotional content in working memory compared to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132 </w:t>
      </w:r>
      <w:r>
        <w:rPr>
          <w:w w:val="105"/>
        </w:rPr>
        <w:t>neutral content. Low emotional load ratings were significantly more negative than low, Z =</w:t>
      </w:r>
    </w:p>
    <w:p>
      <w:pPr>
        <w:pStyle w:val="BodyText"/>
        <w:ind w:left="150"/>
      </w:pPr>
      <w:r>
        <w:rPr>
          <w:rFonts w:ascii="Arial"/>
          <w:w w:val="110"/>
          <w:sz w:val="12"/>
        </w:rPr>
        <w:t>133 </w:t>
      </w:r>
      <w:r>
        <w:rPr>
          <w:w w:val="110"/>
        </w:rPr>
        <w:t>3.31, p = .001, neutral and high, Z = 3.62, p &lt; .001, neutral loads. The same was true for</w:t>
      </w:r>
    </w:p>
    <w:p>
      <w:pPr>
        <w:pStyle w:val="BodyText"/>
        <w:spacing w:before="203"/>
        <w:ind w:left="150"/>
      </w:pPr>
      <w:r>
        <w:rPr>
          <w:rFonts w:ascii="Arial"/>
          <w:w w:val="110"/>
          <w:sz w:val="12"/>
        </w:rPr>
        <w:t>134 </w:t>
      </w:r>
      <w:r>
        <w:rPr>
          <w:w w:val="110"/>
        </w:rPr>
        <w:t>high emotional load ratings and low, Z = 4.52, p &lt; .001, and high, Z = 3.72, p &lt; .001,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135 </w:t>
      </w:r>
      <w:r>
        <w:rPr>
          <w:w w:val="105"/>
        </w:rPr>
        <w:t>neutral loads. </w:t>
      </w:r>
      <w:r>
        <w:rPr>
          <w:spacing w:val="-3"/>
          <w:w w:val="105"/>
        </w:rPr>
        <w:t>However, </w:t>
      </w:r>
      <w:r>
        <w:rPr>
          <w:w w:val="105"/>
        </w:rPr>
        <w:t>there </w:t>
      </w:r>
      <w:r>
        <w:rPr>
          <w:spacing w:val="-3"/>
          <w:w w:val="105"/>
        </w:rPr>
        <w:t>was </w:t>
      </w:r>
      <w:r>
        <w:rPr>
          <w:w w:val="105"/>
        </w:rPr>
        <w:t>no discernable effect of load. That is, the</w:t>
      </w:r>
      <w:r>
        <w:rPr>
          <w:spacing w:val="51"/>
          <w:w w:val="105"/>
        </w:rPr>
        <w:t> </w:t>
      </w:r>
      <w:r>
        <w:rPr>
          <w:w w:val="105"/>
        </w:rPr>
        <w:t>comparisons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136 </w:t>
      </w:r>
      <w:r>
        <w:rPr>
          <w:w w:val="105"/>
        </w:rPr>
        <w:t>between low and high load ratings for both emotional, Z = -1.10, p = .273, and neutral, Z =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137 </w:t>
      </w:r>
      <w:r>
        <w:rPr>
          <w:w w:val="105"/>
        </w:rPr>
        <w:t>-0.03, p = .975, load ratings were not significantly different.</w:t>
      </w:r>
    </w:p>
    <w:p>
      <w:pPr>
        <w:pStyle w:val="BodyText"/>
        <w:spacing w:before="1"/>
        <w:rPr>
          <w:sz w:val="27"/>
        </w:rPr>
      </w:pPr>
    </w:p>
    <w:p>
      <w:pPr>
        <w:spacing w:before="148"/>
        <w:ind w:left="150" w:right="0" w:firstLine="0"/>
        <w:jc w:val="left"/>
        <w:rPr>
          <w:b/>
          <w:sz w:val="24"/>
        </w:rPr>
      </w:pPr>
      <w:r>
        <w:rPr>
          <w:rFonts w:ascii="Arial"/>
          <w:w w:val="110"/>
          <w:sz w:val="12"/>
        </w:rPr>
        <w:t>138</w:t>
      </w:r>
      <w:bookmarkStart w:name="Reaction times" w:id="14"/>
      <w:bookmarkEnd w:id="14"/>
      <w:r>
        <w:rPr>
          <w:rFonts w:ascii="Arial"/>
          <w:w w:val="110"/>
          <w:sz w:val="12"/>
        </w:rPr>
      </w:r>
      <w:r>
        <w:rPr>
          <w:rFonts w:ascii="Arial"/>
          <w:w w:val="110"/>
          <w:sz w:val="12"/>
        </w:rPr>
        <w:t> </w:t>
      </w:r>
      <w:r>
        <w:rPr>
          <w:b/>
          <w:w w:val="110"/>
          <w:sz w:val="24"/>
        </w:rPr>
        <w:t>Reaction times</w:t>
      </w:r>
    </w:p>
    <w:p>
      <w:pPr>
        <w:pStyle w:val="BodyText"/>
        <w:spacing w:before="0"/>
        <w:rPr>
          <w:b/>
          <w:sz w:val="31"/>
        </w:rPr>
      </w:pPr>
    </w:p>
    <w:p>
      <w:pPr>
        <w:pStyle w:val="BodyText"/>
        <w:tabs>
          <w:tab w:pos="1115" w:val="left" w:leader="none"/>
        </w:tabs>
        <w:spacing w:before="0"/>
        <w:ind w:left="150"/>
      </w:pPr>
      <w:r>
        <w:rPr>
          <w:rFonts w:ascii="Arial"/>
          <w:w w:val="105"/>
          <w:sz w:val="12"/>
        </w:rPr>
        <w:t>139</w:t>
        <w:tab/>
      </w:r>
      <w:r>
        <w:rPr>
          <w:spacing w:val="-10"/>
          <w:w w:val="105"/>
        </w:rPr>
        <w:t>RT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trials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emotional</w:t>
      </w:r>
      <w:r>
        <w:rPr>
          <w:spacing w:val="17"/>
          <w:w w:val="105"/>
        </w:rPr>
        <w:t> </w:t>
      </w:r>
      <w:r>
        <w:rPr>
          <w:w w:val="105"/>
        </w:rPr>
        <w:t>working</w:t>
      </w:r>
      <w:r>
        <w:rPr>
          <w:spacing w:val="16"/>
          <w:w w:val="105"/>
        </w:rPr>
        <w:t> </w:t>
      </w:r>
      <w:r>
        <w:rPr>
          <w:w w:val="105"/>
        </w:rPr>
        <w:t>memory</w:t>
      </w:r>
      <w:r>
        <w:rPr>
          <w:spacing w:val="17"/>
          <w:w w:val="105"/>
        </w:rPr>
        <w:t> </w:t>
      </w:r>
      <w:r>
        <w:rPr>
          <w:w w:val="105"/>
        </w:rPr>
        <w:t>load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longer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neutral</w:t>
      </w:r>
      <w:r>
        <w:rPr>
          <w:spacing w:val="16"/>
          <w:w w:val="105"/>
        </w:rPr>
        <w:t> </w:t>
      </w:r>
      <w:r>
        <w:rPr>
          <w:w w:val="105"/>
        </w:rPr>
        <w:t>trials,</w:t>
      </w:r>
    </w:p>
    <w:p>
      <w:pPr>
        <w:pStyle w:val="BodyText"/>
        <w:ind w:left="150"/>
      </w:pPr>
      <w:r>
        <w:rPr>
          <w:rFonts w:ascii="Arial"/>
          <w:w w:val="110"/>
          <w:sz w:val="12"/>
        </w:rPr>
        <w:t>140 </w:t>
      </w:r>
      <w:r>
        <w:rPr>
          <w:w w:val="110"/>
        </w:rPr>
        <w:t>F(1,48)= 3.966, p = .052.</w:t>
      </w:r>
    </w:p>
    <w:p>
      <w:pPr>
        <w:pStyle w:val="BodyText"/>
        <w:spacing w:before="1"/>
        <w:rPr>
          <w:sz w:val="27"/>
        </w:rPr>
      </w:pPr>
    </w:p>
    <w:p>
      <w:pPr>
        <w:tabs>
          <w:tab w:pos="4606" w:val="left" w:leader="none"/>
        </w:tabs>
        <w:spacing w:before="148"/>
        <w:ind w:left="150" w:right="0" w:firstLine="0"/>
        <w:jc w:val="left"/>
        <w:rPr>
          <w:b/>
          <w:sz w:val="24"/>
        </w:rPr>
      </w:pPr>
      <w:r>
        <w:rPr>
          <w:rFonts w:ascii="Arial"/>
          <w:w w:val="110"/>
          <w:sz w:val="12"/>
        </w:rPr>
        <w:t>141</w:t>
        <w:tab/>
      </w:r>
      <w:bookmarkStart w:name="Discussion" w:id="15"/>
      <w:bookmarkEnd w:id="15"/>
      <w:r>
        <w:rPr>
          <w:rFonts w:ascii="Arial"/>
          <w:w w:val="110"/>
          <w:sz w:val="12"/>
        </w:rPr>
      </w:r>
      <w:r>
        <w:rPr>
          <w:b/>
          <w:w w:val="110"/>
          <w:sz w:val="24"/>
        </w:rPr>
        <w:t>Discussion</w:t>
      </w:r>
    </w:p>
    <w:p>
      <w:pPr>
        <w:pStyle w:val="BodyText"/>
        <w:spacing w:before="0"/>
        <w:rPr>
          <w:b/>
          <w:sz w:val="31"/>
        </w:rPr>
      </w:pPr>
    </w:p>
    <w:p>
      <w:pPr>
        <w:pStyle w:val="BodyText"/>
        <w:tabs>
          <w:tab w:pos="1115" w:val="left" w:leader="none"/>
        </w:tabs>
        <w:spacing w:before="0"/>
        <w:ind w:left="150"/>
      </w:pPr>
      <w:r>
        <w:rPr>
          <w:rFonts w:ascii="Arial"/>
          <w:w w:val="105"/>
          <w:sz w:val="12"/>
        </w:rPr>
        <w:t>142</w:t>
        <w:tab/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effect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high</w:t>
      </w:r>
      <w:r>
        <w:rPr>
          <w:spacing w:val="15"/>
          <w:w w:val="105"/>
        </w:rPr>
        <w:t> </w:t>
      </w:r>
      <w:r>
        <w:rPr>
          <w:w w:val="105"/>
        </w:rPr>
        <w:t>vs.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low</w:t>
      </w:r>
      <w:r>
        <w:rPr>
          <w:spacing w:val="16"/>
          <w:w w:val="105"/>
        </w:rPr>
        <w:t> </w:t>
      </w:r>
      <w:r>
        <w:rPr>
          <w:w w:val="105"/>
        </w:rPr>
        <w:t>load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still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apparent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data,</w:t>
      </w:r>
      <w:r>
        <w:rPr>
          <w:spacing w:val="15"/>
          <w:w w:val="105"/>
        </w:rPr>
        <w:t> </w:t>
      </w:r>
      <w:r>
        <w:rPr>
          <w:w w:val="105"/>
        </w:rPr>
        <w:t>just</w:t>
      </w:r>
      <w:r>
        <w:rPr>
          <w:spacing w:val="16"/>
          <w:w w:val="105"/>
        </w:rPr>
        <w:t> </w:t>
      </w:r>
      <w:r>
        <w:rPr>
          <w:w w:val="105"/>
        </w:rPr>
        <w:t>like</w:t>
      </w:r>
      <w:r>
        <w:rPr>
          <w:spacing w:val="16"/>
          <w:w w:val="105"/>
        </w:rPr>
        <w:t> </w:t>
      </w:r>
      <w:r>
        <w:rPr>
          <w:w w:val="105"/>
        </w:rPr>
        <w:t>Mattek</w:t>
      </w:r>
      <w:r>
        <w:rPr>
          <w:spacing w:val="16"/>
          <w:w w:val="105"/>
        </w:rPr>
        <w:t> </w:t>
      </w:r>
      <w:r>
        <w:rPr>
          <w:w w:val="105"/>
        </w:rPr>
        <w:t>et</w:t>
      </w:r>
    </w:p>
    <w:p>
      <w:pPr>
        <w:pStyle w:val="BodyText"/>
        <w:spacing w:before="203"/>
        <w:ind w:left="150"/>
      </w:pPr>
      <w:r>
        <w:rPr>
          <w:rFonts w:ascii="Arial"/>
          <w:w w:val="105"/>
          <w:sz w:val="12"/>
        </w:rPr>
        <w:t>143 </w:t>
      </w:r>
      <w:r>
        <w:rPr>
          <w:w w:val="105"/>
        </w:rPr>
        <w:t>al. 2016. An alternative explanation is that the high load manipulation is not sufficiently</w:t>
      </w:r>
    </w:p>
    <w:p>
      <w:pPr>
        <w:pStyle w:val="BodyText"/>
        <w:ind w:left="150"/>
      </w:pPr>
      <w:r>
        <w:rPr>
          <w:rFonts w:ascii="Arial"/>
          <w:w w:val="105"/>
          <w:sz w:val="12"/>
        </w:rPr>
        <w:t>144 </w:t>
      </w:r>
      <w:r>
        <w:rPr>
          <w:w w:val="105"/>
        </w:rPr>
        <w:t>difficult to recruit the targeted cognitive resources; however, future work will be needed to</w:t>
      </w:r>
    </w:p>
    <w:p>
      <w:pPr>
        <w:pStyle w:val="BodyText"/>
        <w:ind w:left="150"/>
      </w:pPr>
      <w:r>
        <w:rPr>
          <w:rFonts w:ascii="Arial"/>
          <w:w w:val="110"/>
          <w:sz w:val="12"/>
        </w:rPr>
        <w:t>145 </w:t>
      </w:r>
      <w:r>
        <w:rPr>
          <w:w w:val="110"/>
        </w:rPr>
        <w:t>better test this alternative.</w:t>
      </w:r>
    </w:p>
    <w:p>
      <w:pPr>
        <w:spacing w:after="0"/>
        <w:sectPr>
          <w:type w:val="continuous"/>
          <w:pgSz w:w="12240" w:h="15840"/>
          <w:pgMar w:top="1380" w:bottom="280" w:left="900" w:right="1240"/>
        </w:sectPr>
      </w:pP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9542"/>
      </w:tblGrid>
      <w:tr>
        <w:trPr>
          <w:trHeight w:val="521" w:hRule="atLeast"/>
        </w:trPr>
        <w:tc>
          <w:tcPr>
            <w:tcW w:w="340" w:type="dxa"/>
          </w:tcPr>
          <w:p>
            <w:pPr>
              <w:pStyle w:val="TableParagraph"/>
              <w:spacing w:before="159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146</w:t>
            </w:r>
          </w:p>
        </w:tc>
        <w:tc>
          <w:tcPr>
            <w:tcW w:w="9542" w:type="dxa"/>
          </w:tcPr>
          <w:p>
            <w:pPr>
              <w:pStyle w:val="TableParagraph"/>
              <w:spacing w:before="47"/>
              <w:ind w:left="4143" w:right="4126"/>
              <w:jc w:val="center"/>
              <w:rPr>
                <w:b/>
                <w:sz w:val="24"/>
              </w:rPr>
            </w:pPr>
            <w:bookmarkStart w:name="References" w:id="16"/>
            <w:bookmarkEnd w:id="16"/>
            <w:r>
              <w:rPr/>
            </w:r>
            <w:r>
              <w:rPr>
                <w:b/>
                <w:w w:val="110"/>
                <w:sz w:val="24"/>
              </w:rPr>
              <w:t>References</w:t>
            </w:r>
          </w:p>
        </w:tc>
      </w:tr>
      <w:tr>
        <w:trPr>
          <w:trHeight w:val="588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147</w:t>
            </w:r>
          </w:p>
        </w:tc>
        <w:tc>
          <w:tcPr>
            <w:tcW w:w="9542" w:type="dxa"/>
          </w:tcPr>
          <w:p>
            <w:pPr>
              <w:pStyle w:val="TableParagraph"/>
              <w:spacing w:before="226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Brown, C. C., Raio, C. M., &amp; Neta, M. (2017). Cortisol responses enhance negative valence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148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w w:val="105"/>
                <w:sz w:val="24"/>
              </w:rPr>
              <w:t>perception for ambiguous facial expressions. </w:t>
            </w:r>
            <w:r>
              <w:rPr>
                <w:i/>
                <w:w w:val="105"/>
                <w:sz w:val="24"/>
              </w:rPr>
              <w:t>Scientific Reports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7 </w:t>
            </w:r>
            <w:r>
              <w:rPr>
                <w:w w:val="105"/>
                <w:sz w:val="24"/>
              </w:rPr>
              <w:t>(1), 15107.</w:t>
            </w:r>
          </w:p>
        </w:tc>
      </w:tr>
      <w:tr>
        <w:trPr>
          <w:trHeight w:val="618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149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5"/>
              <w:ind w:left="819"/>
              <w:rPr>
                <w:sz w:val="24"/>
              </w:rPr>
            </w:pPr>
            <w:hyperlink r:id="rId8">
              <w:r>
                <w:rPr>
                  <w:sz w:val="24"/>
                </w:rPr>
                <w:t>doi:10.1038/s41598-017-14846-3</w:t>
              </w:r>
            </w:hyperlink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150</w:t>
            </w:r>
          </w:p>
        </w:tc>
        <w:tc>
          <w:tcPr>
            <w:tcW w:w="9542" w:type="dxa"/>
          </w:tcPr>
          <w:p>
            <w:pPr>
              <w:pStyle w:val="TableParagraph"/>
              <w:spacing w:before="257"/>
              <w:ind w:left="99"/>
              <w:rPr>
                <w:sz w:val="24"/>
              </w:rPr>
            </w:pPr>
            <w:r>
              <w:rPr>
                <w:sz w:val="24"/>
              </w:rPr>
              <w:t>Egner, T., Etkin, A., Gale, S., &amp; Hirsch, J. (2008). Dissociable neural systems resolve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151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right="49"/>
              <w:jc w:val="right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conflict from emotional versus nonemotional distracters. </w:t>
            </w:r>
            <w:r>
              <w:rPr>
                <w:i/>
                <w:w w:val="105"/>
                <w:sz w:val="24"/>
              </w:rPr>
              <w:t>Cerebral Cortex (New York,</w:t>
            </w:r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152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5"/>
              <w:ind w:left="80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N.Y.: 1991)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18 </w:t>
            </w:r>
            <w:r>
              <w:rPr>
                <w:w w:val="105"/>
                <w:sz w:val="24"/>
              </w:rPr>
              <w:t>(6), 1475–1484. </w:t>
            </w:r>
            <w:hyperlink r:id="rId9">
              <w:r>
                <w:rPr>
                  <w:w w:val="105"/>
                  <w:sz w:val="24"/>
                </w:rPr>
                <w:t>doi:10.1093/cercor/bhm179</w:t>
              </w:r>
            </w:hyperlink>
          </w:p>
        </w:tc>
      </w:tr>
      <w:tr>
        <w:trPr>
          <w:trHeight w:val="618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1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153</w:t>
            </w:r>
          </w:p>
        </w:tc>
        <w:tc>
          <w:tcPr>
            <w:tcW w:w="9542" w:type="dxa"/>
          </w:tcPr>
          <w:p>
            <w:pPr>
              <w:pStyle w:val="TableParagraph"/>
              <w:spacing w:before="256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Freeman, J. B., &amp; Ambady, N. (2010). MouseTracker: Software for studying real-time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154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left="819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mental processing using a computer mouse-tracking method. </w:t>
            </w:r>
            <w:r>
              <w:rPr>
                <w:i/>
                <w:w w:val="105"/>
                <w:sz w:val="24"/>
              </w:rPr>
              <w:t>Behavior</w:t>
            </w:r>
            <w:r>
              <w:rPr>
                <w:i/>
                <w:spacing w:val="61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Research</w:t>
            </w:r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155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5"/>
              <w:ind w:left="805"/>
              <w:rPr>
                <w:sz w:val="24"/>
              </w:rPr>
            </w:pPr>
            <w:r>
              <w:rPr>
                <w:i/>
                <w:sz w:val="24"/>
              </w:rPr>
              <w:t>Methods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42 </w:t>
            </w:r>
            <w:r>
              <w:rPr>
                <w:sz w:val="24"/>
              </w:rPr>
              <w:t>(1), 226–241.</w:t>
            </w:r>
            <w:r>
              <w:rPr>
                <w:spacing w:val="55"/>
                <w:sz w:val="24"/>
              </w:rPr>
              <w:t> </w:t>
            </w:r>
            <w:hyperlink r:id="rId10">
              <w:r>
                <w:rPr>
                  <w:sz w:val="24"/>
                </w:rPr>
                <w:t>doi:10.3758/BRM.42.1.226</w:t>
              </w:r>
            </w:hyperlink>
          </w:p>
        </w:tc>
      </w:tr>
      <w:tr>
        <w:trPr>
          <w:trHeight w:val="618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1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156</w:t>
            </w:r>
          </w:p>
        </w:tc>
        <w:tc>
          <w:tcPr>
            <w:tcW w:w="9542" w:type="dxa"/>
          </w:tcPr>
          <w:p>
            <w:pPr>
              <w:pStyle w:val="TableParagraph"/>
              <w:spacing w:before="256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Lang, </w:t>
            </w:r>
            <w:r>
              <w:rPr>
                <w:spacing w:val="-7"/>
                <w:w w:val="105"/>
                <w:sz w:val="24"/>
              </w:rPr>
              <w:t>P., </w:t>
            </w:r>
            <w:r>
              <w:rPr>
                <w:spacing w:val="-3"/>
                <w:w w:val="105"/>
                <w:sz w:val="24"/>
              </w:rPr>
              <w:t>Bradley, </w:t>
            </w:r>
            <w:r>
              <w:rPr>
                <w:w w:val="105"/>
                <w:sz w:val="24"/>
              </w:rPr>
              <w:t>M. M., &amp; Cuthbert, B. N. (2008). International affective picture</w:t>
            </w:r>
            <w:r>
              <w:rPr>
                <w:spacing w:val="5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</w:p>
        </w:tc>
      </w:tr>
      <w:tr>
        <w:trPr>
          <w:trHeight w:val="478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157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right="6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(IAPS): Affective ratings of pictures and instruction manual., Technical Report A–8.</w:t>
            </w:r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158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w w:val="105"/>
                <w:sz w:val="24"/>
              </w:rPr>
              <w:t>University of Florida, Gainesville,</w:t>
            </w:r>
            <w:r>
              <w:rPr>
                <w:spacing w:val="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FL.</w:t>
            </w:r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159</w:t>
            </w:r>
          </w:p>
        </w:tc>
        <w:tc>
          <w:tcPr>
            <w:tcW w:w="9542" w:type="dxa"/>
          </w:tcPr>
          <w:p>
            <w:pPr>
              <w:pStyle w:val="TableParagraph"/>
              <w:spacing w:before="257"/>
              <w:ind w:left="99"/>
              <w:rPr>
                <w:sz w:val="24"/>
              </w:rPr>
            </w:pPr>
            <w:r>
              <w:rPr>
                <w:sz w:val="24"/>
              </w:rPr>
              <w:t>Lavie, N., Hirst, A., </w:t>
            </w:r>
            <w:r>
              <w:rPr>
                <w:spacing w:val="-4"/>
                <w:sz w:val="24"/>
              </w:rPr>
              <w:t>Fockert, </w:t>
            </w:r>
            <w:r>
              <w:rPr>
                <w:sz w:val="24"/>
              </w:rPr>
              <w:t>J. W. de, &amp; Viding, E. (2004).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Load theory of selective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160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attention and cognitive control. </w:t>
            </w:r>
            <w:r>
              <w:rPr>
                <w:i/>
                <w:sz w:val="24"/>
              </w:rPr>
              <w:t>Journal of Experimental Psychology: General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133 </w:t>
            </w:r>
            <w:r>
              <w:rPr>
                <w:sz w:val="24"/>
              </w:rPr>
              <w:t>(3),</w:t>
            </w:r>
          </w:p>
        </w:tc>
      </w:tr>
      <w:tr>
        <w:trPr>
          <w:trHeight w:val="618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161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5"/>
              <w:ind w:left="813"/>
              <w:rPr>
                <w:sz w:val="24"/>
              </w:rPr>
            </w:pPr>
            <w:r>
              <w:rPr>
                <w:sz w:val="24"/>
              </w:rPr>
              <w:t>339–354. </w:t>
            </w:r>
            <w:hyperlink r:id="rId11">
              <w:r>
                <w:rPr>
                  <w:sz w:val="24"/>
                </w:rPr>
                <w:t>doi:10.1037/0096-3445.133.3.339</w:t>
              </w:r>
            </w:hyperlink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162</w:t>
            </w:r>
          </w:p>
        </w:tc>
        <w:tc>
          <w:tcPr>
            <w:tcW w:w="9542" w:type="dxa"/>
          </w:tcPr>
          <w:p>
            <w:pPr>
              <w:pStyle w:val="TableParagraph"/>
              <w:spacing w:before="257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Lundqvist, D., Flykt, A., &amp; Öhman, A. (1998). The karolinska directed emotional</w:t>
            </w:r>
          </w:p>
        </w:tc>
      </w:tr>
      <w:tr>
        <w:trPr>
          <w:trHeight w:val="478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163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right="15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faces—KDEF (CD ROM)., Stockholm: Karolinska Institute, Departmentof Clinical</w:t>
            </w:r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164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sz w:val="24"/>
              </w:rPr>
              <w:t>Neuroscience, PsychologySection.</w:t>
            </w:r>
          </w:p>
        </w:tc>
      </w:tr>
      <w:tr>
        <w:trPr>
          <w:trHeight w:val="619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165</w:t>
            </w:r>
          </w:p>
        </w:tc>
        <w:tc>
          <w:tcPr>
            <w:tcW w:w="9542" w:type="dxa"/>
          </w:tcPr>
          <w:p>
            <w:pPr>
              <w:pStyle w:val="TableParagraph"/>
              <w:spacing w:before="257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Mattek, A. M., Whalen, P. J., Berkowitz, J. L., &amp; Freeman, J. B. (2016). Differential effects</w:t>
            </w:r>
          </w:p>
        </w:tc>
      </w:tr>
      <w:tr>
        <w:trPr>
          <w:trHeight w:val="478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166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of cognitive load on subjective versus motor responses to ambiguously valenced facial</w:t>
            </w:r>
          </w:p>
        </w:tc>
      </w:tr>
      <w:tr>
        <w:trPr>
          <w:trHeight w:val="620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167</w:t>
            </w:r>
          </w:p>
        </w:tc>
        <w:tc>
          <w:tcPr>
            <w:tcW w:w="9542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sz w:val="24"/>
              </w:rPr>
              <w:t>expressions. </w:t>
            </w:r>
            <w:r>
              <w:rPr>
                <w:i/>
                <w:sz w:val="24"/>
              </w:rPr>
              <w:t>Emotion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16 </w:t>
            </w:r>
            <w:r>
              <w:rPr>
                <w:sz w:val="24"/>
              </w:rPr>
              <w:t>(6), 929–936. </w:t>
            </w:r>
            <w:hyperlink r:id="rId12">
              <w:r>
                <w:rPr>
                  <w:sz w:val="24"/>
                </w:rPr>
                <w:t>doi:10.1037/emo0000148</w:t>
              </w:r>
            </w:hyperlink>
          </w:p>
        </w:tc>
      </w:tr>
      <w:tr>
        <w:trPr>
          <w:trHeight w:val="547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1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168</w:t>
            </w:r>
          </w:p>
        </w:tc>
        <w:tc>
          <w:tcPr>
            <w:tcW w:w="9542" w:type="dxa"/>
          </w:tcPr>
          <w:p>
            <w:pPr>
              <w:pStyle w:val="TableParagraph"/>
              <w:spacing w:line="271" w:lineRule="exact" w:before="256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Neta, M., Kelley, W. M., &amp; Whalen, P. J. (2013). Neural responses to ambiguity involve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40" w:h="15840"/>
          <w:pgMar w:header="649" w:footer="0" w:top="1380" w:bottom="280" w:left="900" w:right="1240"/>
        </w:sectPr>
      </w:pPr>
    </w:p>
    <w:p>
      <w:pPr>
        <w:pStyle w:val="BodyText"/>
        <w:spacing w:before="0"/>
        <w:rPr>
          <w:sz w:val="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9541"/>
      </w:tblGrid>
      <w:tr>
        <w:trPr>
          <w:trHeight w:val="408" w:hRule="atLeast"/>
        </w:trPr>
        <w:tc>
          <w:tcPr>
            <w:tcW w:w="340" w:type="dxa"/>
          </w:tcPr>
          <w:p>
            <w:pPr>
              <w:pStyle w:val="TableParagraph"/>
              <w:spacing w:before="157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169</w:t>
            </w:r>
          </w:p>
        </w:tc>
        <w:tc>
          <w:tcPr>
            <w:tcW w:w="9541" w:type="dxa"/>
          </w:tcPr>
          <w:p>
            <w:pPr>
              <w:pStyle w:val="TableParagraph"/>
              <w:spacing w:before="45"/>
              <w:ind w:right="78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domain-general and domain-specific emotion processing systems. </w:t>
            </w:r>
            <w:r>
              <w:rPr>
                <w:i/>
                <w:sz w:val="24"/>
              </w:rPr>
              <w:t>Journal of Cognitive</w:t>
            </w:r>
          </w:p>
        </w:tc>
      </w:tr>
      <w:tr>
        <w:trPr>
          <w:trHeight w:val="597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170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5"/>
              <w:ind w:left="80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Neuroscience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25 </w:t>
            </w:r>
            <w:r>
              <w:rPr>
                <w:w w:val="105"/>
                <w:sz w:val="24"/>
              </w:rPr>
              <w:t>(4), 547–557. </w:t>
            </w:r>
            <w:hyperlink r:id="rId13">
              <w:r>
                <w:rPr>
                  <w:w w:val="105"/>
                  <w:sz w:val="24"/>
                </w:rPr>
                <w:t>doi:10.1162/jocn_a_00363</w:t>
              </w:r>
            </w:hyperlink>
          </w:p>
        </w:tc>
      </w:tr>
      <w:tr>
        <w:trPr>
          <w:trHeight w:val="596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171</w:t>
            </w:r>
          </w:p>
        </w:tc>
        <w:tc>
          <w:tcPr>
            <w:tcW w:w="9541" w:type="dxa"/>
          </w:tcPr>
          <w:p>
            <w:pPr>
              <w:pStyle w:val="TableParagraph"/>
              <w:spacing w:before="234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Neta, M., Norris, C. J., &amp; Whalen, P. J. (2009). Corrugator muscle responses are associated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172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6"/>
              <w:ind w:right="47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with individual differences in positivity-negativity bias. </w:t>
            </w:r>
            <w:r>
              <w:rPr>
                <w:i/>
                <w:w w:val="105"/>
                <w:sz w:val="24"/>
              </w:rPr>
              <w:t>Emotion (Washington, D.C.)</w:t>
            </w:r>
            <w:r>
              <w:rPr>
                <w:w w:val="105"/>
                <w:sz w:val="24"/>
              </w:rPr>
              <w:t>,</w:t>
            </w:r>
          </w:p>
        </w:tc>
      </w:tr>
      <w:tr>
        <w:trPr>
          <w:trHeight w:val="597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173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5"/>
              <w:ind w:left="801"/>
              <w:rPr>
                <w:sz w:val="24"/>
              </w:rPr>
            </w:pPr>
            <w:r>
              <w:rPr>
                <w:i/>
                <w:sz w:val="24"/>
              </w:rPr>
              <w:t>9 </w:t>
            </w:r>
            <w:r>
              <w:rPr>
                <w:sz w:val="24"/>
              </w:rPr>
              <w:t>(5), 640–648. </w:t>
            </w:r>
            <w:hyperlink r:id="rId14">
              <w:r>
                <w:rPr>
                  <w:sz w:val="24"/>
                </w:rPr>
                <w:t>doi:10.1037/a0016819</w:t>
              </w:r>
            </w:hyperlink>
          </w:p>
        </w:tc>
      </w:tr>
      <w:tr>
        <w:trPr>
          <w:trHeight w:val="596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174</w:t>
            </w:r>
          </w:p>
        </w:tc>
        <w:tc>
          <w:tcPr>
            <w:tcW w:w="9541" w:type="dxa"/>
          </w:tcPr>
          <w:p>
            <w:pPr>
              <w:pStyle w:val="TableParagraph"/>
              <w:spacing w:before="234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Neta, M., &amp; Tong, T. T. (2016). Don’t like what you see? Give it time: Longer reaction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175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6"/>
              <w:ind w:right="8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times associated with increased positive affect. </w:t>
            </w:r>
            <w:r>
              <w:rPr>
                <w:i/>
                <w:w w:val="105"/>
                <w:sz w:val="24"/>
              </w:rPr>
              <w:t>Emotion (Washington, D.C.)</w:t>
            </w:r>
            <w:r>
              <w:rPr>
                <w:w w:val="105"/>
                <w:sz w:val="24"/>
              </w:rPr>
              <w:t>,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16 </w:t>
            </w:r>
            <w:r>
              <w:rPr>
                <w:w w:val="105"/>
                <w:sz w:val="24"/>
              </w:rPr>
              <w:t>(5),</w:t>
            </w:r>
          </w:p>
        </w:tc>
      </w:tr>
      <w:tr>
        <w:trPr>
          <w:trHeight w:val="596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176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5"/>
              <w:ind w:left="813"/>
              <w:rPr>
                <w:sz w:val="24"/>
              </w:rPr>
            </w:pPr>
            <w:r>
              <w:rPr>
                <w:sz w:val="24"/>
              </w:rPr>
              <w:t>730–739. </w:t>
            </w:r>
            <w:hyperlink r:id="rId15">
              <w:r>
                <w:rPr>
                  <w:sz w:val="24"/>
                </w:rPr>
                <w:t>doi:10.1037/emo0000181</w:t>
              </w:r>
            </w:hyperlink>
          </w:p>
        </w:tc>
      </w:tr>
      <w:tr>
        <w:trPr>
          <w:trHeight w:val="597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0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177</w:t>
            </w:r>
          </w:p>
        </w:tc>
        <w:tc>
          <w:tcPr>
            <w:tcW w:w="9541" w:type="dxa"/>
          </w:tcPr>
          <w:p>
            <w:pPr>
              <w:pStyle w:val="TableParagraph"/>
              <w:spacing w:before="236"/>
              <w:ind w:left="99"/>
              <w:rPr>
                <w:sz w:val="24"/>
              </w:rPr>
            </w:pPr>
            <w:r>
              <w:rPr>
                <w:w w:val="105"/>
                <w:sz w:val="24"/>
              </w:rPr>
              <w:t>Stolier, R. M., Hehman, E., &amp; Freeman, J. B. (2018). A dynamic structure of social trait</w:t>
            </w:r>
          </w:p>
        </w:tc>
      </w:tr>
      <w:tr>
        <w:trPr>
          <w:trHeight w:val="598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178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w w:val="105"/>
                <w:sz w:val="24"/>
              </w:rPr>
              <w:t>space. </w:t>
            </w:r>
            <w:r>
              <w:rPr>
                <w:i/>
                <w:w w:val="105"/>
                <w:sz w:val="24"/>
              </w:rPr>
              <w:t>Trends in Cognitive Sciences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22 </w:t>
            </w:r>
            <w:r>
              <w:rPr>
                <w:w w:val="105"/>
                <w:sz w:val="24"/>
              </w:rPr>
              <w:t>(3), 197–200. </w:t>
            </w:r>
            <w:hyperlink r:id="rId16">
              <w:r>
                <w:rPr>
                  <w:w w:val="105"/>
                  <w:sz w:val="24"/>
                </w:rPr>
                <w:t>doi:10.1016/j.tics.2017.12.003</w:t>
              </w:r>
            </w:hyperlink>
          </w:p>
        </w:tc>
      </w:tr>
      <w:tr>
        <w:trPr>
          <w:trHeight w:val="596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179</w:t>
            </w:r>
          </w:p>
        </w:tc>
        <w:tc>
          <w:tcPr>
            <w:tcW w:w="9541" w:type="dxa"/>
          </w:tcPr>
          <w:p>
            <w:pPr>
              <w:pStyle w:val="TableParagraph"/>
              <w:spacing w:before="234"/>
              <w:ind w:left="99"/>
              <w:rPr>
                <w:sz w:val="24"/>
              </w:rPr>
            </w:pPr>
            <w:r>
              <w:rPr>
                <w:w w:val="110"/>
                <w:sz w:val="24"/>
              </w:rPr>
              <w:t>Sweller, J., Merrienboer, J. J. G. van, &amp; Paas, F. G. W. C. (1998). Cognitive architecture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180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w w:val="105"/>
                <w:sz w:val="24"/>
              </w:rPr>
              <w:t>and instructional design. </w:t>
            </w:r>
            <w:r>
              <w:rPr>
                <w:i/>
                <w:w w:val="105"/>
                <w:sz w:val="24"/>
              </w:rPr>
              <w:t>Educational Psychology Review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10 </w:t>
            </w:r>
            <w:r>
              <w:rPr>
                <w:w w:val="105"/>
                <w:sz w:val="24"/>
              </w:rPr>
              <w:t>(3), 251–296.</w:t>
            </w:r>
          </w:p>
        </w:tc>
      </w:tr>
      <w:tr>
        <w:trPr>
          <w:trHeight w:val="596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181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5"/>
              <w:ind w:left="819"/>
              <w:rPr>
                <w:sz w:val="24"/>
              </w:rPr>
            </w:pPr>
            <w:r>
              <w:rPr>
                <w:sz w:val="24"/>
              </w:rPr>
              <w:t>doi:10.1023/A:1022193728205</w:t>
            </w:r>
          </w:p>
        </w:tc>
      </w:tr>
      <w:tr>
        <w:trPr>
          <w:trHeight w:val="597" w:hRule="atLeast"/>
        </w:trPr>
        <w:tc>
          <w:tcPr>
            <w:tcW w:w="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0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182</w:t>
            </w:r>
          </w:p>
        </w:tc>
        <w:tc>
          <w:tcPr>
            <w:tcW w:w="9541" w:type="dxa"/>
          </w:tcPr>
          <w:p>
            <w:pPr>
              <w:pStyle w:val="TableParagraph"/>
              <w:spacing w:before="236"/>
              <w:ind w:left="99"/>
              <w:rPr>
                <w:sz w:val="24"/>
              </w:rPr>
            </w:pPr>
            <w:r>
              <w:rPr>
                <w:w w:val="110"/>
                <w:sz w:val="24"/>
              </w:rPr>
              <w:t>Tottenham, N., Tanaka, J. W., Leon, A. C., McCarry, T., Nurse, M., Hare, T. A., . . .</w:t>
            </w:r>
          </w:p>
        </w:tc>
      </w:tr>
      <w:tr>
        <w:trPr>
          <w:trHeight w:val="478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183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6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Nelson, C. (2009). The NimStim set of facial expressions: Judgments from untrained</w:t>
            </w:r>
          </w:p>
        </w:tc>
      </w:tr>
      <w:tr>
        <w:trPr>
          <w:trHeight w:val="479" w:hRule="atLeast"/>
        </w:trPr>
        <w:tc>
          <w:tcPr>
            <w:tcW w:w="34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184</w:t>
            </w:r>
          </w:p>
        </w:tc>
        <w:tc>
          <w:tcPr>
            <w:tcW w:w="9541" w:type="dxa"/>
          </w:tcPr>
          <w:p>
            <w:pPr>
              <w:pStyle w:val="TableParagraph"/>
              <w:spacing w:before="116"/>
              <w:ind w:left="819"/>
              <w:rPr>
                <w:sz w:val="24"/>
              </w:rPr>
            </w:pPr>
            <w:r>
              <w:rPr>
                <w:w w:val="105"/>
                <w:sz w:val="24"/>
              </w:rPr>
              <w:t>research participants. </w:t>
            </w:r>
            <w:r>
              <w:rPr>
                <w:i/>
                <w:w w:val="105"/>
                <w:sz w:val="24"/>
              </w:rPr>
              <w:t>Psychiatry Research</w:t>
            </w:r>
            <w:r>
              <w:rPr>
                <w:w w:val="105"/>
                <w:sz w:val="24"/>
              </w:rPr>
              <w:t>, </w:t>
            </w:r>
            <w:r>
              <w:rPr>
                <w:i/>
                <w:w w:val="105"/>
                <w:sz w:val="24"/>
              </w:rPr>
              <w:t>168 </w:t>
            </w:r>
            <w:r>
              <w:rPr>
                <w:w w:val="105"/>
                <w:sz w:val="24"/>
              </w:rPr>
              <w:t>(3), 242–249.</w:t>
            </w:r>
          </w:p>
        </w:tc>
      </w:tr>
      <w:tr>
        <w:trPr>
          <w:trHeight w:val="406" w:hRule="atLeast"/>
        </w:trPr>
        <w:tc>
          <w:tcPr>
            <w:tcW w:w="34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185</w:t>
            </w:r>
          </w:p>
        </w:tc>
        <w:tc>
          <w:tcPr>
            <w:tcW w:w="9541" w:type="dxa"/>
          </w:tcPr>
          <w:p>
            <w:pPr>
              <w:pStyle w:val="TableParagraph"/>
              <w:spacing w:line="271" w:lineRule="exact" w:before="115"/>
              <w:ind w:left="819"/>
              <w:rPr>
                <w:sz w:val="24"/>
              </w:rPr>
            </w:pPr>
            <w:hyperlink r:id="rId17">
              <w:r>
                <w:rPr>
                  <w:sz w:val="24"/>
                </w:rPr>
                <w:t>doi:10.1016/j.psychres.2008.05.006</w:t>
              </w:r>
            </w:hyperlink>
          </w:p>
        </w:tc>
      </w:tr>
    </w:tbl>
    <w:sectPr>
      <w:pgSz w:w="12240" w:h="15840"/>
      <w:pgMar w:header="649" w:footer="0" w:top="1380" w:bottom="280" w:left="9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470.1pt;height:18.850pt;mso-position-horizontal-relative:page;mso-position-vertical-relative:page;z-index:-1547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r>
                  <w:rPr>
                    <w:w w:val="105"/>
                  </w:rPr>
                  <w:t>Running head: EMOTIONAL WORKING </w:t>
                </w:r>
                <w:r>
                  <w:rPr>
                    <w:spacing w:val="-4"/>
                    <w:w w:val="105"/>
                  </w:rPr>
                  <w:t>MEMORY </w:t>
                </w:r>
                <w:r>
                  <w:rPr>
                    <w:w w:val="105"/>
                  </w:rPr>
                  <w:t>AND SURPRISED </w:t>
                </w:r>
                <w:r>
                  <w:rPr>
                    <w:spacing w:val="-8"/>
                    <w:w w:val="105"/>
                  </w:rPr>
                  <w:t>EXPRESSIONS1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71pt;margin-top:31.474489pt;width:389.15pt;height:18.850pt;mso-position-horizontal-relative:page;mso-position-vertical-relative:page;z-index:-15448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r>
                  <w:rPr>
                    <w:w w:val="105"/>
                  </w:rPr>
                  <w:t>EMOTIONAL WORKING MEMORY AND SURPRISED EXPRESSIONS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195251pt;margin-top:31.474489pt;width:9.9pt;height:18.850pt;mso-position-horizontal-relative:page;mso-position-vertical-relative:page;z-index:-15424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4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02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nharp@huskers.unl.edu" TargetMode="External"/><Relationship Id="rId7" Type="http://schemas.openxmlformats.org/officeDocument/2006/relationships/header" Target="header2.xml"/><Relationship Id="rId8" Type="http://schemas.openxmlformats.org/officeDocument/2006/relationships/hyperlink" Target="https://doi.org/10.1038/s41598-017-14846-3" TargetMode="External"/><Relationship Id="rId9" Type="http://schemas.openxmlformats.org/officeDocument/2006/relationships/hyperlink" Target="https://doi.org/10.1093/cercor/bhm179" TargetMode="External"/><Relationship Id="rId10" Type="http://schemas.openxmlformats.org/officeDocument/2006/relationships/hyperlink" Target="https://doi.org/10.3758/BRM.42.1.226" TargetMode="External"/><Relationship Id="rId11" Type="http://schemas.openxmlformats.org/officeDocument/2006/relationships/hyperlink" Target="https://doi.org/10.1037/0096-3445.133.3.339" TargetMode="External"/><Relationship Id="rId12" Type="http://schemas.openxmlformats.org/officeDocument/2006/relationships/hyperlink" Target="https://doi.org/10.1037/emo0000148" TargetMode="External"/><Relationship Id="rId13" Type="http://schemas.openxmlformats.org/officeDocument/2006/relationships/hyperlink" Target="https://doi.org/10.1162/jocn_a_00363" TargetMode="External"/><Relationship Id="rId14" Type="http://schemas.openxmlformats.org/officeDocument/2006/relationships/hyperlink" Target="https://doi.org/10.1037/a0016819" TargetMode="External"/><Relationship Id="rId15" Type="http://schemas.openxmlformats.org/officeDocument/2006/relationships/hyperlink" Target="https://doi.org/10.1037/emo0000181" TargetMode="External"/><Relationship Id="rId16" Type="http://schemas.openxmlformats.org/officeDocument/2006/relationships/hyperlink" Target="https://doi.org/10.1016/j.tics.2017.12.003" TargetMode="External"/><Relationship Id="rId17" Type="http://schemas.openxmlformats.org/officeDocument/2006/relationships/hyperlink" Target="https://doi.org/10.1016/j.psychres.2008.05.00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R. Harp &amp; Maital Neta</dc:creator>
  <cp:keywords>ambiguity, working memory, bias</cp:keywords>
  <dc:title>Emotional working memory loads increase negative interpertations of surprised facial expressions</dc:title>
  <dcterms:created xsi:type="dcterms:W3CDTF">2019-07-19T15:45:53Z</dcterms:created>
  <dcterms:modified xsi:type="dcterms:W3CDTF">2019-07-19T15:45:53Z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2019-07-19T00:00:00Z</vt:filetime>
  </property>
</Properties>
</file>