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3BA11" w14:textId="31E9A841" w:rsidR="004A561D" w:rsidRDefault="004A561D" w:rsidP="004A561D">
      <w:pPr>
        <w:jc w:val="right"/>
        <w:rPr>
          <w:sz w:val="32"/>
          <w:szCs w:val="32"/>
        </w:rPr>
      </w:pPr>
      <w:r>
        <w:rPr>
          <w:sz w:val="32"/>
          <w:szCs w:val="32"/>
        </w:rPr>
        <w:t>Anganathi Cushe</w:t>
      </w:r>
    </w:p>
    <w:p w14:paraId="52770223" w14:textId="20D1E9B8" w:rsidR="004A561D" w:rsidRDefault="004A561D" w:rsidP="004A561D">
      <w:pPr>
        <w:jc w:val="right"/>
        <w:rPr>
          <w:sz w:val="32"/>
          <w:szCs w:val="32"/>
        </w:rPr>
      </w:pPr>
      <w:r>
        <w:rPr>
          <w:sz w:val="32"/>
          <w:szCs w:val="32"/>
        </w:rPr>
        <w:t>E1020225</w:t>
      </w:r>
    </w:p>
    <w:p w14:paraId="0D237EB7" w14:textId="0FAAE58A" w:rsidR="004A561D" w:rsidRDefault="004A561D" w:rsidP="004A561D">
      <w:pPr>
        <w:jc w:val="right"/>
        <w:rPr>
          <w:sz w:val="32"/>
          <w:szCs w:val="32"/>
        </w:rPr>
      </w:pPr>
      <w:r>
        <w:rPr>
          <w:sz w:val="32"/>
          <w:szCs w:val="32"/>
        </w:rPr>
        <w:t>Task 2</w:t>
      </w:r>
      <w:r w:rsidR="00DB601C">
        <w:rPr>
          <w:sz w:val="32"/>
          <w:szCs w:val="32"/>
        </w:rPr>
        <w:t>-Overview</w:t>
      </w:r>
    </w:p>
    <w:p w14:paraId="4127F6F8" w14:textId="20306E26" w:rsidR="00DB601C" w:rsidRPr="004A561D" w:rsidRDefault="00DB601C" w:rsidP="004A561D">
      <w:pPr>
        <w:jc w:val="right"/>
        <w:rPr>
          <w:sz w:val="32"/>
          <w:szCs w:val="32"/>
        </w:rPr>
      </w:pPr>
      <w:r>
        <w:rPr>
          <w:sz w:val="32"/>
          <w:szCs w:val="32"/>
        </w:rPr>
        <w:t>Day 2</w:t>
      </w:r>
    </w:p>
    <w:p w14:paraId="1923716D" w14:textId="77777777" w:rsidR="004A561D" w:rsidRPr="004A561D" w:rsidRDefault="004A561D" w:rsidP="00985AB8">
      <w:pPr>
        <w:rPr>
          <w:sz w:val="32"/>
          <w:szCs w:val="32"/>
        </w:rPr>
      </w:pPr>
    </w:p>
    <w:p w14:paraId="7CC20B16" w14:textId="77777777" w:rsidR="004A561D" w:rsidRDefault="004A561D" w:rsidP="00985AB8">
      <w:pPr>
        <w:rPr>
          <w:b/>
          <w:bCs/>
          <w:sz w:val="28"/>
          <w:szCs w:val="28"/>
        </w:rPr>
      </w:pPr>
    </w:p>
    <w:p w14:paraId="78FDB8D1" w14:textId="7FC32727" w:rsidR="00985AB8" w:rsidRDefault="00985AB8" w:rsidP="00985AB8">
      <w:pPr>
        <w:rPr>
          <w:b/>
          <w:bCs/>
          <w:sz w:val="28"/>
          <w:szCs w:val="28"/>
        </w:rPr>
      </w:pPr>
      <w:r>
        <w:rPr>
          <w:b/>
          <w:bCs/>
          <w:sz w:val="28"/>
          <w:szCs w:val="28"/>
        </w:rPr>
        <w:t>App Design</w:t>
      </w:r>
    </w:p>
    <w:p w14:paraId="38A81F0A" w14:textId="77777777" w:rsidR="00985AB8" w:rsidRDefault="00985AB8" w:rsidP="00985AB8">
      <w:pPr>
        <w:ind w:left="360"/>
      </w:pPr>
      <w:r>
        <w:t>An app to onboard clients into the multi-manager for both sets of clients. The app is about keeping track of your investment portfolio while also giving enough information about asset classes invested in, managers handling the funds, benchmarks as well as many other features that can be added to improve user experience.</w:t>
      </w:r>
    </w:p>
    <w:p w14:paraId="24BB98E1" w14:textId="77777777" w:rsidR="00985AB8" w:rsidRDefault="00985AB8" w:rsidP="00985AB8">
      <w:pPr>
        <w:ind w:left="360"/>
        <w:rPr>
          <w:u w:val="single"/>
        </w:rPr>
      </w:pPr>
      <w:r>
        <w:rPr>
          <w:u w:val="single"/>
        </w:rPr>
        <w:t>Pages-:</w:t>
      </w:r>
    </w:p>
    <w:p w14:paraId="4BE4A5D6" w14:textId="77777777" w:rsidR="00985AB8" w:rsidRPr="00630EBD" w:rsidRDefault="00985AB8" w:rsidP="00985AB8">
      <w:pPr>
        <w:ind w:left="360"/>
      </w:pPr>
      <w:r>
        <w:t>I believe in creating different experiences for the 2 types of clients since both require different amounts of involvements and control over the management system.</w:t>
      </w:r>
    </w:p>
    <w:p w14:paraId="1DBAE221" w14:textId="77777777" w:rsidR="00985AB8" w:rsidRDefault="00985AB8" w:rsidP="00985AB8">
      <w:pPr>
        <w:pStyle w:val="ListParagraph"/>
        <w:numPr>
          <w:ilvl w:val="0"/>
          <w:numId w:val="2"/>
        </w:numPr>
      </w:pPr>
      <w:r>
        <w:t>A form creation screen for retail client</w:t>
      </w:r>
    </w:p>
    <w:p w14:paraId="2581C83C" w14:textId="77777777" w:rsidR="00985AB8" w:rsidRDefault="00985AB8" w:rsidP="00985AB8">
      <w:pPr>
        <w:pStyle w:val="ListParagraph"/>
        <w:numPr>
          <w:ilvl w:val="0"/>
          <w:numId w:val="2"/>
        </w:numPr>
      </w:pPr>
      <w:r>
        <w:t>A form creation screen for institutional clients</w:t>
      </w:r>
    </w:p>
    <w:p w14:paraId="7EEB5AC5" w14:textId="77777777" w:rsidR="00985AB8" w:rsidRDefault="00985AB8" w:rsidP="00985AB8">
      <w:pPr>
        <w:pStyle w:val="ListParagraph"/>
        <w:numPr>
          <w:ilvl w:val="0"/>
          <w:numId w:val="2"/>
        </w:numPr>
      </w:pPr>
      <w:r>
        <w:t>After consideration a dashboard for retail client</w:t>
      </w:r>
    </w:p>
    <w:p w14:paraId="26062184" w14:textId="77777777" w:rsidR="00985AB8" w:rsidRDefault="00985AB8" w:rsidP="00985AB8">
      <w:pPr>
        <w:pStyle w:val="ListParagraph"/>
        <w:numPr>
          <w:ilvl w:val="0"/>
          <w:numId w:val="2"/>
        </w:numPr>
      </w:pPr>
      <w:r>
        <w:t>After application a dashboard for institutional clients</w:t>
      </w:r>
    </w:p>
    <w:p w14:paraId="544098CC" w14:textId="77777777" w:rsidR="00985AB8" w:rsidRPr="00227BD1" w:rsidRDefault="00985AB8" w:rsidP="00985AB8">
      <w:pPr>
        <w:pStyle w:val="ListParagraph"/>
        <w:numPr>
          <w:ilvl w:val="0"/>
          <w:numId w:val="2"/>
        </w:numPr>
      </w:pPr>
      <w:r>
        <w:t>An overview to help clients choose which application they want to go for.</w:t>
      </w:r>
    </w:p>
    <w:p w14:paraId="4D32ADC3" w14:textId="77777777" w:rsidR="00985AB8" w:rsidRDefault="00985AB8" w:rsidP="00985AB8">
      <w:pPr>
        <w:ind w:left="360"/>
        <w:rPr>
          <w:u w:val="single"/>
        </w:rPr>
      </w:pPr>
      <w:r w:rsidRPr="00032B5B">
        <w:rPr>
          <w:u w:val="single"/>
        </w:rPr>
        <w:t>Feel</w:t>
      </w:r>
      <w:r>
        <w:rPr>
          <w:u w:val="single"/>
        </w:rPr>
        <w:t>-:</w:t>
      </w:r>
    </w:p>
    <w:p w14:paraId="2C410202" w14:textId="77777777" w:rsidR="00985AB8" w:rsidRDefault="00985AB8" w:rsidP="00985AB8">
      <w:pPr>
        <w:pStyle w:val="ListParagraph"/>
        <w:numPr>
          <w:ilvl w:val="0"/>
          <w:numId w:val="1"/>
        </w:numPr>
      </w:pPr>
      <w:r>
        <w:t>The app should look and feel like comfortability</w:t>
      </w:r>
    </w:p>
    <w:p w14:paraId="54F6DD58" w14:textId="77777777" w:rsidR="00985AB8" w:rsidRDefault="00985AB8" w:rsidP="00985AB8">
      <w:pPr>
        <w:pStyle w:val="ListParagraph"/>
        <w:numPr>
          <w:ilvl w:val="0"/>
          <w:numId w:val="1"/>
        </w:numPr>
      </w:pPr>
      <w:r>
        <w:t>Trust – So the colour blue might workout</w:t>
      </w:r>
    </w:p>
    <w:p w14:paraId="1D9651E9" w14:textId="77777777" w:rsidR="00985AB8" w:rsidRDefault="00985AB8" w:rsidP="00985AB8">
      <w:pPr>
        <w:pStyle w:val="ListParagraph"/>
        <w:numPr>
          <w:ilvl w:val="0"/>
          <w:numId w:val="1"/>
        </w:numPr>
      </w:pPr>
      <w:r>
        <w:t xml:space="preserve">It should be a mixture of both simple but can be extended for complexity for the institutional use as well. </w:t>
      </w:r>
    </w:p>
    <w:p w14:paraId="2AD1226D" w14:textId="77777777" w:rsidR="00985AB8" w:rsidRDefault="00985AB8" w:rsidP="00985AB8">
      <w:pPr>
        <w:pStyle w:val="ListParagraph"/>
        <w:numPr>
          <w:ilvl w:val="0"/>
          <w:numId w:val="1"/>
        </w:numPr>
      </w:pPr>
      <w:r>
        <w:t>We need to create a system that is for multi managers, showing that the fees are worth the investment</w:t>
      </w:r>
    </w:p>
    <w:p w14:paraId="34226DB7" w14:textId="77777777" w:rsidR="00985AB8" w:rsidRDefault="00985AB8" w:rsidP="00985AB8">
      <w:pPr>
        <w:rPr>
          <w:u w:val="single"/>
        </w:rPr>
      </w:pPr>
      <w:r>
        <w:rPr>
          <w:u w:val="single"/>
        </w:rPr>
        <w:t>Retail Investor-:</w:t>
      </w:r>
    </w:p>
    <w:p w14:paraId="27D7CF36" w14:textId="77777777" w:rsidR="00985AB8" w:rsidRDefault="00985AB8" w:rsidP="00985AB8">
      <w:r w:rsidRPr="000D331C">
        <w:t xml:space="preserve">Retail investors are individual, non-professional investors who buy and sell securities for personal accounts, often involving small trade amounts </w:t>
      </w:r>
      <w:r>
        <w:t>(less information)</w:t>
      </w:r>
    </w:p>
    <w:p w14:paraId="1D351A45" w14:textId="77777777" w:rsidR="00985AB8" w:rsidRDefault="00985AB8" w:rsidP="00985AB8">
      <w:pPr>
        <w:numPr>
          <w:ilvl w:val="0"/>
          <w:numId w:val="3"/>
        </w:numPr>
      </w:pPr>
      <w:r w:rsidRPr="005D43D5">
        <w:t>usually buy and sell trades in the </w:t>
      </w:r>
      <w:hyperlink r:id="rId5" w:history="1">
        <w:r w:rsidRPr="005D43D5">
          <w:rPr>
            <w:rStyle w:val="Hyperlink"/>
          </w:rPr>
          <w:t>equity</w:t>
        </w:r>
      </w:hyperlink>
      <w:r w:rsidRPr="005D43D5">
        <w:t> and </w:t>
      </w:r>
      <w:hyperlink r:id="rId6" w:history="1">
        <w:r w:rsidRPr="005D43D5">
          <w:rPr>
            <w:rStyle w:val="Hyperlink"/>
          </w:rPr>
          <w:t>bond</w:t>
        </w:r>
      </w:hyperlink>
      <w:r w:rsidRPr="005D43D5">
        <w:t> markets</w:t>
      </w:r>
      <w:r>
        <w:t xml:space="preserve">(Why: </w:t>
      </w:r>
    </w:p>
    <w:p w14:paraId="193D7FC4" w14:textId="77777777" w:rsidR="00985AB8" w:rsidRDefault="00985AB8" w:rsidP="00985AB8">
      <w:pPr>
        <w:numPr>
          <w:ilvl w:val="0"/>
          <w:numId w:val="3"/>
        </w:numPr>
      </w:pPr>
      <w:r w:rsidRPr="00615596">
        <w:lastRenderedPageBreak/>
        <w:t>Due to limited purchasing power, retail investors often face higher fees, though many brokers have removed online trading fees.</w:t>
      </w:r>
    </w:p>
    <w:p w14:paraId="675B4C9B" w14:textId="77777777" w:rsidR="00985AB8" w:rsidRDefault="00985AB8" w:rsidP="00985AB8">
      <w:pPr>
        <w:numPr>
          <w:ilvl w:val="0"/>
          <w:numId w:val="3"/>
        </w:numPr>
      </w:pPr>
      <w:r w:rsidRPr="00A0097F">
        <w:t>Retail investors have a significant impact on the overall tone in the financial markets. </w:t>
      </w:r>
    </w:p>
    <w:p w14:paraId="7487160B" w14:textId="75B78C64" w:rsidR="00985AB8" w:rsidRPr="002B3252" w:rsidRDefault="00985AB8" w:rsidP="002B3252">
      <w:pPr>
        <w:numPr>
          <w:ilvl w:val="0"/>
          <w:numId w:val="3"/>
        </w:numPr>
      </w:pPr>
      <w:r>
        <w:t>S</w:t>
      </w:r>
      <w:r w:rsidRPr="00FE31B8">
        <w:t>maller investors do not have the knowledge, discipline, or expertise to research their investments</w:t>
      </w:r>
      <w:r>
        <w:t xml:space="preserve"> and often resort to making small trades.</w:t>
      </w:r>
    </w:p>
    <w:p w14:paraId="7D6592A9" w14:textId="77777777" w:rsidR="00985AB8" w:rsidRDefault="00985AB8" w:rsidP="00985AB8"/>
    <w:p w14:paraId="7FCDA3E8" w14:textId="77777777" w:rsidR="002B3252" w:rsidRDefault="002B3252" w:rsidP="00985AB8">
      <w:pPr>
        <w:rPr>
          <w:u w:val="single"/>
        </w:rPr>
      </w:pPr>
    </w:p>
    <w:p w14:paraId="3CB86889" w14:textId="1D91DCBB" w:rsidR="00985AB8" w:rsidRDefault="00985AB8" w:rsidP="00985AB8">
      <w:pPr>
        <w:rPr>
          <w:u w:val="single"/>
        </w:rPr>
      </w:pPr>
      <w:r>
        <w:rPr>
          <w:u w:val="single"/>
        </w:rPr>
        <w:t>Institutional Client-:</w:t>
      </w:r>
    </w:p>
    <w:p w14:paraId="098F3573" w14:textId="77777777" w:rsidR="00985AB8" w:rsidRDefault="00985AB8" w:rsidP="00985AB8">
      <w:r w:rsidRPr="00C97994">
        <w:t>An organization or entity that manages and invests funds given to them by individuals or entities, typically using more advanced strategies and handling larger sums than individual retail investors</w:t>
      </w:r>
    </w:p>
    <w:p w14:paraId="560242E9" w14:textId="77777777" w:rsidR="00985AB8" w:rsidRPr="00D9619F" w:rsidRDefault="00985AB8" w:rsidP="00985AB8">
      <w:pPr>
        <w:numPr>
          <w:ilvl w:val="0"/>
          <w:numId w:val="4"/>
        </w:numPr>
        <w:shd w:val="clear" w:color="auto" w:fill="FFFFFF"/>
        <w:spacing w:before="100" w:beforeAutospacing="1" w:after="100" w:afterAutospacing="1" w:line="240" w:lineRule="auto"/>
        <w:rPr>
          <w:rFonts w:ascii="Arial" w:eastAsia="Times New Roman" w:hAnsi="Arial" w:cs="Arial"/>
          <w:spacing w:val="1"/>
          <w:kern w:val="0"/>
          <w:lang w:eastAsia="en-ZA"/>
          <w14:ligatures w14:val="none"/>
        </w:rPr>
      </w:pPr>
      <w:r w:rsidRPr="00D9619F">
        <w:rPr>
          <w:rFonts w:ascii="Arial" w:eastAsia="Times New Roman" w:hAnsi="Arial" w:cs="Arial"/>
          <w:spacing w:val="1"/>
          <w:kern w:val="0"/>
          <w:lang w:eastAsia="en-ZA"/>
          <w14:ligatures w14:val="none"/>
        </w:rPr>
        <w:t>The buying and selling of large positions by institutional investors can create supply and demand imbalances that result in sudden price moves in stocks, bonds, or other assets.</w:t>
      </w:r>
    </w:p>
    <w:p w14:paraId="2FCDBF16" w14:textId="77777777" w:rsidR="00985AB8" w:rsidRDefault="00985AB8" w:rsidP="00985AB8">
      <w:pPr>
        <w:pStyle w:val="ListParagraph"/>
        <w:numPr>
          <w:ilvl w:val="0"/>
          <w:numId w:val="4"/>
        </w:numPr>
      </w:pPr>
      <w:r w:rsidRPr="00BB79BB">
        <w:t>stocks, bonds</w:t>
      </w:r>
    </w:p>
    <w:p w14:paraId="03286BB0" w14:textId="77777777" w:rsidR="00985AB8" w:rsidRDefault="00985AB8" w:rsidP="00985AB8">
      <w:pPr>
        <w:pStyle w:val="ListParagraph"/>
        <w:numPr>
          <w:ilvl w:val="0"/>
          <w:numId w:val="4"/>
        </w:numPr>
      </w:pPr>
      <w:r>
        <w:t>Have less protection</w:t>
      </w:r>
    </w:p>
    <w:p w14:paraId="40B7F75C" w14:textId="77777777" w:rsidR="00985AB8" w:rsidRDefault="00985AB8" w:rsidP="00985AB8">
      <w:pPr>
        <w:pStyle w:val="ListParagraph"/>
        <w:numPr>
          <w:ilvl w:val="0"/>
          <w:numId w:val="4"/>
        </w:numPr>
      </w:pPr>
      <w:r>
        <w:t>Have more knowledge and will need more control</w:t>
      </w:r>
    </w:p>
    <w:p w14:paraId="6C9955A5" w14:textId="77777777" w:rsidR="00985AB8" w:rsidRDefault="00985AB8" w:rsidP="00985AB8"/>
    <w:p w14:paraId="517787E3" w14:textId="77777777" w:rsidR="00985AB8" w:rsidRPr="003D5DB4" w:rsidRDefault="00985AB8" w:rsidP="00985AB8"/>
    <w:p w14:paraId="10590EF9" w14:textId="0A2220D4" w:rsidR="003C21AD" w:rsidRDefault="004F08E3">
      <w:r w:rsidRPr="004F08E3">
        <w:t xml:space="preserve">Based on the client’s investment objective, risk tolerance, and time horizon collected during onboarding, the application </w:t>
      </w:r>
      <w:r>
        <w:t>should</w:t>
      </w:r>
      <w:r w:rsidRPr="004F08E3">
        <w:t xml:space="preserve"> a suitable benchmark index </w:t>
      </w:r>
      <w:r w:rsidR="00956C3F">
        <w:t>that shows them</w:t>
      </w:r>
      <w:r w:rsidRPr="004F08E3">
        <w:t xml:space="preserve"> target market </w:t>
      </w:r>
      <w:r w:rsidR="00956C3F">
        <w:t>exposure. So after the user gives in this input the system should tailor the experience to match the user’s experience</w:t>
      </w:r>
      <w:r w:rsidR="005B632C">
        <w:t xml:space="preserve">. </w:t>
      </w:r>
    </w:p>
    <w:p w14:paraId="19269B19" w14:textId="561FEBCE" w:rsidR="005B632C" w:rsidRDefault="005B632C">
      <w:r>
        <w:t xml:space="preserve">Although not applicable on the design but if a user would want to get </w:t>
      </w:r>
      <w:r w:rsidR="009936BE">
        <w:t>low</w:t>
      </w:r>
      <w:r w:rsidR="008A5200">
        <w:t xml:space="preserve"> growth</w:t>
      </w:r>
      <w:r w:rsidR="00CE46A6">
        <w:t xml:space="preserve"> with the corresponding amount of risk, they would select </w:t>
      </w:r>
      <w:r w:rsidR="009936BE">
        <w:t xml:space="preserve">a Bond index which will be suitable for them. From then on they can choose an option to match or </w:t>
      </w:r>
      <w:r w:rsidR="00BB4CAB">
        <w:t xml:space="preserve">outperform that benchmark and the system will recommend suitable managers that can handle that </w:t>
      </w:r>
      <w:r w:rsidR="000B357E">
        <w:t>portfolio.</w:t>
      </w:r>
    </w:p>
    <w:p w14:paraId="466338CA" w14:textId="4786C824" w:rsidR="008D7504" w:rsidRDefault="008D7504">
      <w:r w:rsidRPr="008D7504">
        <w:t>Using the client’s profile, the app</w:t>
      </w:r>
      <w:r>
        <w:t xml:space="preserve"> should</w:t>
      </w:r>
      <w:r w:rsidRPr="008D7504">
        <w:t xml:space="preserve"> recommend</w:t>
      </w:r>
      <w:r>
        <w:t xml:space="preserve"> </w:t>
      </w:r>
      <w:r w:rsidRPr="008D7504">
        <w:t>a divers</w:t>
      </w:r>
      <w:r>
        <w:t>e</w:t>
      </w:r>
      <w:r w:rsidRPr="008D7504">
        <w:t xml:space="preserve"> asset allocation designed to meet or outperform the selected benchmark while managing risk</w:t>
      </w:r>
      <w:r w:rsidR="00D87287">
        <w:t>.</w:t>
      </w:r>
      <w:r w:rsidR="00E119FA">
        <w:t xml:space="preserve"> This is where the input of risk tolerance, goal, ho</w:t>
      </w:r>
      <w:r w:rsidR="00814252">
        <w:t>rizon and existing investments play a part as they are used to form an identity about the client to match their profile.</w:t>
      </w:r>
    </w:p>
    <w:p w14:paraId="5D0140FD" w14:textId="2A356D63" w:rsidR="00181163" w:rsidRDefault="00740919">
      <w:r>
        <w:t xml:space="preserve">An example of this could be that a client with low risk tolerance and no existing investments might opt to match the benchmark and so choosing asset classes that are </w:t>
      </w:r>
      <w:r>
        <w:lastRenderedPageBreak/>
        <w:t>less volatile might be the best option for them, and that is what the application will choose for them.</w:t>
      </w:r>
      <w:r w:rsidR="00181163">
        <w:t xml:space="preserve"> This option is available for retailers only as they are the one’s assumed to have no experience.</w:t>
      </w:r>
    </w:p>
    <w:p w14:paraId="7760C6DC" w14:textId="77777777" w:rsidR="00181163" w:rsidRDefault="00181163"/>
    <w:p w14:paraId="343CD144" w14:textId="7EDA345E" w:rsidR="00181163" w:rsidRDefault="007A05C9">
      <w:r>
        <w:t xml:space="preserve">The application has different forms to display the disparity between the two types of clients as well as the control given to each. </w:t>
      </w:r>
    </w:p>
    <w:p w14:paraId="775F1B44" w14:textId="51DE1CA5" w:rsidR="007A05C9" w:rsidRDefault="007A05C9">
      <w:r>
        <w:t xml:space="preserve">Further improvements from the application could involve, a </w:t>
      </w:r>
      <w:r w:rsidR="006E36B3">
        <w:t xml:space="preserve">dashboard for the institutional client as they should again have a different experience </w:t>
      </w:r>
      <w:r w:rsidR="005608E0">
        <w:t>in the application.</w:t>
      </w:r>
    </w:p>
    <w:p w14:paraId="33CCB525" w14:textId="2EB8EB29" w:rsidR="005608E0" w:rsidRDefault="005608E0">
      <w:r>
        <w:t>Another could be a financial advisor or support call button for retailer in case of emergenc</w:t>
      </w:r>
      <w:r w:rsidR="00450B64">
        <w:t xml:space="preserve">ies. The app could also have a more formal approach for </w:t>
      </w:r>
      <w:r w:rsidR="002469A1">
        <w:t>the institutional client’s dashboard</w:t>
      </w:r>
    </w:p>
    <w:p w14:paraId="4A030308" w14:textId="77777777" w:rsidR="002469A1" w:rsidRDefault="002469A1"/>
    <w:p w14:paraId="1957F446" w14:textId="27F8A33A" w:rsidR="002469A1" w:rsidRDefault="00533356">
      <w:r w:rsidRPr="00533356">
        <w:lastRenderedPageBreak/>
        <w:drawing>
          <wp:inline distT="0" distB="0" distL="0" distR="0" wp14:anchorId="156848C5" wp14:editId="4361F35C">
            <wp:extent cx="2313051" cy="4968240"/>
            <wp:effectExtent l="0" t="0" r="0" b="3810"/>
            <wp:docPr id="171886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63034" name=""/>
                    <pic:cNvPicPr/>
                  </pic:nvPicPr>
                  <pic:blipFill>
                    <a:blip r:embed="rId7"/>
                    <a:stretch>
                      <a:fillRect/>
                    </a:stretch>
                  </pic:blipFill>
                  <pic:spPr>
                    <a:xfrm>
                      <a:off x="0" y="0"/>
                      <a:ext cx="2317799" cy="4978438"/>
                    </a:xfrm>
                    <a:prstGeom prst="rect">
                      <a:avLst/>
                    </a:prstGeom>
                  </pic:spPr>
                </pic:pic>
              </a:graphicData>
            </a:graphic>
          </wp:inline>
        </w:drawing>
      </w:r>
      <w:r w:rsidR="00C33BD5">
        <w:t xml:space="preserve">               </w:t>
      </w:r>
      <w:r w:rsidR="00C33BD5" w:rsidRPr="00C33BD5">
        <w:drawing>
          <wp:inline distT="0" distB="0" distL="0" distR="0" wp14:anchorId="089AA823" wp14:editId="303105CE">
            <wp:extent cx="2842506" cy="6988146"/>
            <wp:effectExtent l="0" t="0" r="0" b="3810"/>
            <wp:docPr id="209649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97278" name=""/>
                    <pic:cNvPicPr/>
                  </pic:nvPicPr>
                  <pic:blipFill>
                    <a:blip r:embed="rId8"/>
                    <a:stretch>
                      <a:fillRect/>
                    </a:stretch>
                  </pic:blipFill>
                  <pic:spPr>
                    <a:xfrm>
                      <a:off x="0" y="0"/>
                      <a:ext cx="2842506" cy="6988146"/>
                    </a:xfrm>
                    <a:prstGeom prst="rect">
                      <a:avLst/>
                    </a:prstGeom>
                  </pic:spPr>
                </pic:pic>
              </a:graphicData>
            </a:graphic>
          </wp:inline>
        </w:drawing>
      </w:r>
    </w:p>
    <w:p w14:paraId="39304766" w14:textId="77777777" w:rsidR="00C33BD5" w:rsidRDefault="00C33BD5"/>
    <w:p w14:paraId="26FCADE6" w14:textId="77777777" w:rsidR="00C33BD5" w:rsidRDefault="00C33BD5"/>
    <w:p w14:paraId="38E89EF9" w14:textId="04FA29B8" w:rsidR="00C33BD5" w:rsidRDefault="00030409">
      <w:r w:rsidRPr="00030409">
        <w:lastRenderedPageBreak/>
        <w:drawing>
          <wp:inline distT="0" distB="0" distL="0" distR="0" wp14:anchorId="067916B3" wp14:editId="6E688720">
            <wp:extent cx="1882303" cy="5273497"/>
            <wp:effectExtent l="0" t="0" r="3810" b="3810"/>
            <wp:docPr id="116786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63609" name=""/>
                    <pic:cNvPicPr/>
                  </pic:nvPicPr>
                  <pic:blipFill>
                    <a:blip r:embed="rId9"/>
                    <a:stretch>
                      <a:fillRect/>
                    </a:stretch>
                  </pic:blipFill>
                  <pic:spPr>
                    <a:xfrm>
                      <a:off x="0" y="0"/>
                      <a:ext cx="1882303" cy="5273497"/>
                    </a:xfrm>
                    <a:prstGeom prst="rect">
                      <a:avLst/>
                    </a:prstGeom>
                  </pic:spPr>
                </pic:pic>
              </a:graphicData>
            </a:graphic>
          </wp:inline>
        </w:drawing>
      </w:r>
      <w:r w:rsidR="000E6298">
        <w:t xml:space="preserve">       </w:t>
      </w:r>
      <w:r w:rsidR="000E6298" w:rsidRPr="000E6298">
        <w:drawing>
          <wp:inline distT="0" distB="0" distL="0" distR="0" wp14:anchorId="0C1F3A15" wp14:editId="250400FC">
            <wp:extent cx="1920406" cy="4130398"/>
            <wp:effectExtent l="0" t="0" r="3810" b="3810"/>
            <wp:docPr id="213153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36985" name=""/>
                    <pic:cNvPicPr/>
                  </pic:nvPicPr>
                  <pic:blipFill>
                    <a:blip r:embed="rId10"/>
                    <a:stretch>
                      <a:fillRect/>
                    </a:stretch>
                  </pic:blipFill>
                  <pic:spPr>
                    <a:xfrm>
                      <a:off x="0" y="0"/>
                      <a:ext cx="1920406" cy="4130398"/>
                    </a:xfrm>
                    <a:prstGeom prst="rect">
                      <a:avLst/>
                    </a:prstGeom>
                  </pic:spPr>
                </pic:pic>
              </a:graphicData>
            </a:graphic>
          </wp:inline>
        </w:drawing>
      </w:r>
    </w:p>
    <w:sectPr w:rsidR="00C33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37E24"/>
    <w:multiLevelType w:val="hybridMultilevel"/>
    <w:tmpl w:val="151AE3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F671E2E"/>
    <w:multiLevelType w:val="hybridMultilevel"/>
    <w:tmpl w:val="FE000764"/>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 w15:restartNumberingAfterBreak="0">
    <w:nsid w:val="4CDF42B3"/>
    <w:multiLevelType w:val="hybridMultilevel"/>
    <w:tmpl w:val="FD8C8F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1A57D66"/>
    <w:multiLevelType w:val="hybridMultilevel"/>
    <w:tmpl w:val="0F2C913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6EFC1BCC"/>
    <w:multiLevelType w:val="multilevel"/>
    <w:tmpl w:val="5414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0218314">
    <w:abstractNumId w:val="3"/>
  </w:num>
  <w:num w:numId="2" w16cid:durableId="92824580">
    <w:abstractNumId w:val="1"/>
  </w:num>
  <w:num w:numId="3" w16cid:durableId="1239292979">
    <w:abstractNumId w:val="4"/>
  </w:num>
  <w:num w:numId="4" w16cid:durableId="1465272351">
    <w:abstractNumId w:val="0"/>
  </w:num>
  <w:num w:numId="5" w16cid:durableId="1084643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AB8"/>
    <w:rsid w:val="00030409"/>
    <w:rsid w:val="000B357E"/>
    <w:rsid w:val="000D04E5"/>
    <w:rsid w:val="000E6298"/>
    <w:rsid w:val="00181163"/>
    <w:rsid w:val="002469A1"/>
    <w:rsid w:val="002B3252"/>
    <w:rsid w:val="003746DF"/>
    <w:rsid w:val="003C21AD"/>
    <w:rsid w:val="00450B64"/>
    <w:rsid w:val="004A561D"/>
    <w:rsid w:val="004F08E3"/>
    <w:rsid w:val="00533356"/>
    <w:rsid w:val="005608E0"/>
    <w:rsid w:val="005B632C"/>
    <w:rsid w:val="006E36B3"/>
    <w:rsid w:val="00740919"/>
    <w:rsid w:val="007A05C9"/>
    <w:rsid w:val="00814252"/>
    <w:rsid w:val="008A5200"/>
    <w:rsid w:val="008D7504"/>
    <w:rsid w:val="00945DFF"/>
    <w:rsid w:val="00956C3F"/>
    <w:rsid w:val="00985AB8"/>
    <w:rsid w:val="009936BE"/>
    <w:rsid w:val="00BB4CAB"/>
    <w:rsid w:val="00C33BD5"/>
    <w:rsid w:val="00CB7A4A"/>
    <w:rsid w:val="00CE46A6"/>
    <w:rsid w:val="00D87287"/>
    <w:rsid w:val="00DB601C"/>
    <w:rsid w:val="00E119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4AFAA"/>
  <w15:chartTrackingRefBased/>
  <w15:docId w15:val="{DD0402C9-7B13-4A87-857E-72ECCED3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AB8"/>
  </w:style>
  <w:style w:type="paragraph" w:styleId="Heading1">
    <w:name w:val="heading 1"/>
    <w:basedOn w:val="Normal"/>
    <w:next w:val="Normal"/>
    <w:link w:val="Heading1Char"/>
    <w:uiPriority w:val="9"/>
    <w:qFormat/>
    <w:rsid w:val="00985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AB8"/>
    <w:rPr>
      <w:rFonts w:eastAsiaTheme="majorEastAsia" w:cstheme="majorBidi"/>
      <w:color w:val="272727" w:themeColor="text1" w:themeTint="D8"/>
    </w:rPr>
  </w:style>
  <w:style w:type="paragraph" w:styleId="Title">
    <w:name w:val="Title"/>
    <w:basedOn w:val="Normal"/>
    <w:next w:val="Normal"/>
    <w:link w:val="TitleChar"/>
    <w:uiPriority w:val="10"/>
    <w:qFormat/>
    <w:rsid w:val="00985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AB8"/>
    <w:pPr>
      <w:spacing w:before="160"/>
      <w:jc w:val="center"/>
    </w:pPr>
    <w:rPr>
      <w:i/>
      <w:iCs/>
      <w:color w:val="404040" w:themeColor="text1" w:themeTint="BF"/>
    </w:rPr>
  </w:style>
  <w:style w:type="character" w:customStyle="1" w:styleId="QuoteChar">
    <w:name w:val="Quote Char"/>
    <w:basedOn w:val="DefaultParagraphFont"/>
    <w:link w:val="Quote"/>
    <w:uiPriority w:val="29"/>
    <w:rsid w:val="00985AB8"/>
    <w:rPr>
      <w:i/>
      <w:iCs/>
      <w:color w:val="404040" w:themeColor="text1" w:themeTint="BF"/>
    </w:rPr>
  </w:style>
  <w:style w:type="paragraph" w:styleId="ListParagraph">
    <w:name w:val="List Paragraph"/>
    <w:basedOn w:val="Normal"/>
    <w:uiPriority w:val="34"/>
    <w:qFormat/>
    <w:rsid w:val="00985AB8"/>
    <w:pPr>
      <w:ind w:left="720"/>
      <w:contextualSpacing/>
    </w:pPr>
  </w:style>
  <w:style w:type="character" w:styleId="IntenseEmphasis">
    <w:name w:val="Intense Emphasis"/>
    <w:basedOn w:val="DefaultParagraphFont"/>
    <w:uiPriority w:val="21"/>
    <w:qFormat/>
    <w:rsid w:val="00985AB8"/>
    <w:rPr>
      <w:i/>
      <w:iCs/>
      <w:color w:val="0F4761" w:themeColor="accent1" w:themeShade="BF"/>
    </w:rPr>
  </w:style>
  <w:style w:type="paragraph" w:styleId="IntenseQuote">
    <w:name w:val="Intense Quote"/>
    <w:basedOn w:val="Normal"/>
    <w:next w:val="Normal"/>
    <w:link w:val="IntenseQuoteChar"/>
    <w:uiPriority w:val="30"/>
    <w:qFormat/>
    <w:rsid w:val="00985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AB8"/>
    <w:rPr>
      <w:i/>
      <w:iCs/>
      <w:color w:val="0F4761" w:themeColor="accent1" w:themeShade="BF"/>
    </w:rPr>
  </w:style>
  <w:style w:type="character" w:styleId="IntenseReference">
    <w:name w:val="Intense Reference"/>
    <w:basedOn w:val="DefaultParagraphFont"/>
    <w:uiPriority w:val="32"/>
    <w:qFormat/>
    <w:rsid w:val="00985AB8"/>
    <w:rPr>
      <w:b/>
      <w:bCs/>
      <w:smallCaps/>
      <w:color w:val="0F4761" w:themeColor="accent1" w:themeShade="BF"/>
      <w:spacing w:val="5"/>
    </w:rPr>
  </w:style>
  <w:style w:type="character" w:styleId="Hyperlink">
    <w:name w:val="Hyperlink"/>
    <w:basedOn w:val="DefaultParagraphFont"/>
    <w:uiPriority w:val="99"/>
    <w:unhideWhenUsed/>
    <w:rsid w:val="00985AB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vestopedia.com/terms/b/bond.asp" TargetMode="External"/><Relationship Id="rId11" Type="http://schemas.openxmlformats.org/officeDocument/2006/relationships/fontTable" Target="fontTable.xml"/><Relationship Id="rId5" Type="http://schemas.openxmlformats.org/officeDocument/2006/relationships/hyperlink" Target="https://www.investopedia.com/terms/e/equity.asp"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653</Words>
  <Characters>3555</Characters>
  <Application>Microsoft Office Word</Application>
  <DocSecurity>0</DocSecurity>
  <Lines>91</Lines>
  <Paragraphs>60</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Anganathi Cushe (Group Office)</dc:creator>
  <cp:keywords/>
  <dc:description/>
  <cp:lastModifiedBy>Anganathi Cushe (Group Office)</cp:lastModifiedBy>
  <cp:revision>28</cp:revision>
  <dcterms:created xsi:type="dcterms:W3CDTF">2026-04-09T14:08:00Z</dcterms:created>
  <dcterms:modified xsi:type="dcterms:W3CDTF">2026-04-09T14:28:00Z</dcterms:modified>
</cp:coreProperties>
</file>