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z w:val="48"/>
          <w:szCs w:val="48"/>
        </w:rPr>
      </w:pPr>
      <w:r>
        <w:rPr>
          <w:rFonts w:ascii="Times New Roman" w:hAnsi="Times New Roman"/>
          <w:b/>
          <w:bCs/>
          <w:sz w:val="48"/>
          <w:szCs w:val="48"/>
        </w:rPr>
        <w:t>Occupancy và Predictive Congestion: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1. </w:t>
      </w:r>
      <w:r>
        <w:rPr>
          <w:rFonts w:ascii="Times New Roman" w:hAnsi="Times New Roman"/>
          <w:b/>
          <w:bCs/>
        </w:rPr>
        <w:t xml:space="preserve">Khái niệm: </w:t>
      </w:r>
      <w:r>
        <w:rPr>
          <w:rFonts w:ascii="Times New Roman" w:hAnsi="Times New Roman"/>
        </w:rPr>
        <w:t>Là bài toán bỏ n quá bóng vào k cái hộp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Cách xếp bóng phụ thuộc vào: Bóng có phân biệt không, hộp có phân biệt không, quy định chứa bóng trong một hộp (một hộp tối đa 1 quả hay bắt buộc hộp nào cũng phải có bóng)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Kết hợp -&gt; 12 bài toán đếm cơ bản trong tổ hợp (toán rời rạc)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- Occupancy Vector (vector phân bổ): Danh sách ghi lại số bóng trong mỗi hộp. VD: 5 quả bóng chia vào 3 hộp, kết quả (2, 0, 3)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- Multinominal Coefficient (Hệ số đa thức) : Công thức giúp tính có bao nhiêu cách xếp cụ thể để tạo ra kết quả (2, 0, 3)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Liên hệ với QDDCA: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ascii="Times New Roman" w:hAnsi="Times New Roman"/>
          <w:b/>
          <w:bCs/>
        </w:rPr>
        <w:t xml:space="preserve">2. Giải thích: </w:t>
      </w:r>
      <w:r>
        <w:rPr>
          <w:rFonts w:ascii="Times New Roman" w:hAnsi="Times New Roman"/>
          <w:b/>
          <w:bCs/>
        </w:rPr>
        <w:t>Occupancy là số ô nhớ bị chiếm của một node thời điểm hiện tại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trong code là Qnode.currentSize() (Q_v(t)) so với dung lượng memorySize(M_v)</w:t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</w:rPr>
        <w:t>- Chính là độ dài hàng đợi: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Một node trong mô hình này chính là một hàng đợi: qubit vào (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λ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), nằm chờ, rồi ra (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μ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). Occupancy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Q_v</w:t>
      </w:r>
      <w:r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là số phần tử đang xếp hàng. Khi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Q_v = M_v</w:t>
      </w:r>
      <w:r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thì node </w:t>
      </w: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tràn</w:t>
      </w:r>
      <w:r>
        <w:rPr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qubit gửi tới sẽ bị từ chối.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- Bản gốc (từ bài báo và repo gốc của QDDCA) chỉ nhìn occupancy dưới dạng một bit: Qnode.query() trả về currentSize &lt; memorySize ra kết quả đúng/sai (tức còn chỗ hay không). Đó là toàn bộ thông tin về việc tắc nghẽn mà bài toán cũ có.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- Cách predictive can thiệp: Occupancy là một ảnh chụp tức thời - không nói đến việc node đó đang đầy lên hay thoát tải đi. Hai node cùng Q_v = 6/10 có thể có tương lai khác nhau: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/>
        <w:tc>
          <w:tcPr>
            <w:tcW w:w="1927" w:type="dxa"/>
            <w:tcBorders/>
          </w:tcPr>
          <w:p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928" w:type="dxa"/>
            <w:tcBorders/>
          </w:tcPr>
          <w:p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Q_v</w:t>
            </w:r>
          </w:p>
        </w:tc>
        <w:tc>
          <w:tcPr>
            <w:tcW w:w="1927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>
                <w:rStyle w:val="SourceText"/>
                <w:rFonts w:ascii="Times New Roman" w:hAnsi="Times New Roman"/>
                <w:b/>
                <w:bCs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shd w:fill="auto" w:val="clear"/>
              </w:rPr>
              <w:t>λ</w:t>
            </w:r>
          </w:p>
        </w:tc>
        <w:tc>
          <w:tcPr>
            <w:tcW w:w="1928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>
                <w:rStyle w:val="SourceText"/>
                <w:rFonts w:ascii="Times New Roman" w:hAnsi="Times New Roman"/>
                <w:b/>
                <w:bCs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shd w:fill="auto" w:val="clear"/>
              </w:rPr>
              <w:t>μ</w:t>
            </w:r>
          </w:p>
        </w:tc>
        <w:tc>
          <w:tcPr>
            <w:tcW w:w="1928" w:type="dxa"/>
            <w:tcBorders/>
          </w:tcPr>
          <w:p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Sau 51ms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1928" w:type="dxa"/>
            <w:tcBorders/>
          </w:tcPr>
          <w:p>
            <w:pPr>
              <w:pStyle w:val="TableContents"/>
              <w:rPr/>
            </w:pPr>
            <w:r>
              <w:rPr/>
              <w:t>6</w:t>
            </w:r>
          </w:p>
        </w:tc>
        <w:tc>
          <w:tcPr>
            <w:tcW w:w="1927" w:type="dxa"/>
            <w:tcBorders/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1928" w:type="dxa"/>
            <w:tcBorders/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1928" w:type="dxa"/>
            <w:tcBorders/>
          </w:tcPr>
          <w:p>
            <w:pPr>
              <w:pStyle w:val="TableContents"/>
              <w:rPr/>
            </w:pPr>
            <w:r>
              <w:rPr/>
              <w:t>vẫn 6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1928" w:type="dxa"/>
            <w:tcBorders/>
          </w:tcPr>
          <w:p>
            <w:pPr>
              <w:pStyle w:val="TableContents"/>
              <w:rPr/>
            </w:pPr>
            <w:r>
              <w:rPr/>
              <w:t>6</w:t>
            </w:r>
          </w:p>
        </w:tc>
        <w:tc>
          <w:tcPr>
            <w:tcW w:w="1927" w:type="dxa"/>
            <w:tcBorders/>
          </w:tcPr>
          <w:p>
            <w:pPr>
              <w:pStyle w:val="TableContents"/>
              <w:rPr/>
            </w:pPr>
            <w:r>
              <w:rPr/>
              <w:t>120</w:t>
            </w:r>
          </w:p>
        </w:tc>
        <w:tc>
          <w:tcPr>
            <w:tcW w:w="1928" w:type="dxa"/>
            <w:tcBorders/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1928" w:type="dxa"/>
            <w:tcBorders/>
          </w:tcPr>
          <w:p>
            <w:pPr>
              <w:pStyle w:val="TableContents"/>
              <w:rPr/>
            </w:pPr>
            <w:r>
              <w:rPr/>
              <w:t>tràn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1928" w:type="dxa"/>
            <w:tcBorders/>
          </w:tcPr>
          <w:p>
            <w:pPr>
              <w:pStyle w:val="TableContents"/>
              <w:rPr/>
            </w:pPr>
            <w:r>
              <w:rPr/>
              <w:t>9</w:t>
            </w:r>
          </w:p>
        </w:tc>
        <w:tc>
          <w:tcPr>
            <w:tcW w:w="1927" w:type="dxa"/>
            <w:tcBorders/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1928" w:type="dxa"/>
            <w:tcBorders/>
          </w:tcPr>
          <w:p>
            <w:pPr>
              <w:pStyle w:val="TableContents"/>
              <w:rPr/>
            </w:pPr>
            <w:r>
              <w:rPr/>
              <w:t>100</w:t>
            </w:r>
          </w:p>
        </w:tc>
        <w:tc>
          <w:tcPr>
            <w:tcW w:w="1928" w:type="dxa"/>
            <w:tcBorders/>
          </w:tcPr>
          <w:p>
            <w:pPr>
              <w:pStyle w:val="TableContents"/>
              <w:rPr/>
            </w:pPr>
            <w:r>
              <w:rPr/>
              <w:t>còn ~4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query() trả về True cho cả 3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3</w:t>
      </w:r>
      <w:r>
        <w:rPr>
          <w:rFonts w:ascii="Times New Roman" w:hAnsi="Times New Roman"/>
          <w:b/>
          <w:bCs/>
        </w:rPr>
        <w:t>. Công thức Predictive ngoại suy chính đại lượng này:</w:t>
      </w:r>
    </w:p>
    <w:p>
      <w:pPr>
        <w:pStyle w:val="BodyText"/>
        <w:bidi w:val="0"/>
        <w:jc w:val="start"/>
        <w:rPr>
          <w:rFonts w:ascii="Times New Roman" w:hAnsi="Times New Roman" w:eastAsia="Noto Serif CJK SC" w:cs="Noto Sans Devanagari"/>
          <w:b w:val="false"/>
          <w:color w:val="000000"/>
          <w:sz w:val="24"/>
          <w:szCs w:val="24"/>
          <w:highlight w:val="none"/>
          <w:shd w:fill="auto" w:val="clear"/>
        </w:rPr>
      </w:pPr>
      <w:r>
        <w:rPr>
          <w:rFonts w:eastAsia="Noto Serif CJK SC" w:cs="Noto Sans Devanagari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Một node có bộ nhớ chứa được tối đa 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M_v</w:t>
      </w:r>
      <w:r>
        <w:rPr>
          <w:rFonts w:eastAsia="Noto Serif CJK SC" w:cs="Noto Sans Devanagari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qubit, hiện đang chứa 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Q_v</w:t>
      </w:r>
      <w:r>
        <w:rPr>
          <w:rFonts w:eastAsia="Noto Serif CJK SC" w:cs="Noto Sans Devanagari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. Qubit </w:t>
      </w:r>
      <w:r>
        <w:rPr>
          <w:rStyle w:val="Strong"/>
          <w:rFonts w:eastAsia="Noto Serif CJK SC" w:cs="Noto Sans Devanagari"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vào</w:t>
      </w:r>
      <w:r>
        <w:rPr>
          <w:rFonts w:eastAsia="Noto Serif CJK SC" w:cs="Noto Sans Devanagari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với tốc độ 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λ</w:t>
      </w:r>
      <w:r>
        <w:rPr>
          <w:rFonts w:eastAsia="Noto Serif CJK SC" w:cs="Noto Sans Devanagari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(lambda, arrival rate) và </w:t>
      </w:r>
      <w:r>
        <w:rPr>
          <w:rStyle w:val="Strong"/>
          <w:rFonts w:eastAsia="Noto Serif CJK SC" w:cs="Noto Sans Devanagari"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ra</w:t>
      </w:r>
      <w:r>
        <w:rPr>
          <w:rFonts w:eastAsia="Noto Serif CJK SC" w:cs="Noto Sans Devanagari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với tốc độ 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μ</w:t>
      </w:r>
      <w:r>
        <w:rPr>
          <w:rFonts w:eastAsia="Noto Serif CJK SC" w:cs="Noto Sans Devanagari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(mu, service rate). Đây là mô hình hàng đợi cơ bản nhất - cùng khung với </w:t>
      </w:r>
      <w:r>
        <w:rPr>
          <w:rStyle w:val="Strong"/>
          <w:rFonts w:eastAsia="Noto Serif CJK SC" w:cs="Noto Sans Devanagari"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M/M/1</w:t>
      </w:r>
      <w:r>
        <w:rPr>
          <w:rFonts w:eastAsia="Noto Serif CJK SC" w:cs="Noto Sans Devanagari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trong lý thuyết hàng đợi cổ điển.</w:t>
      </w:r>
    </w:p>
    <w:p>
      <w:pPr>
        <w:pStyle w:val="BodyText"/>
        <w:widowControl/>
        <w:pBdr/>
        <w:spacing w:before="0" w:after="0"/>
        <w:ind w:hanging="0" w:start="0" w:end="0"/>
        <w:rPr>
          <w:rFonts w:ascii="Times New Roman" w:hAnsi="Times New Roman"/>
          <w:color w:val="00000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Đại lượng then chốt là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hệ số sử dụng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ρ = λ/μ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:</w:t>
        <w:tab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619"/>
        <w:gridCol w:w="8019"/>
      </w:tblGrid>
      <w:tr>
        <w:trPr/>
        <w:tc>
          <w:tcPr>
            <w:tcW w:w="1619" w:type="dxa"/>
            <w:tcBorders/>
          </w:tcPr>
          <w:p>
            <w:pPr>
              <w:pStyle w:val="TableHeading"/>
              <w:ind w:hanging="0" w:start="0" w:end="0"/>
              <w:rPr>
                <w:rFonts w:ascii="Times New Roman" w:hAnsi="Times New Roman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</w:r>
          </w:p>
        </w:tc>
        <w:tc>
          <w:tcPr>
            <w:tcW w:w="8019" w:type="dxa"/>
            <w:tcBorders/>
          </w:tcPr>
          <w:p>
            <w:pPr>
              <w:pStyle w:val="TableHeading"/>
              <w:ind w:hanging="0" w:start="0" w:end="0"/>
              <w:jc w:val="start"/>
              <w:rPr>
                <w:rFonts w:ascii="Times New Roman" w:hAnsi="Times New Roman"/>
                <w:b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shd w:fill="auto" w:val="clear"/>
              </w:rPr>
              <w:t>Hàng đợi</w:t>
            </w:r>
          </w:p>
        </w:tc>
      </w:tr>
      <w:tr>
        <w:trPr/>
        <w:tc>
          <w:tcPr>
            <w:tcW w:w="1619" w:type="dxa"/>
            <w:tcBorders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ρ &lt; 1</w:t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 (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λ &lt; μ</w:t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)</w:t>
            </w:r>
          </w:p>
        </w:tc>
        <w:tc>
          <w:tcPr>
            <w:tcW w:w="8019" w:type="dxa"/>
            <w:tcBorders/>
          </w:tcPr>
          <w:p>
            <w:pPr>
              <w:pStyle w:val="TableContents"/>
              <w:ind w:hanging="0" w:start="0" w:end="0"/>
              <w:rPr>
                <w:rFonts w:ascii="Times New Roman" w:hAnsi="Times New Roman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ổn định, độ dài dao động quanh một giá trị hữu hạn</w:t>
            </w:r>
          </w:p>
        </w:tc>
      </w:tr>
      <w:tr>
        <w:trPr/>
        <w:tc>
          <w:tcPr>
            <w:tcW w:w="1619" w:type="dxa"/>
            <w:tcBorders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ρ = 1</w:t>
            </w:r>
          </w:p>
        </w:tc>
        <w:tc>
          <w:tcPr>
            <w:tcW w:w="8019" w:type="dxa"/>
            <w:tcBorders/>
          </w:tcPr>
          <w:p>
            <w:pPr>
              <w:pStyle w:val="TableContents"/>
              <w:rPr/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tới hạn, độ dài trôi ngẫu nhiên</w:t>
            </w:r>
          </w:p>
        </w:tc>
      </w:tr>
      <w:tr>
        <w:trPr/>
        <w:tc>
          <w:tcPr>
            <w:tcW w:w="1619" w:type="dxa"/>
            <w:tcBorders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ρ &gt; 1</w:t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 (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λ &gt; μ</w:t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)</w:t>
            </w:r>
          </w:p>
        </w:tc>
        <w:tc>
          <w:tcPr>
            <w:tcW w:w="8019" w:type="dxa"/>
            <w:tcBorders/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>
                <w:rStyle w:val="Strong"/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  <w:shd w:fill="auto" w:val="clear"/>
              </w:rPr>
              <w:t>phân kỳ</w:t>
            </w:r>
            <w:r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  <w:shd w:fill="auto" w:val="clear"/>
              </w:rPr>
              <w:t> - hàng đợi dài ra vô hạn, hay ở đây là </w:t>
            </w:r>
            <w:r>
              <w:rPr>
                <w:rStyle w:val="Strong"/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  <w:shd w:fill="auto" w:val="clear"/>
              </w:rPr>
              <w:t>tràn</w:t>
            </w:r>
          </w:p>
        </w:tc>
      </w:tr>
    </w:tbl>
    <w:p>
      <w:pPr>
        <w:pStyle w:val="BodyText"/>
        <w:widowControl/>
        <w:pBdr/>
        <w:spacing w:before="0" w:after="0"/>
        <w:ind w:hanging="0" w:start="0" w:end="0"/>
        <w:rPr>
          <w:rFonts w:ascii="Times New Roman" w:hAnsi="Times New Roman"/>
          <w:color w:val="00000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Toàn bộ ý nghĩa của việc đo 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λ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và 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μ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là để biết node đang ở phía nào của lằn ranh này.</w:t>
      </w:r>
    </w:p>
    <w:p>
      <w:pPr>
        <w:pStyle w:val="Heading3"/>
        <w:widowControl/>
        <w:pBdr/>
        <w:spacing w:lineRule="auto" w:line="300" w:before="0" w:after="0"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- Công thức và suy diễn</w:t>
      </w:r>
    </w:p>
    <w:p>
      <w:pPr>
        <w:pStyle w:val="BodyText"/>
        <w:widowControl/>
        <w:pBdr/>
        <w:spacing w:before="0" w:after="0"/>
        <w:ind w:hanging="0" w:start="0" w:end="0"/>
        <w:rPr>
          <w:rFonts w:ascii="Times New Roman" w:hAnsi="Times New Roman"/>
          <w:color w:val="00000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Nhìn hàng đợi như một cái bồn nước: nước vào 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λ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lít/giây, chảy ra 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μ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lít/giây. Tốc độ thay đổi mực nước là hiệu số:</w:t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dQ/dt ≈ λ − μ</w:t>
      </w:r>
    </w:p>
    <w:p>
      <w:pPr>
        <w:pStyle w:val="BodyText"/>
        <w:widowControl/>
        <w:pBdr/>
        <w:spacing w:before="0" w:after="0"/>
        <w:ind w:hanging="0" w:start="0" w:end="0"/>
        <w:rPr>
          <w:rFonts w:ascii="Times New Roman" w:hAnsi="Times New Roman"/>
          <w:color w:val="00000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Đây là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fluid approximation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(xấp xỉ chất lỏng) - kỹ thuật trong lý thuyết hàng đợi: bỏ qua tính rời rạc và tính ngẫu nhiên, chỉ giữ lại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xu hướng trung bình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. Nó biến một quá trình ngẫu nhiên phức tạp thành một phương trình vi phân đơn giản.</w:t>
      </w:r>
    </w:p>
    <w:p>
      <w:pPr>
        <w:pStyle w:val="BodyText"/>
        <w:widowControl/>
        <w:pBdr/>
        <w:spacing w:before="0" w:after="0"/>
        <w:ind w:hanging="0" w:start="0" w:end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Áp Taylor bậc nhất (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4"/>
          <w:szCs w:val="24"/>
          <w:shd w:fill="auto" w:val="clear"/>
        </w:rPr>
        <w:t>f(t + Δ) ≈ f(t) + f'(t) . Δ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1F2328"/>
          <w:spacing w:val="0"/>
          <w:sz w:val="24"/>
          <w:szCs w:val="24"/>
          <w:shd w:fill="auto" w:val="clear"/>
        </w:rPr>
        <w:t>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:</w:t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Q̂_v(t+Δ) = Q_v(t) + (λ_v − μ_v) . Δ</w:t>
      </w:r>
    </w:p>
    <w:p>
      <w:pPr>
        <w:pStyle w:val="BodyText"/>
        <w:rPr>
          <w:rStyle w:val="SourceText"/>
          <w:rFonts w:ascii="Times New Roman" w:hAnsi="Times New Roman" w:eastAsia="Noto Sans Mono CJK SC" w:cs="Liberation Mono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Style w:val="SourceText"/>
          <w:rFonts w:eastAsia="Noto Sans Mono CJK SC" w:cs="Liberation Mono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Rồi quy về xác suất - tỉ lệ chỗ trống còn lại:</w:t>
      </w:r>
    </w:p>
    <w:p>
      <w:pPr>
        <w:pStyle w:val="BodyTex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P_node = clamp( 1 − Q̂_v(t+Δ) / M_v , 0 , 1 ) (hàm chặn clamp(x, a, b) = max(a, min(x, b)))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Hạn chế toán học: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48"/>
          <w:szCs w:val="48"/>
        </w:rPr>
        <w:t xml:space="preserve">EWMA - ước lượng tốc độ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48"/>
          <w:szCs w:val="48"/>
          <w:shd w:fill="auto" w:val="clear"/>
        </w:rPr>
        <w:t xml:space="preserve">λ và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48"/>
          <w:szCs w:val="48"/>
          <w:shd w:fill="auto" w:val="clear"/>
        </w:rPr>
        <w:t>μ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EMWA (Exponetially Weighted Moving Average)</w:t>
      </w:r>
      <w:r>
        <w:rPr>
          <w:rFonts w:ascii="Times New Roman" w:hAnsi="Times New Roman"/>
        </w:rPr>
        <w:br/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Citation:</w:t>
      </w:r>
    </w:p>
    <w:p>
      <w:pPr>
        <w:pStyle w:val="Normal"/>
        <w:bidi w:val="0"/>
        <w:jc w:val="start"/>
        <w:rPr>
          <w:rFonts w:ascii="Times New Roman" w:hAnsi="Times New Roman"/>
        </w:rPr>
      </w:pPr>
      <w:hyperlink r:id="rId2">
        <w:r>
          <w:rPr>
            <w:rStyle w:val="Hyperlink"/>
            <w:rFonts w:ascii="Times New Roman" w:hAnsi="Times New Roman"/>
          </w:rPr>
          <w:t>https://mathworld.wolfram.com/OccupancyProblem.html</w:t>
        </w:r>
      </w:hyperlink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Times New Roman">
    <w:charset w:val="01" w:characterSet="utf-8"/>
    <w:family w:val="roman"/>
    <w:pitch w:val="variable"/>
  </w:font>
  <w:font w:name="Times New Roman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mathworld.wolfram.com/OccupancyProblem.html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93</TotalTime>
  <Application>LibreOffice/26.2.5.2$Linux_X86_64 LibreOffice_project/30643f3b95f81f04449dc87ba649cc313a42270e</Application>
  <AppVersion>15.0000</AppVersion>
  <Pages>2</Pages>
  <Words>630</Words>
  <Characters>2217</Characters>
  <CharactersWithSpaces>2793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2026-08-12T16:30:45Z</dcterms:created>
  <dc:creator/>
  <dc:description/>
  <dc:language>en-US</dc:language>
  <cp:lastModifiedBy/>
  <dcterms:modified xsi:type="dcterms:W3CDTF">2026-08-12T21:36:03Z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