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6FC4"/>
          <w:sz w:val="30"/>
          <w:szCs w:val="30"/>
        </w:rPr>
        <w:t xml:space="preserve">Nhat Duong — CHANGE REQUEST ADDENDUM (CR-01)</w:t>
      </w:r>
    </w:p>
    <w:p>
      <w:pPr>
        <w:spacing w:after="40"/>
      </w:pPr>
      <w:r>
        <w:rPr>
          <w:b/>
          <w:bCs/>
          <w:sz w:val="24"/>
          <w:szCs w:val="24"/>
        </w:rPr>
        <w:t xml:space="preserve">Supporter Review — Post-Design Requirements</w:t>
      </w:r>
    </w:p>
    <w:p>
      <w:pPr>
        <w:spacing w:after="200"/>
      </w:pPr>
      <w:r>
        <w:rPr>
          <w:b/>
          <w:bCs/>
          <w:sz w:val="22"/>
          <w:szCs w:val="22"/>
        </w:rPr>
        <w:t xml:space="preserve">29th Jun, 2026</w:t>
      </w:r>
    </w:p>
    <w:p>
      <w:pPr>
        <w:pStyle w:val="Heading1"/>
        <w:spacing w:after="160" w:before="280"/>
      </w:pPr>
      <w:r>
        <w:rPr>
          <w:b/>
          <w:bCs/>
          <w:color w:val="1F6FC4"/>
          <w:sz w:val="30"/>
          <w:szCs w:val="30"/>
        </w:rPr>
        <w:t xml:space="preserve">OVERVIEW</w:t>
      </w:r>
    </w:p>
    <w:p>
      <w:pPr>
        <w:spacing w:after="100"/>
      </w:pPr>
      <w:r>
        <w:rPr>
          <w:sz w:val="22"/>
          <w:szCs w:val="22"/>
        </w:rPr>
        <w:t xml:space="preserve">This addendum captures eight new requirements raised by the supporter during review of the completed System Design, ERD, and Database Design deliverables for the Facebook Creator Platform (NestJS Microservices Edition). For each requirement it records the decision, the rationale, and the exact, copy-paste-ready change set per affected artifact (docx documents, draw.io / D2 diagrams, SQL, seed, and code-level conventions).</w:t>
      </w:r>
    </w:p>
    <w:p>
      <w:pPr>
        <w:spacing w:after="100"/>
      </w:pPr>
      <w:r>
        <w:rPr>
          <w:sz w:val="22"/>
          <w:szCs w:val="22"/>
        </w:rPr>
        <w:t xml:space="preserve">It is a companion to — not a replacement for — the four base documents (Proposal, Estimations &amp; Constraints, Database Design, Estimation &amp; Roadmap). Where a base document table or section changes, the precise replacement text is given below so the edits can be applied verbatim. A new </w:t>
      </w:r>
      <w:r>
        <w:rPr>
          <w:b/>
          <w:bCs/>
          <w:sz w:val="22"/>
          <w:szCs w:val="22"/>
        </w:rPr>
        <w:t xml:space="preserve">ADR-011 … ADR-018</w:t>
      </w:r>
      <w:r>
        <w:rPr>
          <w:sz w:val="22"/>
          <w:szCs w:val="22"/>
        </w:rPr>
        <w:t xml:space="preserve"> block extends the existing ADR list.</w:t>
      </w:r>
    </w:p>
    <w:p>
      <w:pPr>
        <w:pStyle w:val="Heading2"/>
        <w:spacing w:after="120" w:before="220"/>
      </w:pPr>
      <w:r>
        <w:rPr>
          <w:b/>
          <w:bCs/>
          <w:color w:val="C0392B"/>
          <w:sz w:val="24"/>
          <w:szCs w:val="24"/>
        </w:rPr>
        <w:t xml:space="preserve">CHANGE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4400"/>
        <w:gridCol w:w="3340"/>
        <w:gridCol w:w="1100"/>
      </w:tblGrid>
      <w:tr>
        <w:trPr>
          <w:tblHeader/>
        </w:trPr>
        <w:tc>
          <w:tcPr>
            <w:tcW w:type="dxa" w:w="520"/>
            <w:tcBorders>
              <w:top w:val="single" w:color="B7C2CC" w:sz="1"/>
              <w:left w:val="single" w:color="B7C2CC" w:sz="1"/>
              <w:bottom w:val="single" w:color="B7C2CC" w:sz="1"/>
              <w:right w:val="single" w:color="B7C2CC" w:sz="1"/>
            </w:tcBorders>
            <w:shd w:fill="D5E8F0" w:val="clear"/>
            <w:tcMar>
              <w:top w:type="dxa" w:w="60"/>
              <w:left w:type="dxa" w:w="100"/>
              <w:bottom w:type="dxa" w:w="60"/>
              <w:right w:type="dxa" w:w="100"/>
            </w:tcMar>
            <w:vAlign w:val="center"/>
          </w:tcPr>
          <w:p>
            <w:r>
              <w:rPr>
                <w:b/>
                <w:bCs/>
                <w:sz w:val="19"/>
                <w:szCs w:val="19"/>
              </w:rPr>
              <w:t xml:space="preserve">#</w:t>
            </w:r>
          </w:p>
        </w:tc>
        <w:tc>
          <w:tcPr>
            <w:tcW w:type="dxa" w:w="4400"/>
            <w:tcBorders>
              <w:top w:val="single" w:color="B7C2CC" w:sz="1"/>
              <w:left w:val="single" w:color="B7C2CC" w:sz="1"/>
              <w:bottom w:val="single" w:color="B7C2CC" w:sz="1"/>
              <w:right w:val="single" w:color="B7C2CC" w:sz="1"/>
            </w:tcBorders>
            <w:shd w:fill="D5E8F0" w:val="clear"/>
            <w:tcMar>
              <w:top w:type="dxa" w:w="60"/>
              <w:left w:type="dxa" w:w="100"/>
              <w:bottom w:type="dxa" w:w="60"/>
              <w:right w:type="dxa" w:w="100"/>
            </w:tcMar>
            <w:vAlign w:val="center"/>
          </w:tcPr>
          <w:p>
            <w:r>
              <w:rPr>
                <w:b/>
                <w:bCs/>
                <w:sz w:val="19"/>
                <w:szCs w:val="19"/>
              </w:rPr>
              <w:t xml:space="preserve">Requirement</w:t>
            </w:r>
          </w:p>
        </w:tc>
        <w:tc>
          <w:tcPr>
            <w:tcW w:type="dxa" w:w="3340"/>
            <w:tcBorders>
              <w:top w:val="single" w:color="B7C2CC" w:sz="1"/>
              <w:left w:val="single" w:color="B7C2CC" w:sz="1"/>
              <w:bottom w:val="single" w:color="B7C2CC" w:sz="1"/>
              <w:right w:val="single" w:color="B7C2CC" w:sz="1"/>
            </w:tcBorders>
            <w:shd w:fill="D5E8F0" w:val="clear"/>
            <w:tcMar>
              <w:top w:type="dxa" w:w="60"/>
              <w:left w:type="dxa" w:w="100"/>
              <w:bottom w:type="dxa" w:w="60"/>
              <w:right w:type="dxa" w:w="100"/>
            </w:tcMar>
            <w:vAlign w:val="center"/>
          </w:tcPr>
          <w:p>
            <w:r>
              <w:rPr>
                <w:b/>
                <w:bCs/>
                <w:sz w:val="19"/>
                <w:szCs w:val="19"/>
              </w:rPr>
              <w:t xml:space="preserve">Primary impact</w:t>
            </w:r>
          </w:p>
        </w:tc>
        <w:tc>
          <w:tcPr>
            <w:tcW w:type="dxa" w:w="1100"/>
            <w:tcBorders>
              <w:top w:val="single" w:color="B7C2CC" w:sz="1"/>
              <w:left w:val="single" w:color="B7C2CC" w:sz="1"/>
              <w:bottom w:val="single" w:color="B7C2CC" w:sz="1"/>
              <w:right w:val="single" w:color="B7C2CC" w:sz="1"/>
            </w:tcBorders>
            <w:shd w:fill="D5E8F0" w:val="clear"/>
            <w:tcMar>
              <w:top w:type="dxa" w:w="60"/>
              <w:left w:type="dxa" w:w="100"/>
              <w:bottom w:type="dxa" w:w="60"/>
              <w:right w:type="dxa" w:w="100"/>
            </w:tcMar>
            <w:vAlign w:val="center"/>
          </w:tcPr>
          <w:p>
            <w:r>
              <w:rPr>
                <w:b/>
                <w:bCs/>
                <w:sz w:val="19"/>
                <w:szCs w:val="19"/>
              </w:rPr>
              <w:t xml:space="preserve">Effort</w:t>
            </w:r>
          </w:p>
        </w:tc>
      </w:tr>
      <w:tr>
        <w:tc>
          <w:tcPr>
            <w:tcW w:type="dxa" w:w="52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R1</w:t>
            </w:r>
          </w:p>
        </w:tc>
        <w:tc>
          <w:tcPr>
            <w:tcW w:type="dxa" w:w="44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Replace TypeORM with MikroORM (Unit of Work + Identity Map)</w:t>
            </w:r>
          </w:p>
        </w:tc>
        <w:tc>
          <w:tcPr>
            <w:tcW w:type="dxa" w:w="334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Stack, all entities, repos, code conventions</w:t>
            </w:r>
          </w:p>
        </w:tc>
        <w:tc>
          <w:tcPr>
            <w:tcW w:type="dxa" w:w="11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+10h</w:t>
            </w:r>
          </w:p>
        </w:tc>
      </w:tr>
      <w:tr>
        <w:tc>
          <w:tcPr>
            <w:tcW w:type="dxa" w:w="52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R2</w:t>
            </w:r>
          </w:p>
        </w:tc>
        <w:tc>
          <w:tcPr>
            <w:tcW w:type="dxa" w:w="44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Apply PII handling — encrypt sensitive fields at rest</w:t>
            </w:r>
          </w:p>
        </w:tc>
        <w:tc>
          <w:tcPr>
            <w:tcW w:type="dxa" w:w="334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DB design, DDL, NFR (Security), entities</w:t>
            </w:r>
          </w:p>
        </w:tc>
        <w:tc>
          <w:tcPr>
            <w:tcW w:type="dxa" w:w="11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+8h</w:t>
            </w:r>
          </w:p>
        </w:tc>
      </w:tr>
      <w:tr>
        <w:tc>
          <w:tcPr>
            <w:tcW w:type="dxa" w:w="52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R3</w:t>
            </w:r>
          </w:p>
        </w:tc>
        <w:tc>
          <w:tcPr>
            <w:tcW w:type="dxa" w:w="44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No DB auto-generated id for the separate services</w:t>
            </w:r>
          </w:p>
        </w:tc>
        <w:tc>
          <w:tcPr>
            <w:tcW w:type="dxa" w:w="334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DDL, entities, seed, Field Spec sheets, D2</w:t>
            </w:r>
          </w:p>
        </w:tc>
        <w:tc>
          <w:tcPr>
            <w:tcW w:type="dxa" w:w="11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+5h</w:t>
            </w:r>
          </w:p>
        </w:tc>
      </w:tr>
      <w:tr>
        <w:tc>
          <w:tcPr>
            <w:tcW w:type="dxa" w:w="52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R4</w:t>
            </w:r>
          </w:p>
        </w:tc>
        <w:tc>
          <w:tcPr>
            <w:tcW w:type="dxa" w:w="44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Full created_at / updated_at / deleted_at (soft delete) everywhere</w:t>
            </w:r>
          </w:p>
        </w:tc>
        <w:tc>
          <w:tcPr>
            <w:tcW w:type="dxa" w:w="334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DDL, entities, views, all Field Spec sheets</w:t>
            </w:r>
          </w:p>
        </w:tc>
        <w:tc>
          <w:tcPr>
            <w:tcW w:type="dxa" w:w="11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+6h</w:t>
            </w:r>
          </w:p>
        </w:tc>
      </w:tr>
      <w:tr>
        <w:tc>
          <w:tcPr>
            <w:tcW w:type="dxa" w:w="52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R5</w:t>
            </w:r>
          </w:p>
        </w:tc>
        <w:tc>
          <w:tcPr>
            <w:tcW w:type="dxa" w:w="44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Adopt the Result pattern for functional error handling</w:t>
            </w:r>
          </w:p>
        </w:tc>
        <w:tc>
          <w:tcPr>
            <w:tcW w:type="dxa" w:w="334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Code conventions, services, ADR</w:t>
            </w:r>
          </w:p>
        </w:tc>
        <w:tc>
          <w:tcPr>
            <w:tcW w:type="dxa" w:w="11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+4h</w:t>
            </w:r>
          </w:p>
        </w:tc>
      </w:tr>
      <w:tr>
        <w:tc>
          <w:tcPr>
            <w:tcW w:type="dxa" w:w="52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R6</w:t>
            </w:r>
          </w:p>
        </w:tc>
        <w:tc>
          <w:tcPr>
            <w:tcW w:type="dxa" w:w="44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Extract Audit Logs into its own service on MongoDB (schemaless)</w:t>
            </w:r>
          </w:p>
        </w:tc>
        <w:tc>
          <w:tcPr>
            <w:tcW w:type="dxa" w:w="334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Architecture, ERD, DB design, DDL, estimation</w:t>
            </w:r>
          </w:p>
        </w:tc>
        <w:tc>
          <w:tcPr>
            <w:tcW w:type="dxa" w:w="11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+9h</w:t>
            </w:r>
          </w:p>
        </w:tc>
      </w:tr>
      <w:tr>
        <w:tc>
          <w:tcPr>
            <w:tcW w:type="dxa" w:w="52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R7</w:t>
            </w:r>
          </w:p>
        </w:tc>
        <w:tc>
          <w:tcPr>
            <w:tcW w:type="dxa" w:w="44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Billing/Stripe as an explicit State Machine + state diagram + full logs</w:t>
            </w:r>
          </w:p>
        </w:tc>
        <w:tc>
          <w:tcPr>
            <w:tcW w:type="dxa" w:w="334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HLD diagram, billing service, new diagram</w:t>
            </w:r>
          </w:p>
        </w:tc>
        <w:tc>
          <w:tcPr>
            <w:tcW w:type="dxa" w:w="11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+6h</w:t>
            </w:r>
          </w:p>
        </w:tc>
      </w:tr>
      <w:tr>
        <w:tc>
          <w:tcPr>
            <w:tcW w:type="dxa" w:w="52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R8</w:t>
            </w:r>
          </w:p>
        </w:tc>
        <w:tc>
          <w:tcPr>
            <w:tcW w:type="dxa" w:w="44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Index every foreign key (real + logical)</w:t>
            </w:r>
          </w:p>
        </w:tc>
        <w:tc>
          <w:tcPr>
            <w:tcW w:type="dxa" w:w="334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DDL, DB design Phase 4, indexes</w:t>
            </w:r>
          </w:p>
        </w:tc>
        <w:tc>
          <w:tcPr>
            <w:tcW w:type="dxa" w:w="11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+2h</w:t>
            </w:r>
          </w:p>
        </w:tc>
      </w:tr>
      <w:tr>
        <w:tc>
          <w:tcPr>
            <w:tcW w:type="dxa" w:w="52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R9</w:t>
            </w:r>
          </w:p>
        </w:tc>
        <w:tc>
          <w:tcPr>
            <w:tcW w:type="dxa" w:w="44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Artillery for API testing + load testing</w:t>
            </w:r>
          </w:p>
        </w:tc>
        <w:tc>
          <w:tcPr>
            <w:tcW w:type="dxa" w:w="334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Estimation, target stack, new test plan</w:t>
            </w:r>
          </w:p>
        </w:tc>
        <w:tc>
          <w:tcPr>
            <w:tcW w:type="dxa" w:w="11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+6h</w:t>
            </w:r>
          </w:p>
        </w:tc>
      </w:tr>
      <w:tr>
        <w:tc>
          <w:tcPr>
            <w:tcW w:type="dxa" w:w="52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R10</w:t>
            </w:r>
          </w:p>
        </w:tc>
        <w:tc>
          <w:tcPr>
            <w:tcW w:type="dxa" w:w="44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Read-only audit-logs API on apps/api gateway (Owner only)</w:t>
            </w:r>
          </w:p>
        </w:tc>
        <w:tc>
          <w:tcPr>
            <w:tcW w:type="dxa" w:w="334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API Design section, event catalog</w:t>
            </w:r>
          </w:p>
        </w:tc>
        <w:tc>
          <w:tcPr>
            <w:tcW w:type="dxa" w:w="11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incl. in R6</w:t>
            </w:r>
          </w:p>
        </w:tc>
      </w:tr>
    </w:tbl>
    <w:p>
      <w:pPr>
        <w:spacing w:after="100"/>
      </w:pPr>
      <w:r>
        <w:rPr>
          <w:sz w:val="22"/>
          <w:szCs w:val="22"/>
        </w:rPr>
        <w:t xml:space="preserve">Net estimation impact: </w:t>
      </w:r>
      <w:r>
        <w:rPr>
          <w:b/>
          <w:bCs/>
          <w:sz w:val="22"/>
          <w:szCs w:val="22"/>
        </w:rPr>
        <w:t xml:space="preserve">+56h</w:t>
      </w:r>
      <w:r>
        <w:rPr>
          <w:sz w:val="22"/>
          <w:szCs w:val="22"/>
        </w:rPr>
        <w:t xml:space="preserve"> gross (from 166h to ~222h). See §</w:t>
      </w:r>
      <w:r>
        <w:rPr>
          <w:b/>
          <w:bCs/>
          <w:sz w:val="22"/>
          <w:szCs w:val="22"/>
        </w:rPr>
        <w:t xml:space="preserve">R9 / Estimation</w:t>
      </w:r>
      <w:r>
        <w:rPr>
          <w:sz w:val="22"/>
          <w:szCs w:val="22"/>
        </w:rPr>
        <w:t xml:space="preserve"> for the re-baselined roadmap. The +56h is absorbed by extending the timeline; it is not expected to fit the original 120h budget.</w:t>
      </w:r>
    </w:p>
    <w:p>
      <w:pPr>
        <w:pageBreakBefore/>
      </w:pPr>
    </w:p>
    <w:p>
      <w:pPr>
        <w:pStyle w:val="Heading1"/>
        <w:spacing w:after="160" w:before="280"/>
      </w:pPr>
      <w:r>
        <w:rPr>
          <w:b/>
          <w:bCs/>
          <w:color w:val="1F6FC4"/>
          <w:sz w:val="30"/>
          <w:szCs w:val="30"/>
        </w:rPr>
        <w:t xml:space="preserve">R1 — MIKROORM + UNIT OF WORK (REPLACES TYPEORM)</w:t>
      </w:r>
    </w:p>
    <w:p>
      <w:pPr>
        <w:pStyle w:val="Heading2"/>
        <w:spacing w:after="120" w:before="220"/>
      </w:pPr>
      <w:r>
        <w:rPr>
          <w:b/>
          <w:bCs/>
          <w:color w:val="C0392B"/>
          <w:sz w:val="24"/>
          <w:szCs w:val="24"/>
        </w:rPr>
        <w:t xml:space="preserve">Decision</w:t>
      </w:r>
    </w:p>
    <w:p>
      <w:pPr>
        <w:spacing w:after="100"/>
      </w:pPr>
      <w:r>
        <w:rPr>
          <w:sz w:val="22"/>
          <w:szCs w:val="22"/>
        </w:rPr>
        <w:t xml:space="preserve">Replace TypeORM with </w:t>
      </w:r>
      <w:r>
        <w:rPr>
          <w:b/>
          <w:bCs/>
          <w:sz w:val="22"/>
          <w:szCs w:val="22"/>
        </w:rPr>
        <w:t xml:space="preserve">MikroORM</w:t>
      </w:r>
      <w:r>
        <w:rPr>
          <w:sz w:val="22"/>
          <w:szCs w:val="22"/>
        </w:rPr>
        <w:t xml:space="preserve"> across apps/api and every supporting service. MikroORM's </w:t>
      </w:r>
      <w:r>
        <w:rPr>
          <w:b/>
          <w:bCs/>
          <w:sz w:val="22"/>
          <w:szCs w:val="22"/>
        </w:rPr>
        <w:t xml:space="preserve">Identity Map</w:t>
      </w:r>
      <w:r>
        <w:rPr>
          <w:sz w:val="22"/>
          <w:szCs w:val="22"/>
        </w:rPr>
        <w:t xml:space="preserve"> and </w:t>
      </w:r>
      <w:r>
        <w:rPr>
          <w:b/>
          <w:bCs/>
          <w:sz w:val="22"/>
          <w:szCs w:val="22"/>
        </w:rPr>
        <w:t xml:space="preserve">Unit of Work</w:t>
      </w:r>
      <w:r>
        <w:rPr>
          <w:sz w:val="22"/>
          <w:szCs w:val="22"/>
        </w:rPr>
        <w:t xml:space="preserve"> become the persistence backbone: entities are tracked, and a single </w:t>
      </w:r>
      <w:r>
        <w:rPr>
          <w:rFonts w:ascii="Consolas" w:cs="Consolas" w:eastAsia="Consolas" w:hAnsi="Consolas"/>
          <w:sz w:val="20"/>
          <w:szCs w:val="20"/>
        </w:rPr>
        <w:t xml:space="preserve">em.flush()</w:t>
      </w:r>
      <w:r>
        <w:rPr>
          <w:sz w:val="22"/>
          <w:szCs w:val="22"/>
        </w:rPr>
        <w:t xml:space="preserve"> commits all pending changes in one transaction, which fits the event-driven write-then-publish pattern well (collect domain events, persist, flush, then publish on commit).</w:t>
      </w:r>
    </w:p>
    <w:p>
      <w:pPr>
        <w:spacing w:after="80" w:before="160"/>
      </w:pPr>
      <w:r>
        <w:rPr>
          <w:b/>
          <w:bCs/>
          <w:color w:val="333333"/>
          <w:sz w:val="22"/>
          <w:szCs w:val="22"/>
        </w:rPr>
        <w:t xml:space="preserve">Why</w:t>
      </w:r>
    </w:p>
    <w:p>
      <w:pPr>
        <w:pStyle w:val="ListParagraph"/>
        <w:numPr>
          <w:ilvl w:val="0"/>
          <w:numId w:val="2"/>
        </w:numPr>
        <w:spacing w:after="40"/>
      </w:pPr>
      <w:r>
        <w:rPr>
          <w:sz w:val="22"/>
          <w:szCs w:val="22"/>
        </w:rPr>
        <w:t xml:space="preserve">Unit of Work batches all writes in a request into one transactional flush — no scattered .save() calls, fewer round-trips, and a natural transactional boundary for emitting domain events after commit.</w:t>
      </w:r>
    </w:p>
    <w:p>
      <w:pPr>
        <w:pStyle w:val="ListParagraph"/>
        <w:numPr>
          <w:ilvl w:val="0"/>
          <w:numId w:val="2"/>
        </w:numPr>
        <w:spacing w:after="40"/>
      </w:pPr>
      <w:r>
        <w:rPr>
          <w:sz w:val="22"/>
          <w:szCs w:val="22"/>
        </w:rPr>
        <w:t xml:space="preserve">Identity Map guarantees one in-memory instance per row per request, eliminating a class of stale-entity bugs.</w:t>
      </w:r>
    </w:p>
    <w:p>
      <w:pPr>
        <w:pStyle w:val="ListParagraph"/>
        <w:numPr>
          <w:ilvl w:val="0"/>
          <w:numId w:val="2"/>
        </w:numPr>
        <w:spacing w:after="40"/>
      </w:pPr>
      <w:r>
        <w:rPr>
          <w:sz w:val="22"/>
          <w:szCs w:val="22"/>
        </w:rPr>
        <w:t xml:space="preserve">First-class support for multiple schemas in one PostgreSQL instance (per-entity schema), and a clean separate-database driver story for the new MongoDB audit service (R6).</w:t>
      </w:r>
    </w:p>
    <w:p>
      <w:pPr>
        <w:pStyle w:val="ListParagraph"/>
        <w:numPr>
          <w:ilvl w:val="0"/>
          <w:numId w:val="2"/>
        </w:numPr>
        <w:spacing w:after="40"/>
      </w:pPr>
      <w:r>
        <w:rPr>
          <w:sz w:val="22"/>
          <w:szCs w:val="22"/>
        </w:rPr>
        <w:t xml:space="preserve">Explicit, decorator-driven entity definitions map cleanly onto the Phase 3 Field Specification sheets.</w:t>
      </w:r>
    </w:p>
    <w:p>
      <w:pPr>
        <w:pStyle w:val="Heading2"/>
        <w:spacing w:after="120" w:before="220"/>
      </w:pPr>
      <w:r>
        <w:rPr>
          <w:b/>
          <w:bCs/>
          <w:color w:val="C0392B"/>
          <w:sz w:val="24"/>
          <w:szCs w:val="24"/>
        </w:rPr>
        <w:t xml:space="preserve">Affected artifacts &amp; exact edits</w:t>
      </w:r>
    </w:p>
    <w:p>
      <w:pPr>
        <w:spacing w:after="80" w:before="160"/>
      </w:pPr>
      <w:r>
        <w:rPr>
          <w:b/>
          <w:bCs/>
          <w:color w:val="333333"/>
          <w:sz w:val="22"/>
          <w:szCs w:val="22"/>
        </w:rPr>
        <w:t xml:space="preserve">a) Estimations &amp; Constraints — Non-Functional Requirements table</w:t>
      </w:r>
    </w:p>
    <w:p>
      <w:pPr>
        <w:spacing w:after="100"/>
      </w:pPr>
      <w:r>
        <w:rPr>
          <w:sz w:val="22"/>
          <w:szCs w:val="22"/>
        </w:rPr>
        <w:t xml:space="preserve">In the row </w:t>
      </w:r>
      <w:r>
        <w:rPr>
          <w:b/>
          <w:bCs/>
          <w:sz w:val="22"/>
          <w:szCs w:val="22"/>
        </w:rPr>
        <w:t xml:space="preserve">Data ownership / Schema isolation</w:t>
      </w:r>
      <w:r>
        <w:rPr>
          <w:sz w:val="22"/>
          <w:szCs w:val="22"/>
        </w:rPr>
        <w:t xml:space="preserve">, and wherever ORM is referenced, replace </w:t>
      </w:r>
      <w:r>
        <w:rPr>
          <w:rFonts w:ascii="Consolas" w:cs="Consolas" w:eastAsia="Consolas" w:hAnsi="Consolas"/>
          <w:sz w:val="20"/>
          <w:szCs w:val="20"/>
        </w:rPr>
        <w:t xml:space="preserve">TypeORM</w:t>
      </w:r>
      <w:r>
        <w:rPr>
          <w:sz w:val="22"/>
          <w:szCs w:val="22"/>
        </w:rPr>
        <w:t xml:space="preserve"> with </w:t>
      </w:r>
      <w:r>
        <w:rPr>
          <w:rFonts w:ascii="Consolas" w:cs="Consolas" w:eastAsia="Consolas" w:hAnsi="Consolas"/>
          <w:sz w:val="20"/>
          <w:szCs w:val="20"/>
        </w:rPr>
        <w:t xml:space="preserve">MikroORM (Unit of Work + Identity Map)</w:t>
      </w:r>
      <w:r>
        <w:rPr>
          <w:sz w:val="22"/>
          <w:szCs w:val="22"/>
        </w:rPr>
        <w:t xml:space="preserve">. Add one NFR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B7C2CC" w:sz="1"/>
              <w:left w:val="single" w:color="B7C2CC" w:sz="1"/>
              <w:bottom w:val="single" w:color="B7C2CC" w:sz="1"/>
              <w:right w:val="single" w:color="B7C2CC" w:sz="1"/>
            </w:tcBorders>
            <w:shd w:fill="D5E8F0" w:val="clear"/>
            <w:tcMar>
              <w:top w:type="dxa" w:w="60"/>
              <w:left w:type="dxa" w:w="100"/>
              <w:bottom w:type="dxa" w:w="60"/>
              <w:right w:type="dxa" w:w="100"/>
            </w:tcMar>
            <w:vAlign w:val="center"/>
          </w:tcPr>
          <w:p>
            <w:r>
              <w:rPr>
                <w:b/>
                <w:bCs/>
                <w:sz w:val="19"/>
                <w:szCs w:val="19"/>
              </w:rPr>
              <w:t xml:space="preserve">Category</w:t>
            </w:r>
          </w:p>
        </w:tc>
        <w:tc>
          <w:tcPr>
            <w:tcW w:type="dxa" w:w="2800"/>
            <w:tcBorders>
              <w:top w:val="single" w:color="B7C2CC" w:sz="1"/>
              <w:left w:val="single" w:color="B7C2CC" w:sz="1"/>
              <w:bottom w:val="single" w:color="B7C2CC" w:sz="1"/>
              <w:right w:val="single" w:color="B7C2CC" w:sz="1"/>
            </w:tcBorders>
            <w:shd w:fill="D5E8F0" w:val="clear"/>
            <w:tcMar>
              <w:top w:type="dxa" w:w="60"/>
              <w:left w:type="dxa" w:w="100"/>
              <w:bottom w:type="dxa" w:w="60"/>
              <w:right w:type="dxa" w:w="100"/>
            </w:tcMar>
            <w:vAlign w:val="center"/>
          </w:tcPr>
          <w:p>
            <w:r>
              <w:rPr>
                <w:b/>
                <w:bCs/>
                <w:sz w:val="19"/>
                <w:szCs w:val="19"/>
              </w:rPr>
              <w:t xml:space="preserve">Requirement</w:t>
            </w:r>
          </w:p>
        </w:tc>
        <w:tc>
          <w:tcPr>
            <w:tcW w:type="dxa" w:w="4760"/>
            <w:tcBorders>
              <w:top w:val="single" w:color="B7C2CC" w:sz="1"/>
              <w:left w:val="single" w:color="B7C2CC" w:sz="1"/>
              <w:bottom w:val="single" w:color="B7C2CC" w:sz="1"/>
              <w:right w:val="single" w:color="B7C2CC" w:sz="1"/>
            </w:tcBorders>
            <w:shd w:fill="D5E8F0" w:val="clear"/>
            <w:tcMar>
              <w:top w:type="dxa" w:w="60"/>
              <w:left w:type="dxa" w:w="100"/>
              <w:bottom w:type="dxa" w:w="60"/>
              <w:right w:type="dxa" w:w="100"/>
            </w:tcMar>
            <w:vAlign w:val="center"/>
          </w:tcPr>
          <w:p>
            <w:r>
              <w:rPr>
                <w:b/>
                <w:bCs/>
                <w:sz w:val="19"/>
                <w:szCs w:val="19"/>
              </w:rPr>
              <w:t xml:space="preserve">Target / Constraint</w:t>
            </w:r>
          </w:p>
        </w:tc>
      </w:tr>
      <w:tr>
        <w:tc>
          <w:tcPr>
            <w:tcW w:type="dxa" w:w="18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Persistence</w:t>
            </w:r>
          </w:p>
        </w:tc>
        <w:tc>
          <w:tcPr>
            <w:tcW w:type="dxa" w:w="28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ORM &amp; transactional boundary</w:t>
            </w:r>
          </w:p>
        </w:tc>
        <w:tc>
          <w:tcPr>
            <w:tcW w:type="dxa" w:w="476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MikroORM Unit of Work; one em.flush() per request = one DB transaction; domain events published only after successful commit</w:t>
            </w:r>
          </w:p>
        </w:tc>
      </w:tr>
    </w:tbl>
    <w:p>
      <w:pPr>
        <w:spacing w:after="80" w:before="160"/>
      </w:pPr>
      <w:r>
        <w:rPr>
          <w:b/>
          <w:bCs/>
          <w:color w:val="333333"/>
          <w:sz w:val="22"/>
          <w:szCs w:val="22"/>
        </w:rPr>
        <w:t xml:space="preserve">b) Estimation &amp; Roadmap — Target / Backend stack</w:t>
      </w:r>
    </w:p>
    <w:p>
      <w:pPr>
        <w:spacing w:after="100"/>
      </w:pPr>
      <w:r>
        <w:rPr>
          <w:sz w:val="22"/>
          <w:szCs w:val="22"/>
        </w:rPr>
        <w:t xml:space="preserve">Replace the bullet </w:t>
      </w:r>
      <w:r>
        <w:rPr>
          <w:rFonts w:ascii="Consolas" w:cs="Consolas" w:eastAsia="Consolas" w:hAnsi="Consolas"/>
          <w:sz w:val="20"/>
          <w:szCs w:val="20"/>
        </w:rPr>
        <w:t xml:space="preserve">- TypeORM</w:t>
      </w:r>
      <w:r>
        <w:rPr>
          <w:sz w:val="22"/>
          <w:szCs w:val="22"/>
        </w:rPr>
        <w:t xml:space="preserve"> with </w:t>
      </w:r>
      <w:r>
        <w:rPr>
          <w:rFonts w:ascii="Consolas" w:cs="Consolas" w:eastAsia="Consolas" w:hAnsi="Consolas"/>
          <w:sz w:val="20"/>
          <w:szCs w:val="20"/>
        </w:rPr>
        <w:t xml:space="preserve">- MikroORM (Unit of Work, Identity Map)</w:t>
      </w:r>
      <w:r>
        <w:rPr>
          <w:sz w:val="22"/>
          <w:szCs w:val="22"/>
        </w:rPr>
        <w:t xml:space="preserve">.</w:t>
      </w:r>
    </w:p>
    <w:p>
      <w:pPr>
        <w:spacing w:after="80" w:before="160"/>
      </w:pPr>
      <w:r>
        <w:rPr>
          <w:b/>
          <w:bCs/>
          <w:color w:val="333333"/>
          <w:sz w:val="22"/>
          <w:szCs w:val="22"/>
        </w:rPr>
        <w:t xml:space="preserve">c) High-Level Design diagram (high-level-design.drawio)</w:t>
      </w:r>
    </w:p>
    <w:p>
      <w:pPr>
        <w:spacing w:after="100"/>
      </w:pPr>
      <w:r>
        <w:rPr>
          <w:sz w:val="22"/>
          <w:szCs w:val="22"/>
        </w:rPr>
        <w:t xml:space="preserve">In the synchronous request-lifecycle row, relabel the </w:t>
      </w:r>
      <w:r>
        <w:rPr>
          <w:b/>
          <w:bCs/>
          <w:sz w:val="22"/>
          <w:szCs w:val="22"/>
        </w:rPr>
        <w:t xml:space="preserve">Repository</w:t>
      </w:r>
      <w:r>
        <w:rPr>
          <w:sz w:val="22"/>
          <w:szCs w:val="22"/>
        </w:rPr>
        <w:t xml:space="preserve"> node from </w:t>
      </w:r>
      <w:r>
        <w:rPr>
          <w:rFonts w:ascii="Consolas" w:cs="Consolas" w:eastAsia="Consolas" w:hAnsi="Consolas"/>
          <w:sz w:val="20"/>
          <w:szCs w:val="20"/>
        </w:rPr>
        <w:t xml:space="preserve">Repository / TypeORM</w:t>
      </w:r>
      <w:r>
        <w:rPr>
          <w:sz w:val="22"/>
          <w:szCs w:val="22"/>
        </w:rPr>
        <w:t xml:space="preserve"> to </w:t>
      </w:r>
      <w:r>
        <w:rPr>
          <w:rFonts w:ascii="Consolas" w:cs="Consolas" w:eastAsia="Consolas" w:hAnsi="Consolas"/>
          <w:sz w:val="20"/>
          <w:szCs w:val="20"/>
        </w:rPr>
        <w:t xml:space="preserve">Repository / MikroORM (UoW)</w:t>
      </w:r>
      <w:r>
        <w:rPr>
          <w:sz w:val="22"/>
          <w:szCs w:val="22"/>
        </w:rPr>
        <w:t xml:space="preserve">. (See the prepared diagram patch in §Diagram Patches.)</w:t>
      </w:r>
    </w:p>
    <w:p>
      <w:pPr>
        <w:spacing w:after="80" w:before="160"/>
      </w:pPr>
      <w:r>
        <w:rPr>
          <w:b/>
          <w:bCs/>
          <w:color w:val="333333"/>
          <w:sz w:val="22"/>
          <w:szCs w:val="22"/>
        </w:rPr>
        <w:t xml:space="preserve">d) Database Design — Phase 3 / Phase 7 notes</w:t>
      </w:r>
    </w:p>
    <w:p>
      <w:pPr>
        <w:spacing w:after="100"/>
      </w:pPr>
      <w:r>
        <w:rPr>
          <w:sz w:val="22"/>
          <w:szCs w:val="22"/>
        </w:rPr>
        <w:t xml:space="preserve">Where the Phase 3 footnote reads "no ORM relation decorator" for cross-schema columns, keep the wording but clarify it now refers to MikroORM: cross-schema columns remain plain </w:t>
      </w:r>
      <w:r>
        <w:rPr>
          <w:rFonts w:ascii="Consolas" w:cs="Consolas" w:eastAsia="Consolas" w:hAnsi="Consolas"/>
          <w:sz w:val="20"/>
          <w:szCs w:val="20"/>
        </w:rPr>
        <w:t xml:space="preserve">uuid</w:t>
      </w:r>
      <w:r>
        <w:rPr>
          <w:sz w:val="22"/>
          <w:szCs w:val="22"/>
        </w:rPr>
        <w:t xml:space="preserve"> properties with </w:t>
      </w:r>
      <w:r>
        <w:rPr>
          <w:b/>
          <w:bCs/>
          <w:sz w:val="22"/>
          <w:szCs w:val="22"/>
        </w:rPr>
        <w:t xml:space="preserve">no </w:t>
      </w:r>
      <w:r>
        <w:rPr>
          <w:rFonts w:ascii="Consolas" w:cs="Consolas" w:eastAsia="Consolas" w:hAnsi="Consolas"/>
          <w:sz w:val="20"/>
          <w:szCs w:val="20"/>
        </w:rPr>
        <w:t xml:space="preserve">@ManyToOne</w:t>
      </w:r>
      <w:r>
        <w:rPr>
          <w:b/>
          <w:bCs/>
          <w:sz w:val="22"/>
          <w:szCs w:val="22"/>
        </w:rPr>
        <w:t xml:space="preserve"> / @OneToMany relation</w:t>
      </w:r>
      <w:r>
        <w:rPr>
          <w:sz w:val="22"/>
          <w:szCs w:val="22"/>
        </w:rPr>
        <w:t xml:space="preserve"> — only a scalar property. Same-schema relations use MikroORM relation decorators with </w:t>
      </w:r>
      <w:r>
        <w:rPr>
          <w:rFonts w:ascii="Consolas" w:cs="Consolas" w:eastAsia="Consolas" w:hAnsi="Consolas"/>
          <w:sz w:val="20"/>
          <w:szCs w:val="20"/>
        </w:rPr>
        <w:t xml:space="preserve"> on delete</w:t>
      </w:r>
      <w:r>
        <w:rPr>
          <w:sz w:val="22"/>
          <w:szCs w:val="22"/>
        </w:rPr>
        <w:t xml:space="preserve"> matching the Phase 4 deletion rules.</w:t>
      </w:r>
    </w:p>
    <w:p>
      <w:pPr>
        <w:spacing w:after="80" w:before="160"/>
      </w:pPr>
      <w:r>
        <w:rPr>
          <w:b/>
          <w:bCs/>
          <w:color w:val="333333"/>
          <w:sz w:val="22"/>
          <w:szCs w:val="22"/>
        </w:rPr>
        <w:t xml:space="preserve">e) Code convention (CLAUDE.md / DECISIONS.md)</w:t>
      </w:r>
    </w:p>
    <w:p>
      <w:pPr>
        <w:shd w:fill="F4F6F8" w:val="clear"/>
        <w:spacing w:after="60"/>
      </w:pPr>
      <w:r>
        <w:rPr>
          <w:rFonts w:ascii="Consolas" w:cs="Consolas" w:eastAsia="Consolas" w:hAnsi="Consolas"/>
          <w:sz w:val="18"/>
          <w:szCs w:val="18"/>
        </w:rPr>
        <w:t xml:space="preserve">npm view @mikro-orm/core version   # pin in docs/DECISIONS.md</w:t>
      </w:r>
    </w:p>
    <w:p>
      <w:pPr>
        <w:shd w:fill="F4F6F8" w:val="clear"/>
        <w:spacing w:after="60"/>
      </w:pPr>
      <w:r>
        <w:rPr>
          <w:rFonts w:ascii="Consolas" w:cs="Consolas" w:eastAsia="Consolas" w:hAnsi="Consolas"/>
          <w:sz w:val="18"/>
          <w:szCs w:val="18"/>
        </w:rPr>
        <w:t xml:space="preserve">npm view @mikro-orm/postgresql version</w:t>
      </w:r>
    </w:p>
    <w:p>
      <w:pPr>
        <w:shd w:fill="F4F6F8" w:val="clear"/>
        <w:spacing w:after="60"/>
      </w:pPr>
      <w:r>
        <w:rPr>
          <w:rFonts w:ascii="Consolas" w:cs="Consolas" w:eastAsia="Consolas" w:hAnsi="Consolas"/>
          <w:sz w:val="18"/>
          <w:szCs w:val="18"/>
        </w:rPr>
        <w:t xml:space="preserve">npm view @mikro-orm/mongodb version   # audit-service (R6)</w:t>
      </w:r>
    </w:p>
    <w:p>
      <w:pPr>
        <w:spacing w:after="100"/>
      </w:pPr>
      <w:r>
        <w:rPr>
          <w:b/>
          <w:bCs/>
          <w:sz w:val="22"/>
          <w:szCs w:val="22"/>
        </w:rPr>
        <w:t xml:space="preserve">ADR-011 — MikroORM over TypeORM</w:t>
      </w:r>
      <w:r>
        <w:rPr>
          <w:sz w:val="22"/>
          <w:szCs w:val="22"/>
        </w:rPr>
        <w:t xml:space="preserve"> added to the ADR list (see §New ADRs).</w:t>
      </w:r>
    </w:p>
    <w:p>
      <w:pPr>
        <w:pageBreakBefore/>
      </w:pPr>
    </w:p>
    <w:p>
      <w:pPr>
        <w:pStyle w:val="Heading1"/>
        <w:spacing w:after="160" w:before="280"/>
      </w:pPr>
      <w:r>
        <w:rPr>
          <w:b/>
          <w:bCs/>
          <w:color w:val="1F6FC4"/>
          <w:sz w:val="30"/>
          <w:szCs w:val="30"/>
        </w:rPr>
        <w:t xml:space="preserve">R2 — PII HANDLING &amp; ENCRYPTION AT REST</w:t>
      </w:r>
    </w:p>
    <w:p>
      <w:pPr>
        <w:pStyle w:val="Heading2"/>
        <w:spacing w:after="120" w:before="220"/>
      </w:pPr>
      <w:r>
        <w:rPr>
          <w:b/>
          <w:bCs/>
          <w:color w:val="C0392B"/>
          <w:sz w:val="24"/>
          <w:szCs w:val="24"/>
        </w:rPr>
        <w:t xml:space="preserve">Decision</w:t>
      </w:r>
    </w:p>
    <w:p>
      <w:pPr>
        <w:spacing w:after="100"/>
      </w:pPr>
      <w:r>
        <w:rPr>
          <w:sz w:val="22"/>
          <w:szCs w:val="22"/>
        </w:rPr>
        <w:t xml:space="preserve">Classify every personal / sensitive field, then encrypt the high-sensitivity ones at rest using </w:t>
      </w:r>
      <w:r>
        <w:rPr>
          <w:b/>
          <w:bCs/>
          <w:sz w:val="22"/>
          <w:szCs w:val="22"/>
        </w:rPr>
        <w:t xml:space="preserve">application-layer authenticated encryption (AES-256-GCM)</w:t>
      </w:r>
      <w:r>
        <w:rPr>
          <w:sz w:val="22"/>
          <w:szCs w:val="22"/>
        </w:rPr>
        <w:t xml:space="preserve"> via a MikroORM custom type, with key management through an env-injected data key (rotatable, KMS-ready). Low-sensitivity identifiers stay plaintext but are access-controlled and excluded from logs.</w:t>
      </w:r>
    </w:p>
    <w:p>
      <w:pPr>
        <w:pStyle w:val="Heading2"/>
        <w:spacing w:after="120" w:before="220"/>
      </w:pPr>
      <w:r>
        <w:rPr>
          <w:b/>
          <w:bCs/>
          <w:color w:val="C0392B"/>
          <w:sz w:val="24"/>
          <w:szCs w:val="24"/>
        </w:rPr>
        <w:t xml:space="preserve">PII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1100"/>
        <w:gridCol w:w="3460"/>
      </w:tblGrid>
      <w:tr>
        <w:trPr>
          <w:tblHeader/>
        </w:trPr>
        <w:tc>
          <w:tcPr>
            <w:tcW w:type="dxa" w:w="2500"/>
            <w:tcBorders>
              <w:top w:val="single" w:color="B7C2CC" w:sz="1"/>
              <w:left w:val="single" w:color="B7C2CC" w:sz="1"/>
              <w:bottom w:val="single" w:color="B7C2CC" w:sz="1"/>
              <w:right w:val="single" w:color="B7C2CC" w:sz="1"/>
            </w:tcBorders>
            <w:shd w:fill="D5E8F0" w:val="clear"/>
            <w:tcMar>
              <w:top w:type="dxa" w:w="60"/>
              <w:left w:type="dxa" w:w="100"/>
              <w:bottom w:type="dxa" w:w="60"/>
              <w:right w:type="dxa" w:w="100"/>
            </w:tcMar>
            <w:vAlign w:val="center"/>
          </w:tcPr>
          <w:p>
            <w:r>
              <w:rPr>
                <w:b/>
                <w:bCs/>
                <w:sz w:val="19"/>
                <w:szCs w:val="19"/>
              </w:rPr>
              <w:t xml:space="preserve">Field</w:t>
            </w:r>
          </w:p>
        </w:tc>
        <w:tc>
          <w:tcPr>
            <w:tcW w:type="dxa" w:w="2300"/>
            <w:tcBorders>
              <w:top w:val="single" w:color="B7C2CC" w:sz="1"/>
              <w:left w:val="single" w:color="B7C2CC" w:sz="1"/>
              <w:bottom w:val="single" w:color="B7C2CC" w:sz="1"/>
              <w:right w:val="single" w:color="B7C2CC" w:sz="1"/>
            </w:tcBorders>
            <w:shd w:fill="D5E8F0" w:val="clear"/>
            <w:tcMar>
              <w:top w:type="dxa" w:w="60"/>
              <w:left w:type="dxa" w:w="100"/>
              <w:bottom w:type="dxa" w:w="60"/>
              <w:right w:type="dxa" w:w="100"/>
            </w:tcMar>
            <w:vAlign w:val="center"/>
          </w:tcPr>
          <w:p>
            <w:r>
              <w:rPr>
                <w:b/>
                <w:bCs/>
                <w:sz w:val="19"/>
                <w:szCs w:val="19"/>
              </w:rPr>
              <w:t xml:space="preserve">Table</w:t>
            </w:r>
          </w:p>
        </w:tc>
        <w:tc>
          <w:tcPr>
            <w:tcW w:type="dxa" w:w="1100"/>
            <w:tcBorders>
              <w:top w:val="single" w:color="B7C2CC" w:sz="1"/>
              <w:left w:val="single" w:color="B7C2CC" w:sz="1"/>
              <w:bottom w:val="single" w:color="B7C2CC" w:sz="1"/>
              <w:right w:val="single" w:color="B7C2CC" w:sz="1"/>
            </w:tcBorders>
            <w:shd w:fill="D5E8F0" w:val="clear"/>
            <w:tcMar>
              <w:top w:type="dxa" w:w="60"/>
              <w:left w:type="dxa" w:w="100"/>
              <w:bottom w:type="dxa" w:w="60"/>
              <w:right w:type="dxa" w:w="100"/>
            </w:tcMar>
            <w:vAlign w:val="center"/>
          </w:tcPr>
          <w:p>
            <w:r>
              <w:rPr>
                <w:b/>
                <w:bCs/>
                <w:sz w:val="19"/>
                <w:szCs w:val="19"/>
              </w:rPr>
              <w:t xml:space="preserve">Class</w:t>
            </w:r>
          </w:p>
        </w:tc>
        <w:tc>
          <w:tcPr>
            <w:tcW w:type="dxa" w:w="3460"/>
            <w:tcBorders>
              <w:top w:val="single" w:color="B7C2CC" w:sz="1"/>
              <w:left w:val="single" w:color="B7C2CC" w:sz="1"/>
              <w:bottom w:val="single" w:color="B7C2CC" w:sz="1"/>
              <w:right w:val="single" w:color="B7C2CC" w:sz="1"/>
            </w:tcBorders>
            <w:shd w:fill="D5E8F0" w:val="clear"/>
            <w:tcMar>
              <w:top w:type="dxa" w:w="60"/>
              <w:left w:type="dxa" w:w="100"/>
              <w:bottom w:type="dxa" w:w="60"/>
              <w:right w:type="dxa" w:w="100"/>
            </w:tcMar>
            <w:vAlign w:val="center"/>
          </w:tcPr>
          <w:p>
            <w:r>
              <w:rPr>
                <w:b/>
                <w:bCs/>
                <w:sz w:val="19"/>
                <w:szCs w:val="19"/>
              </w:rPr>
              <w:t xml:space="preserve">Treatment</w:t>
            </w:r>
          </w:p>
        </w:tc>
      </w:tr>
      <w:tr>
        <w:tc>
          <w:tcPr>
            <w:tcW w:type="dxa" w:w="25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access_token</w:t>
            </w:r>
          </w:p>
        </w:tc>
        <w:tc>
          <w:tcPr>
            <w:tcW w:type="dxa" w:w="23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core.facebook_accounts</w:t>
            </w:r>
          </w:p>
        </w:tc>
        <w:tc>
          <w:tcPr>
            <w:tcW w:type="dxa" w:w="11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Secret</w:t>
            </w:r>
          </w:p>
        </w:tc>
        <w:tc>
          <w:tcPr>
            <w:tcW w:type="dxa" w:w="346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Encrypt at rest (AES-256-GCM); never returned by API (already BR-F01)</w:t>
            </w:r>
          </w:p>
        </w:tc>
      </w:tr>
      <w:tr>
        <w:tc>
          <w:tcPr>
            <w:tcW w:type="dxa" w:w="25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email</w:t>
            </w:r>
          </w:p>
        </w:tc>
        <w:tc>
          <w:tcPr>
            <w:tcW w:type="dxa" w:w="23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core.users</w:t>
            </w:r>
          </w:p>
        </w:tc>
        <w:tc>
          <w:tcPr>
            <w:tcW w:type="dxa" w:w="11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PII</w:t>
            </w:r>
          </w:p>
        </w:tc>
        <w:tc>
          <w:tcPr>
            <w:tcW w:type="dxa" w:w="346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Plaintext (unique lookup key) + blind index if search needed; redacted in logs</w:t>
            </w:r>
          </w:p>
        </w:tc>
      </w:tr>
      <w:tr>
        <w:tc>
          <w:tcPr>
            <w:tcW w:type="dxa" w:w="25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full_name</w:t>
            </w:r>
          </w:p>
        </w:tc>
        <w:tc>
          <w:tcPr>
            <w:tcW w:type="dxa" w:w="23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core.users</w:t>
            </w:r>
          </w:p>
        </w:tc>
        <w:tc>
          <w:tcPr>
            <w:tcW w:type="dxa" w:w="11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PII</w:t>
            </w:r>
          </w:p>
        </w:tc>
        <w:tc>
          <w:tcPr>
            <w:tcW w:type="dxa" w:w="346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Plaintext; redacted in logs; excluded from analytics events</w:t>
            </w:r>
          </w:p>
        </w:tc>
      </w:tr>
      <w:tr>
        <w:tc>
          <w:tcPr>
            <w:tcW w:type="dxa" w:w="25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avatar_url</w:t>
            </w:r>
          </w:p>
        </w:tc>
        <w:tc>
          <w:tcPr>
            <w:tcW w:type="dxa" w:w="23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core.users</w:t>
            </w:r>
          </w:p>
        </w:tc>
        <w:tc>
          <w:tcPr>
            <w:tcW w:type="dxa" w:w="11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PII (low)</w:t>
            </w:r>
          </w:p>
        </w:tc>
        <w:tc>
          <w:tcPr>
            <w:tcW w:type="dxa" w:w="346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Plaintext</w:t>
            </w:r>
          </w:p>
        </w:tc>
      </w:tr>
      <w:tr>
        <w:tc>
          <w:tcPr>
            <w:tcW w:type="dxa" w:w="25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recipient_email</w:t>
            </w:r>
          </w:p>
        </w:tc>
        <w:tc>
          <w:tcPr>
            <w:tcW w:type="dxa" w:w="23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email.email_delivery_logs</w:t>
            </w:r>
          </w:p>
        </w:tc>
        <w:tc>
          <w:tcPr>
            <w:tcW w:type="dxa" w:w="11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PII</w:t>
            </w:r>
          </w:p>
        </w:tc>
        <w:tc>
          <w:tcPr>
            <w:tcW w:type="dxa" w:w="346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Plaintext (operational), redacted in logs</w:t>
            </w:r>
          </w:p>
        </w:tc>
      </w:tr>
      <w:tr>
        <w:tc>
          <w:tcPr>
            <w:tcW w:type="dxa" w:w="25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stripe_customer_id / stripe_subscription_id</w:t>
            </w:r>
          </w:p>
        </w:tc>
        <w:tc>
          <w:tcPr>
            <w:tcW w:type="dxa" w:w="23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billing.subscriptions</w:t>
            </w:r>
          </w:p>
        </w:tc>
        <w:tc>
          <w:tcPr>
            <w:tcW w:type="dxa" w:w="11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Sensitive ID</w:t>
            </w:r>
          </w:p>
        </w:tc>
        <w:tc>
          <w:tcPr>
            <w:tcW w:type="dxa" w:w="346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Plaintext (opaque Stripe ref), access-controlled</w:t>
            </w:r>
          </w:p>
        </w:tc>
      </w:tr>
      <w:tr>
        <w:tc>
          <w:tcPr>
            <w:tcW w:type="dxa" w:w="25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payload / event_payload / old_values / new_values / metadata</w:t>
            </w:r>
          </w:p>
        </w:tc>
        <w:tc>
          <w:tcPr>
            <w:tcW w:type="dxa" w:w="23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various JSONB</w:t>
            </w:r>
          </w:p>
        </w:tc>
        <w:tc>
          <w:tcPr>
            <w:tcW w:type="dxa" w:w="11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Mixed</w:t>
            </w:r>
          </w:p>
        </w:tc>
        <w:tc>
          <w:tcPr>
            <w:tcW w:type="dxa" w:w="346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Scrub/mask PII before persisting events; never store raw tokens</w:t>
            </w:r>
          </w:p>
        </w:tc>
      </w:tr>
    </w:tbl>
    <w:p>
      <w:pPr>
        <w:pStyle w:val="Heading2"/>
        <w:spacing w:after="120" w:before="220"/>
      </w:pPr>
      <w:r>
        <w:rPr>
          <w:b/>
          <w:bCs/>
          <w:color w:val="C0392B"/>
          <w:sz w:val="24"/>
          <w:szCs w:val="24"/>
        </w:rPr>
        <w:t xml:space="preserve">Affected artifacts &amp; exact edits</w:t>
      </w:r>
    </w:p>
    <w:p>
      <w:pPr>
        <w:spacing w:after="80" w:before="160"/>
      </w:pPr>
      <w:r>
        <w:rPr>
          <w:b/>
          <w:bCs/>
          <w:color w:val="333333"/>
          <w:sz w:val="22"/>
          <w:szCs w:val="22"/>
        </w:rPr>
        <w:t xml:space="preserve">a) Database Design — new section after Phase 5 (Business Rules)</w:t>
      </w:r>
    </w:p>
    <w:p>
      <w:pPr>
        <w:spacing w:after="100"/>
      </w:pPr>
      <w:r>
        <w:rPr>
          <w:sz w:val="22"/>
          <w:szCs w:val="22"/>
        </w:rPr>
        <w:t xml:space="preserve">Add two field-specific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700"/>
        <w:gridCol w:w="4760"/>
      </w:tblGrid>
      <w:tr>
        <w:trPr>
          <w:tblHeader/>
        </w:trPr>
        <w:tc>
          <w:tcPr>
            <w:tcW w:type="dxa" w:w="900"/>
            <w:tcBorders>
              <w:top w:val="single" w:color="B7C2CC" w:sz="1"/>
              <w:left w:val="single" w:color="B7C2CC" w:sz="1"/>
              <w:bottom w:val="single" w:color="B7C2CC" w:sz="1"/>
              <w:right w:val="single" w:color="B7C2CC" w:sz="1"/>
            </w:tcBorders>
            <w:shd w:fill="D5E8F0" w:val="clear"/>
            <w:tcMar>
              <w:top w:type="dxa" w:w="60"/>
              <w:left w:type="dxa" w:w="100"/>
              <w:bottom w:type="dxa" w:w="60"/>
              <w:right w:type="dxa" w:w="100"/>
            </w:tcMar>
            <w:vAlign w:val="center"/>
          </w:tcPr>
          <w:p>
            <w:r>
              <w:rPr>
                <w:b/>
                <w:bCs/>
                <w:sz w:val="19"/>
                <w:szCs w:val="19"/>
              </w:rPr>
              <w:t xml:space="preserve">Rule</w:t>
            </w:r>
          </w:p>
        </w:tc>
        <w:tc>
          <w:tcPr>
            <w:tcW w:type="dxa" w:w="3700"/>
            <w:tcBorders>
              <w:top w:val="single" w:color="B7C2CC" w:sz="1"/>
              <w:left w:val="single" w:color="B7C2CC" w:sz="1"/>
              <w:bottom w:val="single" w:color="B7C2CC" w:sz="1"/>
              <w:right w:val="single" w:color="B7C2CC" w:sz="1"/>
            </w:tcBorders>
            <w:shd w:fill="D5E8F0" w:val="clear"/>
            <w:tcMar>
              <w:top w:type="dxa" w:w="60"/>
              <w:left w:type="dxa" w:w="100"/>
              <w:bottom w:type="dxa" w:w="60"/>
              <w:right w:type="dxa" w:w="100"/>
            </w:tcMar>
            <w:vAlign w:val="center"/>
          </w:tcPr>
          <w:p>
            <w:r>
              <w:rPr>
                <w:b/>
                <w:bCs/>
                <w:sz w:val="19"/>
                <w:szCs w:val="19"/>
              </w:rPr>
              <w:t xml:space="preserve">Statement</w:t>
            </w:r>
          </w:p>
        </w:tc>
        <w:tc>
          <w:tcPr>
            <w:tcW w:type="dxa" w:w="4760"/>
            <w:tcBorders>
              <w:top w:val="single" w:color="B7C2CC" w:sz="1"/>
              <w:left w:val="single" w:color="B7C2CC" w:sz="1"/>
              <w:bottom w:val="single" w:color="B7C2CC" w:sz="1"/>
              <w:right w:val="single" w:color="B7C2CC" w:sz="1"/>
            </w:tcBorders>
            <w:shd w:fill="D5E8F0" w:val="clear"/>
            <w:tcMar>
              <w:top w:type="dxa" w:w="60"/>
              <w:left w:type="dxa" w:w="100"/>
              <w:bottom w:type="dxa" w:w="60"/>
              <w:right w:type="dxa" w:w="100"/>
            </w:tcMar>
            <w:vAlign w:val="center"/>
          </w:tcPr>
          <w:p>
            <w:r>
              <w:rPr>
                <w:b/>
                <w:bCs/>
                <w:sz w:val="19"/>
                <w:szCs w:val="19"/>
              </w:rPr>
              <w:t xml:space="preserve">Action Taken</w:t>
            </w:r>
          </w:p>
        </w:tc>
      </w:tr>
      <w:tr>
        <w:tc>
          <w:tcPr>
            <w:tcW w:type="dxa" w:w="9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BR-F11</w:t>
            </w:r>
          </w:p>
        </w:tc>
        <w:tc>
          <w:tcPr>
            <w:tcW w:type="dxa" w:w="37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Sensitive secrets must be encrypted at rest.</w:t>
            </w:r>
          </w:p>
        </w:tc>
        <w:tc>
          <w:tcPr>
            <w:tcW w:type="dxa" w:w="476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facebook_accounts.access_token stored via AES-256-GCM custom type (EncryptedText). Ciphertext + IV + auth tag persisted; key from env/KMS.</w:t>
            </w:r>
          </w:p>
        </w:tc>
      </w:tr>
      <w:tr>
        <w:tc>
          <w:tcPr>
            <w:tcW w:type="dxa" w:w="9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BR-F12</w:t>
            </w:r>
          </w:p>
        </w:tc>
        <w:tc>
          <w:tcPr>
            <w:tcW w:type="dxa" w:w="37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PII must never appear in logs, events, or analytics payloads.</w:t>
            </w:r>
          </w:p>
        </w:tc>
        <w:tc>
          <w:tcPr>
            <w:tcW w:type="dxa" w:w="476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Pino redaction paths for email/full_name/token; event builders strip PII before publish.</w:t>
            </w:r>
          </w:p>
        </w:tc>
      </w:tr>
    </w:tbl>
    <w:p>
      <w:pPr>
        <w:spacing w:after="80" w:before="160"/>
      </w:pPr>
      <w:r>
        <w:rPr>
          <w:b/>
          <w:bCs/>
          <w:color w:val="333333"/>
          <w:sz w:val="22"/>
          <w:szCs w:val="22"/>
        </w:rPr>
        <w:t xml:space="preserve">b) DDL (fcp-ddl.sql) — access_token column</w:t>
      </w:r>
    </w:p>
    <w:p>
      <w:pPr>
        <w:spacing w:after="100"/>
      </w:pPr>
      <w:r>
        <w:rPr>
          <w:sz w:val="22"/>
          <w:szCs w:val="22"/>
        </w:rPr>
        <w:t xml:space="preserve">The column type is unchanged at the SQL level (it stays </w:t>
      </w:r>
      <w:r>
        <w:rPr>
          <w:rFonts w:ascii="Consolas" w:cs="Consolas" w:eastAsia="Consolas" w:hAnsi="Consolas"/>
          <w:sz w:val="20"/>
          <w:szCs w:val="20"/>
        </w:rPr>
        <w:t xml:space="preserve">TEXT</w:t>
      </w:r>
      <w:r>
        <w:rPr>
          <w:sz w:val="22"/>
          <w:szCs w:val="22"/>
        </w:rPr>
        <w:t xml:space="preserve">) because encryption is application-layer; add a clarifying comment so the design intent is explicit:</w:t>
      </w:r>
    </w:p>
    <w:p>
      <w:pPr>
        <w:shd w:fill="F4F6F8" w:val="clear"/>
        <w:spacing w:after="60"/>
      </w:pPr>
      <w:r>
        <w:rPr>
          <w:rFonts w:ascii="Consolas" w:cs="Consolas" w:eastAsia="Consolas" w:hAnsi="Consolas"/>
          <w:sz w:val="18"/>
          <w:szCs w:val="18"/>
        </w:rPr>
        <w:t xml:space="preserve">access_token TEXT NOT NULL,  -- BR-F01/BR-F11: AES-256-GCM ciphertext (IV+tag prefixed); never SELECTed by API</w:t>
      </w:r>
    </w:p>
    <w:p>
      <w:pPr>
        <w:spacing w:after="80" w:before="160"/>
      </w:pPr>
      <w:r>
        <w:rPr>
          <w:b/>
          <w:bCs/>
          <w:color w:val="333333"/>
          <w:sz w:val="22"/>
          <w:szCs w:val="22"/>
        </w:rPr>
        <w:t xml:space="preserve">c) Estimations &amp; Constraints — NFR (Security) row</w:t>
      </w:r>
    </w:p>
    <w:p>
      <w:pPr>
        <w:spacing w:after="100"/>
      </w:pPr>
      <w:r>
        <w:rPr>
          <w:sz w:val="22"/>
          <w:szCs w:val="22"/>
        </w:rPr>
        <w:t xml:space="preserve">Extend the Security NFR to: </w:t>
      </w:r>
      <w:r>
        <w:rPr>
          <w:rFonts w:ascii="Consolas" w:cs="Consolas" w:eastAsia="Consolas" w:hAnsi="Consolas"/>
          <w:sz w:val="20"/>
          <w:szCs w:val="20"/>
        </w:rPr>
        <w:t xml:space="preserve">Clerk-issued JWT; RBAC by workspace role; secrets (FB tokens) encrypted at rest with AES-256-GCM; PII redacted from logs and events (BR-F11, BR-F12).</w:t>
      </w:r>
    </w:p>
    <w:p>
      <w:pPr>
        <w:spacing w:after="80" w:before="160"/>
      </w:pPr>
      <w:r>
        <w:rPr>
          <w:b/>
          <w:bCs/>
          <w:color w:val="333333"/>
          <w:sz w:val="22"/>
          <w:szCs w:val="22"/>
        </w:rPr>
        <w:t xml:space="preserve">d) Code convention</w:t>
      </w:r>
    </w:p>
    <w:p>
      <w:pPr>
        <w:shd w:fill="F4F6F8" w:val="clear"/>
        <w:spacing w:after="60"/>
      </w:pPr>
      <w:r>
        <w:rPr>
          <w:rFonts w:ascii="Consolas" w:cs="Consolas" w:eastAsia="Consolas" w:hAnsi="Consolas"/>
          <w:sz w:val="18"/>
          <w:szCs w:val="18"/>
        </w:rPr>
        <w:t xml:space="preserve">PII_ENCRYPTION_KEY  # 32-byte base64, injected via env; rotated via key-id prefix</w:t>
      </w:r>
    </w:p>
    <w:p>
      <w:pPr>
        <w:spacing w:after="100"/>
      </w:pPr>
      <w:r>
        <w:rPr>
          <w:b/>
          <w:bCs/>
          <w:sz w:val="22"/>
          <w:szCs w:val="22"/>
        </w:rPr>
        <w:t xml:space="preserve">ADR-012 — PII Encryption at Rest</w:t>
      </w:r>
      <w:r>
        <w:rPr>
          <w:sz w:val="22"/>
          <w:szCs w:val="22"/>
        </w:rPr>
        <w:t xml:space="preserve"> added.</w:t>
      </w:r>
    </w:p>
    <w:p>
      <w:pPr>
        <w:pageBreakBefore/>
      </w:pPr>
    </w:p>
    <w:p>
      <w:pPr>
        <w:pStyle w:val="Heading1"/>
        <w:spacing w:after="160" w:before="280"/>
      </w:pPr>
      <w:r>
        <w:rPr>
          <w:b/>
          <w:bCs/>
          <w:color w:val="1F6FC4"/>
          <w:sz w:val="30"/>
          <w:szCs w:val="30"/>
        </w:rPr>
        <w:t xml:space="preserve">R3 — NO DB AUTO-GENERATED ID FOR THE SEPARATE SERVICES</w:t>
      </w:r>
    </w:p>
    <w:p>
      <w:pPr>
        <w:pStyle w:val="Heading2"/>
        <w:spacing w:after="120" w:before="220"/>
      </w:pPr>
      <w:r>
        <w:rPr>
          <w:b/>
          <w:bCs/>
          <w:color w:val="C0392B"/>
          <w:sz w:val="24"/>
          <w:szCs w:val="24"/>
        </w:rPr>
        <w:t xml:space="preserve">Decision</w:t>
      </w:r>
    </w:p>
    <w:p>
      <w:pPr>
        <w:spacing w:after="100"/>
      </w:pPr>
      <w:r>
        <w:rPr>
          <w:sz w:val="22"/>
          <w:szCs w:val="22"/>
        </w:rPr>
        <w:t xml:space="preserve">Primary keys for the </w:t>
      </w:r>
      <w:r>
        <w:rPr>
          <w:b/>
          <w:bCs/>
          <w:sz w:val="22"/>
          <w:szCs w:val="22"/>
        </w:rPr>
        <w:t xml:space="preserve">separately-deployed services</w:t>
      </w:r>
      <w:r>
        <w:rPr>
          <w:sz w:val="22"/>
          <w:szCs w:val="22"/>
        </w:rPr>
        <w:t xml:space="preserve"> (billing, analytics, notification, email, and the new audit service) are generated </w:t>
      </w:r>
      <w:r>
        <w:rPr>
          <w:b/>
          <w:bCs/>
          <w:sz w:val="22"/>
          <w:szCs w:val="22"/>
        </w:rPr>
        <w:t xml:space="preserve">in the application</w:t>
      </w:r>
      <w:r>
        <w:rPr>
          <w:sz w:val="22"/>
          <w:szCs w:val="22"/>
        </w:rPr>
        <w:t xml:space="preserve"> (UUID v7, time-ordered) </w:t>
      </w:r>
      <w:r>
        <w:rPr>
          <w:b/>
          <w:bCs/>
          <w:sz w:val="22"/>
          <w:szCs w:val="22"/>
        </w:rPr>
        <w:t xml:space="preserve">before</w:t>
      </w:r>
      <w:r>
        <w:rPr>
          <w:sz w:val="22"/>
          <w:szCs w:val="22"/>
        </w:rPr>
        <w:t xml:space="preserve"> persistence — not by a database </w:t>
      </w:r>
      <w:r>
        <w:rPr>
          <w:rFonts w:ascii="Consolas" w:cs="Consolas" w:eastAsia="Consolas" w:hAnsi="Consolas"/>
          <w:sz w:val="20"/>
          <w:szCs w:val="20"/>
        </w:rPr>
        <w:t xml:space="preserve">DEFAULT gen_random_uuid()</w:t>
      </w:r>
      <w:r>
        <w:rPr>
          <w:sz w:val="22"/>
          <w:szCs w:val="22"/>
        </w:rPr>
        <w:t xml:space="preserve">. This makes the id available the moment the entity is created (needed for emitting domain events that reference the new row before the DB round-trip), keeps id generation independent of any single database, and is consistent with MikroORM's Unit of Work creating the entity in memory first.</w:t>
      </w:r>
    </w:p>
    <w:p>
      <w:pPr>
        <w:spacing w:after="100"/>
      </w:pPr>
      <w:r>
        <w:rPr>
          <w:sz w:val="22"/>
          <w:szCs w:val="22"/>
        </w:rPr>
        <w:t xml:space="preserve">apps/api </w:t>
      </w:r>
      <w:r>
        <w:rPr>
          <w:b/>
          <w:bCs/>
          <w:sz w:val="22"/>
          <w:szCs w:val="22"/>
        </w:rPr>
        <w:t xml:space="preserve">core</w:t>
      </w:r>
      <w:r>
        <w:rPr>
          <w:sz w:val="22"/>
          <w:szCs w:val="22"/>
        </w:rPr>
        <w:t xml:space="preserve"> tables may keep </w:t>
      </w:r>
      <w:r>
        <w:rPr>
          <w:rFonts w:ascii="Consolas" w:cs="Consolas" w:eastAsia="Consolas" w:hAnsi="Consolas"/>
          <w:sz w:val="20"/>
          <w:szCs w:val="20"/>
        </w:rPr>
        <w:t xml:space="preserve">DEFAULT gen_random_uuid()</w:t>
      </w:r>
      <w:r>
        <w:rPr>
          <w:sz w:val="22"/>
          <w:szCs w:val="22"/>
        </w:rPr>
        <w:t xml:space="preserve"> (single owning service, no cross-process ordering need) — but for consistency the recommendation is to move </w:t>
      </w:r>
      <w:r>
        <w:rPr>
          <w:b/>
          <w:bCs/>
          <w:sz w:val="22"/>
          <w:szCs w:val="22"/>
        </w:rPr>
        <w:t xml:space="preserve">all</w:t>
      </w:r>
      <w:r>
        <w:rPr>
          <w:sz w:val="22"/>
          <w:szCs w:val="22"/>
        </w:rPr>
        <w:t xml:space="preserve"> PKs to app-generated UUID v7. </w:t>
      </w:r>
      <w:r>
        <w:rPr>
          <w:rFonts w:ascii="Consolas" w:cs="Consolas" w:eastAsia="Consolas" w:hAnsi="Consolas"/>
          <w:sz w:val="20"/>
          <w:szCs w:val="20"/>
        </w:rPr>
        <w:t xml:space="preserve">messaging.event_message_logs.event_id</w:t>
      </w:r>
      <w:r>
        <w:rPr>
          <w:sz w:val="22"/>
          <w:szCs w:val="22"/>
        </w:rPr>
        <w:t xml:space="preserve"> is already publisher-assigned, so it is unchanged.</w:t>
      </w:r>
    </w:p>
    <w:p>
      <w:pPr>
        <w:pStyle w:val="Heading2"/>
        <w:spacing w:after="120" w:before="220"/>
      </w:pPr>
      <w:r>
        <w:rPr>
          <w:b/>
          <w:bCs/>
          <w:color w:val="C0392B"/>
          <w:sz w:val="24"/>
          <w:szCs w:val="24"/>
        </w:rPr>
        <w:t xml:space="preserve">Affected artifacts &amp; exact edits</w:t>
      </w:r>
    </w:p>
    <w:p>
      <w:pPr>
        <w:spacing w:after="80" w:before="160"/>
      </w:pPr>
      <w:r>
        <w:rPr>
          <w:b/>
          <w:bCs/>
          <w:color w:val="333333"/>
          <w:sz w:val="22"/>
          <w:szCs w:val="22"/>
        </w:rPr>
        <w:t xml:space="preserve">a) DDL — drop DEFAULT on service-owned tables</w:t>
      </w:r>
    </w:p>
    <w:p>
      <w:pPr>
        <w:spacing w:after="100"/>
      </w:pPr>
      <w:r>
        <w:rPr>
          <w:sz w:val="22"/>
          <w:szCs w:val="22"/>
        </w:rPr>
        <w:t xml:space="preserve">For every table in </w:t>
      </w:r>
      <w:r>
        <w:rPr>
          <w:rFonts w:ascii="Consolas" w:cs="Consolas" w:eastAsia="Consolas" w:hAnsi="Consolas"/>
          <w:sz w:val="20"/>
          <w:szCs w:val="20"/>
        </w:rPr>
        <w:t xml:space="preserve">billing</w:t>
      </w:r>
      <w:r>
        <w:rPr>
          <w:sz w:val="22"/>
          <w:szCs w:val="22"/>
        </w:rPr>
        <w:t xml:space="preserve">, </w:t>
      </w:r>
      <w:r>
        <w:rPr>
          <w:rFonts w:ascii="Consolas" w:cs="Consolas" w:eastAsia="Consolas" w:hAnsi="Consolas"/>
          <w:sz w:val="20"/>
          <w:szCs w:val="20"/>
        </w:rPr>
        <w:t xml:space="preserve">analytics</w:t>
      </w:r>
      <w:r>
        <w:rPr>
          <w:sz w:val="22"/>
          <w:szCs w:val="22"/>
        </w:rPr>
        <w:t xml:space="preserve">, </w:t>
      </w:r>
      <w:r>
        <w:rPr>
          <w:rFonts w:ascii="Consolas" w:cs="Consolas" w:eastAsia="Consolas" w:hAnsi="Consolas"/>
          <w:sz w:val="20"/>
          <w:szCs w:val="20"/>
        </w:rPr>
        <w:t xml:space="preserve">notification</w:t>
      </w:r>
      <w:r>
        <w:rPr>
          <w:sz w:val="22"/>
          <w:szCs w:val="22"/>
        </w:rPr>
        <w:t xml:space="preserve">, </w:t>
      </w:r>
      <w:r>
        <w:rPr>
          <w:rFonts w:ascii="Consolas" w:cs="Consolas" w:eastAsia="Consolas" w:hAnsi="Consolas"/>
          <w:sz w:val="20"/>
          <w:szCs w:val="20"/>
        </w:rPr>
        <w:t xml:space="preserve">email</w:t>
      </w:r>
      <w:r>
        <w:rPr>
          <w:sz w:val="22"/>
          <w:szCs w:val="22"/>
        </w:rPr>
        <w:t xml:space="preserve"> schemas, change:</w:t>
      </w:r>
    </w:p>
    <w:p>
      <w:pPr>
        <w:shd w:fill="F4F6F8" w:val="clear"/>
        <w:spacing w:after="60"/>
      </w:pPr>
      <w:r>
        <w:rPr>
          <w:rFonts w:ascii="Consolas" w:cs="Consolas" w:eastAsia="Consolas" w:hAnsi="Consolas"/>
          <w:sz w:val="18"/>
          <w:szCs w:val="18"/>
        </w:rPr>
        <w:t xml:space="preserve">id UUID PRIMARY KEY DEFAULT gen_random_uuid(),   -- BEFORE</w:t>
      </w:r>
    </w:p>
    <w:p>
      <w:pPr>
        <w:shd w:fill="F4F6F8" w:val="clear"/>
        <w:spacing w:after="60"/>
      </w:pPr>
      <w:r>
        <w:rPr>
          <w:rFonts w:ascii="Consolas" w:cs="Consolas" w:eastAsia="Consolas" w:hAnsi="Consolas"/>
          <w:sz w:val="18"/>
          <w:szCs w:val="18"/>
        </w:rPr>
        <w:t xml:space="preserve">id UUID PRIMARY KEY,                              -- AFTER: app-generated UUID v7 (R3)</w:t>
      </w:r>
    </w:p>
    <w:p>
      <w:pPr>
        <w:spacing w:after="100"/>
      </w:pPr>
      <w:r>
        <w:rPr>
          <w:sz w:val="22"/>
          <w:szCs w:val="22"/>
        </w:rPr>
        <w:t xml:space="preserve">Affected tables: </w:t>
      </w:r>
      <w:r>
        <w:rPr>
          <w:rFonts w:ascii="Consolas" w:cs="Consolas" w:eastAsia="Consolas" w:hAnsi="Consolas"/>
          <w:sz w:val="20"/>
          <w:szCs w:val="20"/>
        </w:rPr>
        <w:t xml:space="preserve">billing.plans, billing.subscriptions, billing.billing_events, analytics.post_metrics, notification.notifications, notification.notification_recipients, email.email_delivery_logs</w:t>
      </w:r>
      <w:r>
        <w:rPr>
          <w:sz w:val="22"/>
          <w:szCs w:val="22"/>
        </w:rPr>
        <w:t xml:space="preserve">. Add a file-header note documenting the convention.</w:t>
      </w:r>
    </w:p>
    <w:p>
      <w:pPr>
        <w:spacing w:after="80" w:before="160"/>
      </w:pPr>
      <w:r>
        <w:rPr>
          <w:b/>
          <w:bCs/>
          <w:color w:val="333333"/>
          <w:sz w:val="22"/>
          <w:szCs w:val="22"/>
        </w:rPr>
        <w:t xml:space="preserve">b) Database Design — Phase 3 Field Specification sheets</w:t>
      </w:r>
    </w:p>
    <w:p>
      <w:pPr>
        <w:spacing w:after="100"/>
      </w:pPr>
      <w:r>
        <w:rPr>
          <w:sz w:val="22"/>
          <w:szCs w:val="22"/>
        </w:rPr>
        <w:t xml:space="preserve">For the </w:t>
      </w:r>
      <w:r>
        <w:rPr>
          <w:rFonts w:ascii="Consolas" w:cs="Consolas" w:eastAsia="Consolas" w:hAnsi="Consolas"/>
          <w:sz w:val="20"/>
          <w:szCs w:val="20"/>
        </w:rPr>
        <w:t xml:space="preserve">id</w:t>
      </w:r>
      <w:r>
        <w:rPr>
          <w:sz w:val="22"/>
          <w:szCs w:val="22"/>
        </w:rPr>
        <w:t xml:space="preserve"> row of each service-owned table, change the Range of Values from </w:t>
      </w:r>
      <w:r>
        <w:rPr>
          <w:rFonts w:ascii="Consolas" w:cs="Consolas" w:eastAsia="Consolas" w:hAnsi="Consolas"/>
          <w:sz w:val="20"/>
          <w:szCs w:val="20"/>
        </w:rPr>
        <w:t xml:space="preserve">Auto-generated</w:t>
      </w:r>
      <w:r>
        <w:rPr>
          <w:sz w:val="22"/>
          <w:szCs w:val="22"/>
        </w:rPr>
        <w:t xml:space="preserve"> to </w:t>
      </w:r>
      <w:r>
        <w:rPr>
          <w:rFonts w:ascii="Consolas" w:cs="Consolas" w:eastAsia="Consolas" w:hAnsi="Consolas"/>
          <w:sz w:val="20"/>
          <w:szCs w:val="20"/>
        </w:rPr>
        <w:t xml:space="preserve">App-generated UUID v7 (R3 — not a DB default)</w:t>
      </w:r>
      <w:r>
        <w:rPr>
          <w:sz w:val="22"/>
          <w:szCs w:val="22"/>
        </w:rPr>
        <w:t xml:space="preserve"> and Edit Rule stays </w:t>
      </w:r>
      <w:r>
        <w:rPr>
          <w:rFonts w:ascii="Consolas" w:cs="Consolas" w:eastAsia="Consolas" w:hAnsi="Consolas"/>
          <w:sz w:val="20"/>
          <w:szCs w:val="20"/>
        </w:rPr>
        <w:t xml:space="preserve">Enter Now, Edits Not Allowed</w:t>
      </w:r>
      <w:r>
        <w:rPr>
          <w:sz w:val="22"/>
          <w:szCs w:val="22"/>
        </w:rPr>
        <w:t xml:space="preserve">. Also update the "Elements of a Candidate/Primary Key" Why column for those tables to note application-side generation.</w:t>
      </w:r>
    </w:p>
    <w:p>
      <w:pPr>
        <w:spacing w:after="80" w:before="160"/>
      </w:pPr>
      <w:r>
        <w:rPr>
          <w:b/>
          <w:bCs/>
          <w:color w:val="333333"/>
          <w:sz w:val="22"/>
          <w:szCs w:val="22"/>
        </w:rPr>
        <w:t xml:space="preserve">c) Seed (seed.js)</w:t>
      </w:r>
    </w:p>
    <w:p>
      <w:pPr>
        <w:spacing w:after="100"/>
      </w:pPr>
      <w:r>
        <w:rPr>
          <w:sz w:val="22"/>
          <w:szCs w:val="22"/>
        </w:rPr>
        <w:t xml:space="preserve">Already compliant — it calls </w:t>
      </w:r>
      <w:r>
        <w:rPr>
          <w:rFonts w:ascii="Consolas" w:cs="Consolas" w:eastAsia="Consolas" w:hAnsi="Consolas"/>
          <w:sz w:val="20"/>
          <w:szCs w:val="20"/>
        </w:rPr>
        <w:t xml:space="preserve">faker.string.uuid()</w:t>
      </w:r>
      <w:r>
        <w:rPr>
          <w:sz w:val="22"/>
          <w:szCs w:val="22"/>
        </w:rPr>
        <w:t xml:space="preserve"> for every id. Recommend switching the helper to UUID v7 to match production: </w:t>
      </w:r>
      <w:r>
        <w:rPr>
          <w:rFonts w:ascii="Consolas" w:cs="Consolas" w:eastAsia="Consolas" w:hAnsi="Consolas"/>
          <w:sz w:val="20"/>
          <w:szCs w:val="20"/>
        </w:rPr>
        <w:t xml:space="preserve">const uuid = () =&gt; uuidv7();</w:t>
      </w:r>
      <w:r>
        <w:rPr>
          <w:sz w:val="22"/>
          <w:szCs w:val="22"/>
        </w:rPr>
        <w:t xml:space="preserve"> (import from the </w:t>
      </w:r>
      <w:r>
        <w:rPr>
          <w:rFonts w:ascii="Consolas" w:cs="Consolas" w:eastAsia="Consolas" w:hAnsi="Consolas"/>
          <w:sz w:val="20"/>
          <w:szCs w:val="20"/>
        </w:rPr>
        <w:t xml:space="preserve">uuidv7</w:t>
      </w:r>
      <w:r>
        <w:rPr>
          <w:sz w:val="22"/>
          <w:szCs w:val="22"/>
        </w:rPr>
        <w:t xml:space="preserve"> package) so seeded ordering matches runtime.</w:t>
      </w:r>
    </w:p>
    <w:p>
      <w:pPr>
        <w:spacing w:after="80" w:before="160"/>
      </w:pPr>
      <w:r>
        <w:rPr>
          <w:b/>
          <w:bCs/>
          <w:color w:val="333333"/>
          <w:sz w:val="22"/>
          <w:szCs w:val="22"/>
        </w:rPr>
        <w:t xml:space="preserve">d) D2 / ERD</w:t>
      </w:r>
    </w:p>
    <w:p>
      <w:pPr>
        <w:spacing w:after="100"/>
      </w:pPr>
      <w:r>
        <w:rPr>
          <w:sz w:val="22"/>
          <w:szCs w:val="22"/>
        </w:rPr>
        <w:t xml:space="preserve">No structural change; optionally annotate service-owned table </w:t>
      </w:r>
      <w:r>
        <w:rPr>
          <w:rFonts w:ascii="Consolas" w:cs="Consolas" w:eastAsia="Consolas" w:hAnsi="Consolas"/>
          <w:sz w:val="20"/>
          <w:szCs w:val="20"/>
        </w:rPr>
        <w:t xml:space="preserve">id</w:t>
      </w:r>
      <w:r>
        <w:rPr>
          <w:sz w:val="22"/>
          <w:szCs w:val="22"/>
        </w:rPr>
        <w:t xml:space="preserve"> rows with </w:t>
      </w:r>
      <w:r>
        <w:rPr>
          <w:rFonts w:ascii="Consolas" w:cs="Consolas" w:eastAsia="Consolas" w:hAnsi="Consolas"/>
          <w:sz w:val="20"/>
          <w:szCs w:val="20"/>
        </w:rPr>
        <w:t xml:space="preserve">{constraint: PK}  // app-generated</w:t>
      </w:r>
      <w:r>
        <w:rPr>
          <w:sz w:val="22"/>
          <w:szCs w:val="22"/>
        </w:rPr>
        <w:t xml:space="preserve"> in a comment.</w:t>
      </w:r>
    </w:p>
    <w:p>
      <w:pPr>
        <w:spacing w:after="100"/>
      </w:pPr>
      <w:r>
        <w:rPr>
          <w:b/>
          <w:bCs/>
          <w:sz w:val="22"/>
          <w:szCs w:val="22"/>
        </w:rPr>
        <w:t xml:space="preserve">ADR-013 — Application-Generated UUID v7 Keys</w:t>
      </w:r>
      <w:r>
        <w:rPr>
          <w:sz w:val="22"/>
          <w:szCs w:val="22"/>
        </w:rPr>
        <w:t xml:space="preserve"> added.</w:t>
      </w:r>
    </w:p>
    <w:p>
      <w:pPr>
        <w:pageBreakBefore/>
      </w:pPr>
    </w:p>
    <w:p>
      <w:pPr>
        <w:pStyle w:val="Heading1"/>
        <w:spacing w:after="160" w:before="280"/>
      </w:pPr>
      <w:r>
        <w:rPr>
          <w:b/>
          <w:bCs/>
          <w:color w:val="1F6FC4"/>
          <w:sz w:val="30"/>
          <w:szCs w:val="30"/>
        </w:rPr>
        <w:t xml:space="preserve">R4 — FULL created_at / updated_at / deleted_at EVERYWHERE</w:t>
      </w:r>
    </w:p>
    <w:p>
      <w:pPr>
        <w:pStyle w:val="Heading2"/>
        <w:spacing w:after="120" w:before="220"/>
      </w:pPr>
      <w:r>
        <w:rPr>
          <w:b/>
          <w:bCs/>
          <w:color w:val="C0392B"/>
          <w:sz w:val="24"/>
          <w:szCs w:val="24"/>
        </w:rPr>
        <w:t xml:space="preserve">Decision</w:t>
      </w:r>
    </w:p>
    <w:p>
      <w:pPr>
        <w:spacing w:after="100"/>
      </w:pPr>
      <w:r>
        <w:rPr>
          <w:sz w:val="22"/>
          <w:szCs w:val="22"/>
        </w:rPr>
        <w:t xml:space="preserve">Every table carries the full audit-timestamp triplet: </w:t>
      </w:r>
      <w:r>
        <w:rPr>
          <w:rFonts w:ascii="Consolas" w:cs="Consolas" w:eastAsia="Consolas" w:hAnsi="Consolas"/>
          <w:sz w:val="20"/>
          <w:szCs w:val="20"/>
        </w:rPr>
        <w:t xml:space="preserve">created_at</w:t>
      </w:r>
      <w:r>
        <w:rPr>
          <w:sz w:val="22"/>
          <w:szCs w:val="22"/>
        </w:rPr>
        <w:t xml:space="preserve">, </w:t>
      </w:r>
      <w:r>
        <w:rPr>
          <w:rFonts w:ascii="Consolas" w:cs="Consolas" w:eastAsia="Consolas" w:hAnsi="Consolas"/>
          <w:sz w:val="20"/>
          <w:szCs w:val="20"/>
        </w:rPr>
        <w:t xml:space="preserve">updated_at</w:t>
      </w:r>
      <w:r>
        <w:rPr>
          <w:sz w:val="22"/>
          <w:szCs w:val="22"/>
        </w:rPr>
        <w:t xml:space="preserve">, and </w:t>
      </w:r>
      <w:r>
        <w:rPr>
          <w:rFonts w:ascii="Consolas" w:cs="Consolas" w:eastAsia="Consolas" w:hAnsi="Consolas"/>
          <w:sz w:val="20"/>
          <w:szCs w:val="20"/>
        </w:rPr>
        <w:t xml:space="preserve">deleted_at</w:t>
      </w:r>
      <w:r>
        <w:rPr>
          <w:sz w:val="22"/>
          <w:szCs w:val="22"/>
        </w:rPr>
        <w:t xml:space="preserve"> (nullable; non-null ⇒ soft-deleted). Deletes become </w:t>
      </w:r>
      <w:r>
        <w:rPr>
          <w:b/>
          <w:bCs/>
          <w:sz w:val="22"/>
          <w:szCs w:val="22"/>
        </w:rPr>
        <w:t xml:space="preserve">soft deletes</w:t>
      </w:r>
      <w:r>
        <w:rPr>
          <w:sz w:val="22"/>
          <w:szCs w:val="22"/>
        </w:rPr>
        <w:t xml:space="preserve">: rows are stamped, not removed. MikroORM applies a global </w:t>
      </w:r>
      <w:r>
        <w:rPr>
          <w:b/>
          <w:bCs/>
          <w:sz w:val="22"/>
          <w:szCs w:val="22"/>
        </w:rPr>
        <w:t xml:space="preserve">soft-delete filter</w:t>
      </w:r>
      <w:r>
        <w:rPr>
          <w:sz w:val="22"/>
          <w:szCs w:val="22"/>
        </w:rPr>
        <w:t xml:space="preserve"> so normal queries exclude deleted rows automatically.</w:t>
      </w:r>
    </w:p>
    <w:p>
      <w:pPr>
        <w:spacing w:after="100"/>
      </w:pPr>
      <w:r>
        <w:rPr>
          <w:sz w:val="22"/>
          <w:szCs w:val="22"/>
        </w:rPr>
        <w:t xml:space="preserve">Current gaps this fixes: several tables had only </w:t>
      </w:r>
      <w:r>
        <w:rPr>
          <w:rFonts w:ascii="Consolas" w:cs="Consolas" w:eastAsia="Consolas" w:hAnsi="Consolas"/>
          <w:sz w:val="20"/>
          <w:szCs w:val="20"/>
        </w:rPr>
        <w:t xml:space="preserve">created_at</w:t>
      </w:r>
      <w:r>
        <w:rPr>
          <w:sz w:val="22"/>
          <w:szCs w:val="22"/>
        </w:rPr>
        <w:t xml:space="preserve"> (workspace_members, invitations, audit_logs, billing_events, post_metrics, notifications, notification_recipients, email_delivery_logs, dead_letter_messages). All now get </w:t>
      </w:r>
      <w:r>
        <w:rPr>
          <w:rFonts w:ascii="Consolas" w:cs="Consolas" w:eastAsia="Consolas" w:hAnsi="Consolas"/>
          <w:sz w:val="20"/>
          <w:szCs w:val="20"/>
        </w:rPr>
        <w:t xml:space="preserve">updated_at</w:t>
      </w:r>
      <w:r>
        <w:rPr>
          <w:sz w:val="22"/>
          <w:szCs w:val="22"/>
        </w:rPr>
        <w:t xml:space="preserve"> + </w:t>
      </w:r>
      <w:r>
        <w:rPr>
          <w:rFonts w:ascii="Consolas" w:cs="Consolas" w:eastAsia="Consolas" w:hAnsi="Consolas"/>
          <w:sz w:val="20"/>
          <w:szCs w:val="20"/>
        </w:rPr>
        <w:t xml:space="preserve">deleted_at</w:t>
      </w:r>
      <w:r>
        <w:rPr>
          <w:sz w:val="22"/>
          <w:szCs w:val="22"/>
        </w:rPr>
        <w:t xml:space="preserve">.</w:t>
      </w:r>
    </w:p>
    <w:p>
      <w:pPr>
        <w:pStyle w:val="Heading2"/>
        <w:spacing w:after="120" w:before="220"/>
      </w:pPr>
      <w:r>
        <w:rPr>
          <w:b/>
          <w:bCs/>
          <w:color w:val="C0392B"/>
          <w:sz w:val="24"/>
          <w:szCs w:val="24"/>
        </w:rPr>
        <w:t xml:space="preserve">Interaction with existing deletion rules (Phase 4)</w:t>
      </w:r>
    </w:p>
    <w:p>
      <w:pPr>
        <w:spacing w:after="100"/>
      </w:pPr>
      <w:r>
        <w:rPr>
          <w:sz w:val="22"/>
          <w:szCs w:val="22"/>
        </w:rPr>
        <w:t xml:space="preserve">The Phase 4 </w:t>
      </w:r>
      <w:r>
        <w:rPr>
          <w:rFonts w:ascii="Consolas" w:cs="Consolas" w:eastAsia="Consolas" w:hAnsi="Consolas"/>
          <w:sz w:val="20"/>
          <w:szCs w:val="20"/>
        </w:rPr>
        <w:t xml:space="preserve">Cascade</w:t>
      </w:r>
      <w:r>
        <w:rPr>
          <w:sz w:val="22"/>
          <w:szCs w:val="22"/>
        </w:rPr>
        <w:t xml:space="preserve"> / </w:t>
      </w:r>
      <w:r>
        <w:rPr>
          <w:rFonts w:ascii="Consolas" w:cs="Consolas" w:eastAsia="Consolas" w:hAnsi="Consolas"/>
          <w:sz w:val="20"/>
          <w:szCs w:val="20"/>
        </w:rPr>
        <w:t xml:space="preserve">Restrict</w:t>
      </w:r>
      <w:r>
        <w:rPr>
          <w:sz w:val="22"/>
          <w:szCs w:val="22"/>
        </w:rPr>
        <w:t xml:space="preserve"> rules are reinterpreted at the </w:t>
      </w:r>
      <w:r>
        <w:rPr>
          <w:b/>
          <w:bCs/>
          <w:sz w:val="22"/>
          <w:szCs w:val="22"/>
        </w:rPr>
        <w:t xml:space="preserve">application</w:t>
      </w:r>
      <w:r>
        <w:rPr>
          <w:sz w:val="22"/>
          <w:szCs w:val="22"/>
        </w:rPr>
        <w:t xml:space="preserve"> layer as soft-delete cascades (stamp children) / soft-delete restricts (block if active children exist). Physical </w:t>
      </w:r>
      <w:r>
        <w:rPr>
          <w:rFonts w:ascii="Consolas" w:cs="Consolas" w:eastAsia="Consolas" w:hAnsi="Consolas"/>
          <w:sz w:val="20"/>
          <w:szCs w:val="20"/>
        </w:rPr>
        <w:t xml:space="preserve">ON DELETE</w:t>
      </w:r>
      <w:r>
        <w:rPr>
          <w:sz w:val="22"/>
          <w:szCs w:val="22"/>
        </w:rPr>
        <w:t xml:space="preserve"> clauses remain in DDL as a backstop for hard purges (retention jobs), but day-to-day deletes are soft. This must be stated explicitly so the two mechanisms don't appear to conflict.</w:t>
      </w:r>
    </w:p>
    <w:p>
      <w:pPr>
        <w:pStyle w:val="Heading2"/>
        <w:spacing w:after="120" w:before="220"/>
      </w:pPr>
      <w:r>
        <w:rPr>
          <w:b/>
          <w:bCs/>
          <w:color w:val="C0392B"/>
          <w:sz w:val="24"/>
          <w:szCs w:val="24"/>
        </w:rPr>
        <w:t xml:space="preserve">Affected artifacts &amp; exact edits</w:t>
      </w:r>
    </w:p>
    <w:p>
      <w:pPr>
        <w:spacing w:after="80" w:before="160"/>
      </w:pPr>
      <w:r>
        <w:rPr>
          <w:b/>
          <w:bCs/>
          <w:color w:val="333333"/>
          <w:sz w:val="22"/>
          <w:szCs w:val="22"/>
        </w:rPr>
        <w:t xml:space="preserve">a) DDL — add columns to every table</w:t>
      </w:r>
    </w:p>
    <w:p>
      <w:pPr>
        <w:spacing w:after="100"/>
      </w:pPr>
      <w:r>
        <w:rPr>
          <w:sz w:val="22"/>
          <w:szCs w:val="22"/>
        </w:rPr>
        <w:t xml:space="preserve">For tables that lack them, add:</w:t>
      </w:r>
    </w:p>
    <w:p>
      <w:pPr>
        <w:shd w:fill="F4F6F8" w:val="clear"/>
        <w:spacing w:after="60"/>
      </w:pPr>
      <w:r>
        <w:rPr>
          <w:rFonts w:ascii="Consolas" w:cs="Consolas" w:eastAsia="Consolas" w:hAnsi="Consolas"/>
          <w:sz w:val="18"/>
          <w:szCs w:val="18"/>
        </w:rPr>
        <w:t xml:space="preserve">updated_at TIMESTAMPTZ NOT NULL DEFAULT now(),</w:t>
      </w:r>
    </w:p>
    <w:p>
      <w:pPr>
        <w:shd w:fill="F4F6F8" w:val="clear"/>
        <w:spacing w:after="60"/>
      </w:pPr>
      <w:r>
        <w:rPr>
          <w:rFonts w:ascii="Consolas" w:cs="Consolas" w:eastAsia="Consolas" w:hAnsi="Consolas"/>
          <w:sz w:val="18"/>
          <w:szCs w:val="18"/>
        </w:rPr>
        <w:t xml:space="preserve">deleted_at TIMESTAMPTZ,   -- non-null =&gt; soft-deleted (R4)</w:t>
      </w:r>
    </w:p>
    <w:p>
      <w:pPr>
        <w:spacing w:after="100"/>
      </w:pPr>
      <w:r>
        <w:rPr>
          <w:sz w:val="22"/>
          <w:szCs w:val="22"/>
        </w:rPr>
        <w:t xml:space="preserve">Attach the existing </w:t>
      </w:r>
      <w:r>
        <w:rPr>
          <w:rFonts w:ascii="Consolas" w:cs="Consolas" w:eastAsia="Consolas" w:hAnsi="Consolas"/>
          <w:sz w:val="20"/>
          <w:szCs w:val="20"/>
        </w:rPr>
        <w:t xml:space="preserve">core.set_updated_at()</w:t>
      </w:r>
      <w:r>
        <w:rPr>
          <w:sz w:val="22"/>
          <w:szCs w:val="22"/>
        </w:rPr>
        <w:t xml:space="preserve"> BEFORE UPDATE trigger to every table now (it was missing on the append-only ones). Add a partial index per table for the common "live rows" path:</w:t>
      </w:r>
    </w:p>
    <w:p>
      <w:pPr>
        <w:shd w:fill="F4F6F8" w:val="clear"/>
        <w:spacing w:after="60"/>
      </w:pPr>
      <w:r>
        <w:rPr>
          <w:rFonts w:ascii="Consolas" w:cs="Consolas" w:eastAsia="Consolas" w:hAnsi="Consolas"/>
          <w:sz w:val="18"/>
          <w:szCs w:val="18"/>
        </w:rPr>
        <w:t xml:space="preserve">CREATE INDEX idx_&lt;table&gt;_live ON &lt;schema&gt;.&lt;table&gt; (id) WHERE deleted_at IS NULL;</w:t>
      </w:r>
    </w:p>
    <w:p>
      <w:pPr>
        <w:spacing w:after="100"/>
      </w:pPr>
      <w:r>
        <w:rPr>
          <w:sz w:val="22"/>
          <w:szCs w:val="22"/>
        </w:rPr>
        <w:t xml:space="preserve">Note: </w:t>
      </w:r>
      <w:r>
        <w:rPr>
          <w:rFonts w:ascii="Consolas" w:cs="Consolas" w:eastAsia="Consolas" w:hAnsi="Consolas"/>
          <w:sz w:val="20"/>
          <w:szCs w:val="20"/>
        </w:rPr>
        <w:t xml:space="preserve">messaging.event_message_logs / dead_letter_messages</w:t>
      </w:r>
      <w:r>
        <w:rPr>
          <w:sz w:val="22"/>
          <w:szCs w:val="22"/>
        </w:rPr>
        <w:t xml:space="preserve"> are infra append-only logs — </w:t>
      </w:r>
      <w:r>
        <w:rPr>
          <w:rFonts w:ascii="Consolas" w:cs="Consolas" w:eastAsia="Consolas" w:hAnsi="Consolas"/>
          <w:sz w:val="20"/>
          <w:szCs w:val="20"/>
        </w:rPr>
        <w:t xml:space="preserve">deleted_at</w:t>
      </w:r>
      <w:r>
        <w:rPr>
          <w:sz w:val="22"/>
          <w:szCs w:val="22"/>
        </w:rPr>
        <w:t xml:space="preserve"> is optional there; recommend keeping them hard-purged by the retention job rather than soft-deleted.</w:t>
      </w:r>
    </w:p>
    <w:p>
      <w:pPr>
        <w:spacing w:after="80" w:before="160"/>
      </w:pPr>
      <w:r>
        <w:rPr>
          <w:b/>
          <w:bCs/>
          <w:color w:val="333333"/>
          <w:sz w:val="22"/>
          <w:szCs w:val="22"/>
        </w:rPr>
        <w:t xml:space="preserve">b) Database Design — Phase 3 "Assign Fields to Tables" + Field Spec sheets</w:t>
      </w:r>
    </w:p>
    <w:p>
      <w:pPr>
        <w:spacing w:after="100"/>
      </w:pPr>
      <w:r>
        <w:rPr>
          <w:sz w:val="22"/>
          <w:szCs w:val="22"/>
        </w:rPr>
        <w:t xml:space="preserve">Append </w:t>
      </w:r>
      <w:r>
        <w:rPr>
          <w:rFonts w:ascii="Consolas" w:cs="Consolas" w:eastAsia="Consolas" w:hAnsi="Consolas"/>
          <w:sz w:val="20"/>
          <w:szCs w:val="20"/>
        </w:rPr>
        <w:t xml:space="preserve">updated_at, deleted_at</w:t>
      </w:r>
      <w:r>
        <w:rPr>
          <w:sz w:val="22"/>
          <w:szCs w:val="22"/>
        </w:rPr>
        <w:t xml:space="preserve"> to every table's field list and add the two rows to each Field Specification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300"/>
        <w:gridCol w:w="2960"/>
        <w:gridCol w:w="2500"/>
      </w:tblGrid>
      <w:tr>
        <w:trPr>
          <w:tblHeader/>
        </w:trPr>
        <w:tc>
          <w:tcPr>
            <w:tcW w:type="dxa" w:w="1500"/>
            <w:tcBorders>
              <w:top w:val="single" w:color="B7C2CC" w:sz="1"/>
              <w:left w:val="single" w:color="B7C2CC" w:sz="1"/>
              <w:bottom w:val="single" w:color="B7C2CC" w:sz="1"/>
              <w:right w:val="single" w:color="B7C2CC" w:sz="1"/>
            </w:tcBorders>
            <w:shd w:fill="D5E8F0" w:val="clear"/>
            <w:tcMar>
              <w:top w:type="dxa" w:w="60"/>
              <w:left w:type="dxa" w:w="100"/>
              <w:bottom w:type="dxa" w:w="60"/>
              <w:right w:type="dxa" w:w="100"/>
            </w:tcMar>
            <w:vAlign w:val="center"/>
          </w:tcPr>
          <w:p>
            <w:r>
              <w:rPr>
                <w:b/>
                <w:bCs/>
                <w:sz w:val="19"/>
                <w:szCs w:val="19"/>
              </w:rPr>
              <w:t xml:space="preserve">Field</w:t>
            </w:r>
          </w:p>
        </w:tc>
        <w:tc>
          <w:tcPr>
            <w:tcW w:type="dxa" w:w="1100"/>
            <w:tcBorders>
              <w:top w:val="single" w:color="B7C2CC" w:sz="1"/>
              <w:left w:val="single" w:color="B7C2CC" w:sz="1"/>
              <w:bottom w:val="single" w:color="B7C2CC" w:sz="1"/>
              <w:right w:val="single" w:color="B7C2CC" w:sz="1"/>
            </w:tcBorders>
            <w:shd w:fill="D5E8F0" w:val="clear"/>
            <w:tcMar>
              <w:top w:type="dxa" w:w="60"/>
              <w:left w:type="dxa" w:w="100"/>
              <w:bottom w:type="dxa" w:w="60"/>
              <w:right w:type="dxa" w:w="100"/>
            </w:tcMar>
            <w:vAlign w:val="center"/>
          </w:tcPr>
          <w:p>
            <w:r>
              <w:rPr>
                <w:b/>
                <w:bCs/>
                <w:sz w:val="19"/>
                <w:szCs w:val="19"/>
              </w:rPr>
              <w:t xml:space="preserve">Type</w:t>
            </w:r>
          </w:p>
        </w:tc>
        <w:tc>
          <w:tcPr>
            <w:tcW w:type="dxa" w:w="1300"/>
            <w:tcBorders>
              <w:top w:val="single" w:color="B7C2CC" w:sz="1"/>
              <w:left w:val="single" w:color="B7C2CC" w:sz="1"/>
              <w:bottom w:val="single" w:color="B7C2CC" w:sz="1"/>
              <w:right w:val="single" w:color="B7C2CC" w:sz="1"/>
            </w:tcBorders>
            <w:shd w:fill="D5E8F0" w:val="clear"/>
            <w:tcMar>
              <w:top w:type="dxa" w:w="60"/>
              <w:left w:type="dxa" w:w="100"/>
              <w:bottom w:type="dxa" w:w="60"/>
              <w:right w:type="dxa" w:w="100"/>
            </w:tcMar>
            <w:vAlign w:val="center"/>
          </w:tcPr>
          <w:p>
            <w:r>
              <w:rPr>
                <w:b/>
                <w:bCs/>
                <w:sz w:val="19"/>
                <w:szCs w:val="19"/>
              </w:rPr>
              <w:t xml:space="preserve">Null</w:t>
            </w:r>
          </w:p>
        </w:tc>
        <w:tc>
          <w:tcPr>
            <w:tcW w:type="dxa" w:w="2960"/>
            <w:tcBorders>
              <w:top w:val="single" w:color="B7C2CC" w:sz="1"/>
              <w:left w:val="single" w:color="B7C2CC" w:sz="1"/>
              <w:bottom w:val="single" w:color="B7C2CC" w:sz="1"/>
              <w:right w:val="single" w:color="B7C2CC" w:sz="1"/>
            </w:tcBorders>
            <w:shd w:fill="D5E8F0" w:val="clear"/>
            <w:tcMar>
              <w:top w:type="dxa" w:w="60"/>
              <w:left w:type="dxa" w:w="100"/>
              <w:bottom w:type="dxa" w:w="60"/>
              <w:right w:type="dxa" w:w="100"/>
            </w:tcMar>
            <w:vAlign w:val="center"/>
          </w:tcPr>
          <w:p>
            <w:r>
              <w:rPr>
                <w:b/>
                <w:bCs/>
                <w:sz w:val="19"/>
                <w:szCs w:val="19"/>
              </w:rPr>
              <w:t xml:space="preserve">Range of Values</w:t>
            </w:r>
          </w:p>
        </w:tc>
        <w:tc>
          <w:tcPr>
            <w:tcW w:type="dxa" w:w="2500"/>
            <w:tcBorders>
              <w:top w:val="single" w:color="B7C2CC" w:sz="1"/>
              <w:left w:val="single" w:color="B7C2CC" w:sz="1"/>
              <w:bottom w:val="single" w:color="B7C2CC" w:sz="1"/>
              <w:right w:val="single" w:color="B7C2CC" w:sz="1"/>
            </w:tcBorders>
            <w:shd w:fill="D5E8F0" w:val="clear"/>
            <w:tcMar>
              <w:top w:type="dxa" w:w="60"/>
              <w:left w:type="dxa" w:w="100"/>
              <w:bottom w:type="dxa" w:w="60"/>
              <w:right w:type="dxa" w:w="100"/>
            </w:tcMar>
            <w:vAlign w:val="center"/>
          </w:tcPr>
          <w:p>
            <w:r>
              <w:rPr>
                <w:b/>
                <w:bCs/>
                <w:sz w:val="19"/>
                <w:szCs w:val="19"/>
              </w:rPr>
              <w:t xml:space="preserve">Edit Rule</w:t>
            </w:r>
          </w:p>
        </w:tc>
      </w:tr>
      <w:tr>
        <w:tc>
          <w:tcPr>
            <w:tcW w:type="dxa" w:w="15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updated_at</w:t>
            </w:r>
          </w:p>
        </w:tc>
        <w:tc>
          <w:tcPr>
            <w:tcW w:type="dxa" w:w="11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DateTime</w:t>
            </w:r>
          </w:p>
        </w:tc>
        <w:tc>
          <w:tcPr>
            <w:tcW w:type="dxa" w:w="13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No Nulls</w:t>
            </w:r>
          </w:p>
        </w:tc>
        <w:tc>
          <w:tcPr>
            <w:tcW w:type="dxa" w:w="296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Set by trigger on update</w:t>
            </w:r>
          </w:p>
        </w:tc>
        <w:tc>
          <w:tcPr>
            <w:tcW w:type="dxa" w:w="25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System-managed, Edits Not Allowed</w:t>
            </w:r>
          </w:p>
        </w:tc>
      </w:tr>
      <w:tr>
        <w:tc>
          <w:tcPr>
            <w:tcW w:type="dxa" w:w="15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deleted_at</w:t>
            </w:r>
          </w:p>
        </w:tc>
        <w:tc>
          <w:tcPr>
            <w:tcW w:type="dxa" w:w="11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DateTime</w:t>
            </w:r>
          </w:p>
        </w:tc>
        <w:tc>
          <w:tcPr>
            <w:tcW w:type="dxa" w:w="13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Nulls Allowed</w:t>
            </w:r>
          </w:p>
        </w:tc>
        <w:tc>
          <w:tcPr>
            <w:tcW w:type="dxa" w:w="296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NULL = active; set on soft delete</w:t>
            </w:r>
          </w:p>
        </w:tc>
        <w:tc>
          <w:tcPr>
            <w:tcW w:type="dxa" w:w="25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System-managed, Edits Not Allowed</w:t>
            </w:r>
          </w:p>
        </w:tc>
      </w:tr>
    </w:tbl>
    <w:p>
      <w:pPr>
        <w:spacing w:after="80" w:before="160"/>
      </w:pPr>
      <w:r>
        <w:rPr>
          <w:b/>
          <w:bCs/>
          <w:color w:val="333333"/>
          <w:sz w:val="22"/>
          <w:szCs w:val="22"/>
        </w:rPr>
        <w:t xml:space="preserve">c) Views (views.sql)</w:t>
      </w:r>
    </w:p>
    <w:p>
      <w:pPr>
        <w:spacing w:after="100"/>
      </w:pPr>
      <w:r>
        <w:rPr>
          <w:sz w:val="22"/>
          <w:szCs w:val="22"/>
        </w:rPr>
        <w:t xml:space="preserve">Every view must add </w:t>
      </w:r>
      <w:r>
        <w:rPr>
          <w:rFonts w:ascii="Consolas" w:cs="Consolas" w:eastAsia="Consolas" w:hAnsi="Consolas"/>
          <w:sz w:val="20"/>
          <w:szCs w:val="20"/>
        </w:rPr>
        <w:t xml:space="preserve">WHERE deleted_at IS NULL</w:t>
      </w:r>
      <w:r>
        <w:rPr>
          <w:sz w:val="22"/>
          <w:szCs w:val="22"/>
        </w:rPr>
        <w:t xml:space="preserve"> (or join condition) on each base table so soft-deleted rows never surface in reporting. The verify-seed harness gains a check that no view returns a soft-deleted row.</w:t>
      </w:r>
    </w:p>
    <w:p>
      <w:pPr>
        <w:spacing w:after="80" w:before="160"/>
      </w:pPr>
      <w:r>
        <w:rPr>
          <w:b/>
          <w:bCs/>
          <w:color w:val="333333"/>
          <w:sz w:val="22"/>
          <w:szCs w:val="22"/>
        </w:rPr>
        <w:t xml:space="preserve">d) Phase 7 — Data Integrity</w:t>
      </w:r>
    </w:p>
    <w:p>
      <w:pPr>
        <w:spacing w:after="100"/>
      </w:pPr>
      <w:r>
        <w:rPr>
          <w:sz w:val="22"/>
          <w:szCs w:val="22"/>
        </w:rPr>
        <w:t xml:space="preserve">Add a line under Field-Level Integrity: "Every table carries created_at / updated_at / deleted_at; deletes are soft (R4), with MikroORM's soft-delete filter excluding deleted rows by default."</w:t>
      </w:r>
    </w:p>
    <w:p>
      <w:pPr>
        <w:spacing w:after="100"/>
      </w:pPr>
      <w:r>
        <w:rPr>
          <w:b/>
          <w:bCs/>
          <w:sz w:val="22"/>
          <w:szCs w:val="22"/>
        </w:rPr>
        <w:t xml:space="preserve">ADR-014 — Soft Delete &amp; Full Timestamp Triplet</w:t>
      </w:r>
      <w:r>
        <w:rPr>
          <w:sz w:val="22"/>
          <w:szCs w:val="22"/>
        </w:rPr>
        <w:t xml:space="preserve"> added.</w:t>
      </w:r>
    </w:p>
    <w:p>
      <w:pPr>
        <w:pageBreakBefore/>
      </w:pPr>
    </w:p>
    <w:p>
      <w:pPr>
        <w:pStyle w:val="Heading1"/>
        <w:spacing w:after="160" w:before="280"/>
      </w:pPr>
      <w:r>
        <w:rPr>
          <w:b/>
          <w:bCs/>
          <w:color w:val="1F6FC4"/>
          <w:sz w:val="30"/>
          <w:szCs w:val="30"/>
        </w:rPr>
        <w:t xml:space="preserve">R5 — RESULT PATTERN FOR FUNCTIONAL ERROR HANDLING</w:t>
      </w:r>
    </w:p>
    <w:p>
      <w:pPr>
        <w:pStyle w:val="Heading2"/>
        <w:spacing w:after="120" w:before="220"/>
      </w:pPr>
      <w:r>
        <w:rPr>
          <w:b/>
          <w:bCs/>
          <w:color w:val="C0392B"/>
          <w:sz w:val="24"/>
          <w:szCs w:val="24"/>
        </w:rPr>
        <w:t xml:space="preserve">Decision</w:t>
      </w:r>
    </w:p>
    <w:p>
      <w:pPr>
        <w:spacing w:after="100"/>
      </w:pPr>
      <w:r>
        <w:rPr>
          <w:sz w:val="22"/>
          <w:szCs w:val="22"/>
        </w:rPr>
        <w:t xml:space="preserve">Service-layer methods return a </w:t>
      </w:r>
      <w:r>
        <w:rPr>
          <w:rFonts w:ascii="Consolas" w:cs="Consolas" w:eastAsia="Consolas" w:hAnsi="Consolas"/>
          <w:sz w:val="20"/>
          <w:szCs w:val="20"/>
        </w:rPr>
        <w:t xml:space="preserve">Result&lt;T, E&gt;</w:t>
      </w:r>
      <w:r>
        <w:rPr>
          <w:sz w:val="22"/>
          <w:szCs w:val="22"/>
        </w:rPr>
        <w:t xml:space="preserve"> (</w:t>
      </w:r>
      <w:r>
        <w:rPr>
          <w:b/>
          <w:bCs/>
          <w:sz w:val="22"/>
          <w:szCs w:val="22"/>
        </w:rPr>
        <w:t xml:space="preserve">Ok</w:t>
      </w:r>
      <w:r>
        <w:rPr>
          <w:sz w:val="22"/>
          <w:szCs w:val="22"/>
        </w:rPr>
        <w:t xml:space="preserve"> | </w:t>
      </w:r>
      <w:r>
        <w:rPr>
          <w:b/>
          <w:bCs/>
          <w:sz w:val="22"/>
          <w:szCs w:val="22"/>
        </w:rPr>
        <w:t xml:space="preserve">Err</w:t>
      </w:r>
      <w:r>
        <w:rPr>
          <w:sz w:val="22"/>
          <w:szCs w:val="22"/>
        </w:rPr>
        <w:t xml:space="preserve">) instead of throwing for </w:t>
      </w:r>
      <w:r>
        <w:rPr>
          <w:b/>
          <w:bCs/>
          <w:sz w:val="22"/>
          <w:szCs w:val="22"/>
        </w:rPr>
        <w:t xml:space="preserve">expected, domain-level</w:t>
      </w:r>
      <w:r>
        <w:rPr>
          <w:sz w:val="22"/>
          <w:szCs w:val="22"/>
        </w:rPr>
        <w:t xml:space="preserve"> failures (validation, business-rule violations, not-found, conflict). Exceptions are reserved for </w:t>
      </w:r>
      <w:r>
        <w:rPr>
          <w:b/>
          <w:bCs/>
          <w:sz w:val="22"/>
          <w:szCs w:val="22"/>
        </w:rPr>
        <w:t xml:space="preserve">truly exceptional</w:t>
      </w:r>
      <w:r>
        <w:rPr>
          <w:sz w:val="22"/>
          <w:szCs w:val="22"/>
        </w:rPr>
        <w:t xml:space="preserve"> cases (infra failure, programmer error). A thin controller-level adapter maps </w:t>
      </w:r>
      <w:r>
        <w:rPr>
          <w:rFonts w:ascii="Consolas" w:cs="Consolas" w:eastAsia="Consolas" w:hAnsi="Consolas"/>
          <w:sz w:val="20"/>
          <w:szCs w:val="20"/>
        </w:rPr>
        <w:t xml:space="preserve">Err</w:t>
      </w:r>
      <w:r>
        <w:rPr>
          <w:sz w:val="22"/>
          <w:szCs w:val="22"/>
        </w:rPr>
        <w:t xml:space="preserve"> variants onto HTTP status codes / Problem Details, keeping the domain free of framework concerns. Reference: arg-software, "Functional Error Handling in TypeScript with the Result Pattern."</w:t>
      </w:r>
    </w:p>
    <w:p>
      <w:pPr>
        <w:pStyle w:val="Heading2"/>
        <w:spacing w:after="120" w:before="220"/>
      </w:pPr>
      <w:r>
        <w:rPr>
          <w:b/>
          <w:bCs/>
          <w:color w:val="C0392B"/>
          <w:sz w:val="24"/>
          <w:szCs w:val="24"/>
        </w:rPr>
        <w:t xml:space="preserve">Shape</w:t>
      </w:r>
    </w:p>
    <w:p>
      <w:pPr>
        <w:shd w:fill="F4F6F8" w:val="clear"/>
        <w:spacing w:after="60"/>
      </w:pPr>
      <w:r>
        <w:rPr>
          <w:rFonts w:ascii="Consolas" w:cs="Consolas" w:eastAsia="Consolas" w:hAnsi="Consolas"/>
          <w:sz w:val="18"/>
          <w:szCs w:val="18"/>
        </w:rPr>
        <w:t xml:space="preserve">type Result&lt;T, E = AppError&gt; = Ok&lt;T&gt; | Err&lt;E&gt;;</w:t>
      </w:r>
    </w:p>
    <w:p>
      <w:pPr>
        <w:shd w:fill="F4F6F8" w:val="clear"/>
        <w:spacing w:after="60"/>
      </w:pPr>
      <w:r>
        <w:rPr>
          <w:rFonts w:ascii="Consolas" w:cs="Consolas" w:eastAsia="Consolas" w:hAnsi="Consolas"/>
          <w:sz w:val="18"/>
          <w:szCs w:val="18"/>
        </w:rPr>
        <w:t xml:space="preserve">// services return Result; controllers .match({ ok, err }) -&gt; HTTP</w:t>
      </w:r>
    </w:p>
    <w:p>
      <w:pPr>
        <w:spacing w:after="100"/>
      </w:pPr>
      <w:r>
        <w:rPr>
          <w:sz w:val="22"/>
          <w:szCs w:val="22"/>
        </w:rPr>
        <w:t xml:space="preserve">Business rules map to typed </w:t>
      </w:r>
      <w:r>
        <w:rPr>
          <w:rFonts w:ascii="Consolas" w:cs="Consolas" w:eastAsia="Consolas" w:hAnsi="Consolas"/>
          <w:sz w:val="20"/>
          <w:szCs w:val="20"/>
        </w:rPr>
        <w:t xml:space="preserve">Err</w:t>
      </w:r>
      <w:r>
        <w:rPr>
          <w:sz w:val="22"/>
          <w:szCs w:val="22"/>
        </w:rPr>
        <w:t xml:space="preserve"> variants, e.g. </w:t>
      </w:r>
      <w:r>
        <w:rPr>
          <w:rFonts w:ascii="Consolas" w:cs="Consolas" w:eastAsia="Consolas" w:hAnsi="Consolas"/>
          <w:sz w:val="20"/>
          <w:szCs w:val="20"/>
        </w:rPr>
        <w:t xml:space="preserve">SoleOwnerRemovalError</w:t>
      </w:r>
      <w:r>
        <w:rPr>
          <w:sz w:val="22"/>
          <w:szCs w:val="22"/>
        </w:rPr>
        <w:t xml:space="preserve"> (BR-R02), </w:t>
      </w:r>
      <w:r>
        <w:rPr>
          <w:rFonts w:ascii="Consolas" w:cs="Consolas" w:eastAsia="Consolas" w:hAnsi="Consolas"/>
          <w:sz w:val="20"/>
          <w:szCs w:val="20"/>
        </w:rPr>
        <w:t xml:space="preserve">CrossWorkspaceAccountError</w:t>
      </w:r>
      <w:r>
        <w:rPr>
          <w:sz w:val="22"/>
          <w:szCs w:val="22"/>
        </w:rPr>
        <w:t xml:space="preserve"> (BR-R05), </w:t>
      </w:r>
      <w:r>
        <w:rPr>
          <w:rFonts w:ascii="Consolas" w:cs="Consolas" w:eastAsia="Consolas" w:hAnsi="Consolas"/>
          <w:sz w:val="20"/>
          <w:szCs w:val="20"/>
        </w:rPr>
        <w:t xml:space="preserve">PlanLimitExceededError</w:t>
      </w:r>
      <w:r>
        <w:rPr>
          <w:sz w:val="22"/>
          <w:szCs w:val="22"/>
        </w:rPr>
        <w:t xml:space="preserve">, </w:t>
      </w:r>
      <w:r>
        <w:rPr>
          <w:rFonts w:ascii="Consolas" w:cs="Consolas" w:eastAsia="Consolas" w:hAnsi="Consolas"/>
          <w:sz w:val="20"/>
          <w:szCs w:val="20"/>
        </w:rPr>
        <w:t xml:space="preserve">DuplicateDedupeKeyError</w:t>
      </w:r>
      <w:r>
        <w:rPr>
          <w:sz w:val="22"/>
          <w:szCs w:val="22"/>
        </w:rPr>
        <w:t xml:space="preserve"> (BR-R08).</w:t>
      </w:r>
    </w:p>
    <w:p>
      <w:pPr>
        <w:pStyle w:val="Heading2"/>
        <w:spacing w:after="120" w:before="220"/>
      </w:pPr>
      <w:r>
        <w:rPr>
          <w:b/>
          <w:bCs/>
          <w:color w:val="C0392B"/>
          <w:sz w:val="24"/>
          <w:szCs w:val="24"/>
        </w:rPr>
        <w:t xml:space="preserve">Affected artifacts &amp; exact edits</w:t>
      </w:r>
    </w:p>
    <w:p>
      <w:pPr>
        <w:pStyle w:val="ListParagraph"/>
        <w:numPr>
          <w:ilvl w:val="0"/>
          <w:numId w:val="2"/>
        </w:numPr>
        <w:spacing w:after="40"/>
      </w:pPr>
      <w:r>
        <w:rPr>
          <w:b/>
          <w:bCs/>
          <w:sz w:val="22"/>
          <w:szCs w:val="22"/>
        </w:rPr>
        <w:t xml:space="preserve">Proposal</w:t>
      </w:r>
      <w:r>
        <w:rPr>
          <w:sz w:val="22"/>
          <w:szCs w:val="22"/>
        </w:rPr>
        <w:t xml:space="preserve">: add "Result Pattern (functional error handling)" to the list of applied architecture principles (next to State Machines, DDD, RBAC).</w:t>
      </w:r>
    </w:p>
    <w:p>
      <w:pPr>
        <w:pStyle w:val="ListParagraph"/>
        <w:numPr>
          <w:ilvl w:val="0"/>
          <w:numId w:val="2"/>
        </w:numPr>
        <w:spacing w:after="40"/>
      </w:pPr>
      <w:r>
        <w:rPr>
          <w:b/>
          <w:bCs/>
          <w:sz w:val="22"/>
          <w:szCs w:val="22"/>
        </w:rPr>
        <w:t xml:space="preserve">Estimation &amp; Roadmap</w:t>
      </w:r>
      <w:r>
        <w:rPr>
          <w:sz w:val="22"/>
          <w:szCs w:val="22"/>
        </w:rPr>
        <w:t xml:space="preserve">: add a sub-task under Foundation — "Result type + AppError taxonomy + Nest exception/Result adapter — 4h".</w:t>
      </w:r>
    </w:p>
    <w:p>
      <w:pPr>
        <w:pStyle w:val="ListParagraph"/>
        <w:numPr>
          <w:ilvl w:val="0"/>
          <w:numId w:val="2"/>
        </w:numPr>
        <w:spacing w:after="40"/>
      </w:pPr>
      <w:r>
        <w:rPr>
          <w:b/>
          <w:bCs/>
          <w:sz w:val="22"/>
          <w:szCs w:val="22"/>
        </w:rPr>
        <w:t xml:space="preserve">Database Design Phase 5</w:t>
      </w:r>
      <w:r>
        <w:rPr>
          <w:sz w:val="22"/>
          <w:szCs w:val="22"/>
        </w:rPr>
        <w:t xml:space="preserve">: for each Application-oriented business rule (BR-F09, BR-F10, BR-R02, BR-R05), note in Action Taken that the guard returns a typed Result.Err rather than throwing.</w:t>
      </w:r>
    </w:p>
    <w:p>
      <w:pPr>
        <w:pStyle w:val="ListParagraph"/>
        <w:numPr>
          <w:ilvl w:val="0"/>
          <w:numId w:val="2"/>
        </w:numPr>
        <w:spacing w:after="40"/>
      </w:pPr>
      <w:r>
        <w:rPr>
          <w:b/>
          <w:bCs/>
          <w:sz w:val="22"/>
          <w:szCs w:val="22"/>
        </w:rPr>
        <w:t xml:space="preserve">HLD diagram</w:t>
      </w:r>
      <w:r>
        <w:rPr>
          <w:sz w:val="22"/>
          <w:szCs w:val="22"/>
        </w:rPr>
        <w:t xml:space="preserve">: annotate the Application Service node with "returns Result&lt;T,E&gt;".</w:t>
      </w:r>
    </w:p>
    <w:p>
      <w:pPr>
        <w:spacing w:after="100"/>
      </w:pPr>
      <w:r>
        <w:rPr>
          <w:b/>
          <w:bCs/>
          <w:sz w:val="22"/>
          <w:szCs w:val="22"/>
        </w:rPr>
        <w:t xml:space="preserve">ADR-015 — Result Pattern for Domain Errors</w:t>
      </w:r>
      <w:r>
        <w:rPr>
          <w:sz w:val="22"/>
          <w:szCs w:val="22"/>
        </w:rPr>
        <w:t xml:space="preserve"> added.</w:t>
      </w:r>
    </w:p>
    <w:p>
      <w:pPr>
        <w:pageBreakBefore/>
      </w:pPr>
    </w:p>
    <w:p>
      <w:pPr>
        <w:pStyle w:val="Heading1"/>
        <w:spacing w:after="160" w:before="280"/>
      </w:pPr>
      <w:r>
        <w:rPr>
          <w:b/>
          <w:bCs/>
          <w:color w:val="1F6FC4"/>
          <w:sz w:val="30"/>
          <w:szCs w:val="30"/>
        </w:rPr>
        <w:t xml:space="preserve">R6 — AUDIT LOGS AS A SEPARATE SERVICE ON MONGODB</w:t>
      </w:r>
    </w:p>
    <w:p>
      <w:pPr>
        <w:pStyle w:val="Heading2"/>
        <w:spacing w:after="120" w:before="220"/>
      </w:pPr>
      <w:r>
        <w:rPr>
          <w:b/>
          <w:bCs/>
          <w:color w:val="C0392B"/>
          <w:sz w:val="24"/>
          <w:szCs w:val="24"/>
        </w:rPr>
        <w:t xml:space="preserve">Decision</w:t>
      </w:r>
    </w:p>
    <w:p>
      <w:pPr>
        <w:spacing w:after="100"/>
      </w:pPr>
      <w:r>
        <w:rPr>
          <w:sz w:val="22"/>
          <w:szCs w:val="22"/>
        </w:rPr>
        <w:t xml:space="preserve">Extract audit logging out of </w:t>
      </w:r>
      <w:r>
        <w:rPr>
          <w:rFonts w:ascii="Consolas" w:cs="Consolas" w:eastAsia="Consolas" w:hAnsi="Consolas"/>
          <w:sz w:val="20"/>
          <w:szCs w:val="20"/>
        </w:rPr>
        <w:t xml:space="preserve">apps/api</w:t>
      </w:r>
      <w:r>
        <w:rPr>
          <w:sz w:val="22"/>
          <w:szCs w:val="22"/>
        </w:rPr>
        <w:t xml:space="preserve"> / the </w:t>
      </w:r>
      <w:r>
        <w:rPr>
          <w:rFonts w:ascii="Consolas" w:cs="Consolas" w:eastAsia="Consolas" w:hAnsi="Consolas"/>
          <w:sz w:val="20"/>
          <w:szCs w:val="20"/>
        </w:rPr>
        <w:t xml:space="preserve">core</w:t>
      </w:r>
      <w:r>
        <w:rPr>
          <w:sz w:val="22"/>
          <w:szCs w:val="22"/>
        </w:rPr>
        <w:t xml:space="preserve"> schema into a standalone </w:t>
      </w:r>
      <w:r>
        <w:rPr>
          <w:b/>
          <w:bCs/>
          <w:sz w:val="22"/>
          <w:szCs w:val="22"/>
        </w:rPr>
        <w:t xml:space="preserve">Audit Service</w:t>
      </w:r>
      <w:r>
        <w:rPr>
          <w:sz w:val="22"/>
          <w:szCs w:val="22"/>
        </w:rPr>
        <w:t xml:space="preserve"> backed by </w:t>
      </w:r>
      <w:r>
        <w:rPr>
          <w:b/>
          <w:bCs/>
          <w:sz w:val="22"/>
          <w:szCs w:val="22"/>
        </w:rPr>
        <w:t xml:space="preserve">MongoDB used schemalessly</w:t>
      </w:r>
      <w:r>
        <w:rPr>
          <w:sz w:val="22"/>
          <w:szCs w:val="22"/>
        </w:rPr>
        <w:t xml:space="preserve"> (no Mongoose schema — the raw Node driver / MikroORM Mongo driver writes free-form documents). The service </w:t>
      </w:r>
      <w:r>
        <w:rPr>
          <w:b/>
          <w:bCs/>
          <w:sz w:val="22"/>
          <w:szCs w:val="22"/>
        </w:rPr>
        <w:t xml:space="preserve">consumes domain events</w:t>
      </w:r>
      <w:r>
        <w:rPr>
          <w:sz w:val="22"/>
          <w:szCs w:val="22"/>
        </w:rPr>
        <w:t xml:space="preserve"> from RabbitMQ (it does not sit on the synchronous request path) and appends an immutable audit document per event. This removes the high-write append-only table from PostgreSQL and lets the variable-shape </w:t>
      </w:r>
      <w:r>
        <w:rPr>
          <w:rFonts w:ascii="Consolas" w:cs="Consolas" w:eastAsia="Consolas" w:hAnsi="Consolas"/>
          <w:sz w:val="20"/>
          <w:szCs w:val="20"/>
        </w:rPr>
        <w:t xml:space="preserve">old_values / new_values / metadata</w:t>
      </w:r>
      <w:r>
        <w:rPr>
          <w:sz w:val="22"/>
          <w:szCs w:val="22"/>
        </w:rPr>
        <w:t xml:space="preserve"> live naturally as documents.</w:t>
      </w:r>
    </w:p>
    <w:p>
      <w:pPr>
        <w:spacing w:after="80" w:before="160"/>
      </w:pPr>
      <w:r>
        <w:rPr>
          <w:b/>
          <w:bCs/>
          <w:color w:val="333333"/>
          <w:sz w:val="22"/>
          <w:szCs w:val="22"/>
        </w:rPr>
        <w:t xml:space="preserve">Why MongoDB, schemaless</w:t>
      </w:r>
    </w:p>
    <w:p>
      <w:pPr>
        <w:pStyle w:val="ListParagraph"/>
        <w:numPr>
          <w:ilvl w:val="0"/>
          <w:numId w:val="2"/>
        </w:numPr>
        <w:spacing w:after="40"/>
      </w:pPr>
      <w:r>
        <w:rPr>
          <w:sz w:val="22"/>
          <w:szCs w:val="22"/>
        </w:rPr>
        <w:t xml:space="preserve">Audit entries are write-heavy, append-only, and never updated — a document store with no relational joins fits better than a PostgreSQL table.</w:t>
      </w:r>
    </w:p>
    <w:p>
      <w:pPr>
        <w:pStyle w:val="ListParagraph"/>
        <w:numPr>
          <w:ilvl w:val="0"/>
          <w:numId w:val="2"/>
        </w:numPr>
        <w:spacing w:after="40"/>
      </w:pPr>
      <w:r>
        <w:rPr>
          <w:sz w:val="22"/>
          <w:szCs w:val="22"/>
        </w:rPr>
        <w:t xml:space="preserve">The payload shape varies per action; schemaless storage avoids the JSONB-in-every-row compromise and the per-action-table explosion noted in Phase 2.</w:t>
      </w:r>
    </w:p>
    <w:p>
      <w:pPr>
        <w:pStyle w:val="ListParagraph"/>
        <w:numPr>
          <w:ilvl w:val="0"/>
          <w:numId w:val="2"/>
        </w:numPr>
        <w:spacing w:after="40"/>
      </w:pPr>
      <w:r>
        <w:rPr>
          <w:sz w:val="22"/>
          <w:szCs w:val="22"/>
        </w:rPr>
        <w:t xml:space="preserve">Isolating audit means a flood of audit writes can never contend with core transactional load.</w:t>
      </w:r>
    </w:p>
    <w:p>
      <w:pPr>
        <w:pStyle w:val="Heading2"/>
        <w:spacing w:after="120" w:before="220"/>
      </w:pPr>
      <w:r>
        <w:rPr>
          <w:b/>
          <w:bCs/>
          <w:color w:val="C0392B"/>
          <w:sz w:val="24"/>
          <w:szCs w:val="24"/>
        </w:rPr>
        <w:t xml:space="preserve">Consequences — what is removed /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7C2CC" w:sz="1"/>
              <w:left w:val="single" w:color="B7C2CC" w:sz="1"/>
              <w:bottom w:val="single" w:color="B7C2CC" w:sz="1"/>
              <w:right w:val="single" w:color="B7C2CC" w:sz="1"/>
            </w:tcBorders>
            <w:shd w:fill="D5E8F0" w:val="clear"/>
            <w:tcMar>
              <w:top w:type="dxa" w:w="60"/>
              <w:left w:type="dxa" w:w="100"/>
              <w:bottom w:type="dxa" w:w="60"/>
              <w:right w:type="dxa" w:w="100"/>
            </w:tcMar>
            <w:vAlign w:val="center"/>
          </w:tcPr>
          <w:p>
            <w:r>
              <w:rPr>
                <w:b/>
                <w:bCs/>
                <w:sz w:val="19"/>
                <w:szCs w:val="19"/>
              </w:rPr>
              <w:t xml:space="preserve">Artifact</w:t>
            </w:r>
          </w:p>
        </w:tc>
        <w:tc>
          <w:tcPr>
            <w:tcW w:type="dxa" w:w="7160"/>
            <w:tcBorders>
              <w:top w:val="single" w:color="B7C2CC" w:sz="1"/>
              <w:left w:val="single" w:color="B7C2CC" w:sz="1"/>
              <w:bottom w:val="single" w:color="B7C2CC" w:sz="1"/>
              <w:right w:val="single" w:color="B7C2CC" w:sz="1"/>
            </w:tcBorders>
            <w:shd w:fill="D5E8F0" w:val="clear"/>
            <w:tcMar>
              <w:top w:type="dxa" w:w="60"/>
              <w:left w:type="dxa" w:w="100"/>
              <w:bottom w:type="dxa" w:w="60"/>
              <w:right w:type="dxa" w:w="100"/>
            </w:tcMar>
            <w:vAlign w:val="center"/>
          </w:tcPr>
          <w:p>
            <w:r>
              <w:rPr>
                <w:b/>
                <w:bCs/>
                <w:sz w:val="19"/>
                <w:szCs w:val="19"/>
              </w:rPr>
              <w:t xml:space="preserve">Change</w:t>
            </w:r>
          </w:p>
        </w:tc>
      </w:tr>
      <w:tr>
        <w:tc>
          <w:tcPr>
            <w:tcW w:type="dxa" w:w="22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DDL</w:t>
            </w:r>
          </w:p>
        </w:tc>
        <w:tc>
          <w:tcPr>
            <w:tcW w:type="dxa" w:w="716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Remove the entire core.audit_logs table, its 4 indexes, and its FK references to users/workspaces. (audit_logs no longer lives in PostgreSQL.)</w:t>
            </w:r>
          </w:p>
        </w:tc>
      </w:tr>
      <w:tr>
        <w:tc>
          <w:tcPr>
            <w:tcW w:type="dxa" w:w="22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DB Design Phase 1</w:t>
            </w:r>
          </w:p>
        </w:tc>
        <w:tc>
          <w:tcPr>
            <w:tcW w:type="dxa" w:w="716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Mission Objective 10 reworded: audit trail is owned by the Audit Service (MongoDB), populated via domain events.</w:t>
            </w:r>
          </w:p>
        </w:tc>
      </w:tr>
      <w:tr>
        <w:tc>
          <w:tcPr>
            <w:tcW w:type="dxa" w:w="22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DB Design Phase 3</w:t>
            </w:r>
          </w:p>
        </w:tc>
        <w:tc>
          <w:tcPr>
            <w:tcW w:type="dxa" w:w="716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AUDIT_LOGS dropped from the PostgreSQL Final Table List (now 15 PG tables, not 16). Add an 'audit' service row noting MongoDB ownership, analogous to the 'search'/Algolia row.</w:t>
            </w:r>
          </w:p>
        </w:tc>
      </w:tr>
      <w:tr>
        <w:tc>
          <w:tcPr>
            <w:tcW w:type="dxa" w:w="22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DB Design Phase 4</w:t>
            </w:r>
          </w:p>
        </w:tc>
        <w:tc>
          <w:tcPr>
            <w:tcW w:type="dxa" w:w="716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Remove USERS-&gt;AUDIT_LOGS and WORKSPACES-&gt;AUDIT_LOGS from the matrix, Official Relationships, and FK Placement (those two relationships are gone from PG; actor_user_id / workspace_id become logical references inside Mongo documents).</w:t>
            </w:r>
          </w:p>
        </w:tc>
      </w:tr>
      <w:tr>
        <w:tc>
          <w:tcPr>
            <w:tcW w:type="dxa" w:w="22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ERD (D2 + fcp-database.svg)</w:t>
            </w:r>
          </w:p>
        </w:tc>
        <w:tc>
          <w:tcPr>
            <w:tcW w:type="dxa" w:w="716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Remove the audit_logs table node and its two edges; regenerate the SVG. Table count caption 16 -&gt; 15.</w:t>
            </w:r>
          </w:p>
        </w:tc>
      </w:tr>
      <w:tr>
        <w:tc>
          <w:tcPr>
            <w:tcW w:type="dxa" w:w="22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Architecture diagram</w:t>
            </w:r>
          </w:p>
        </w:tc>
        <w:tc>
          <w:tcPr>
            <w:tcW w:type="dxa" w:w="716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Add an 'Audit Service' supporting-service box (consumes events) + a 'MongoDB' datastore box; add audit.* routing key.</w:t>
            </w:r>
          </w:p>
        </w:tc>
      </w:tr>
      <w:tr>
        <w:tc>
          <w:tcPr>
            <w:tcW w:type="dxa" w:w="22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Estimation</w:t>
            </w:r>
          </w:p>
        </w:tc>
        <w:tc>
          <w:tcPr>
            <w:tcW w:type="dxa" w:w="716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New 'Audit Service' section (~9h); MongoDB added to Docker compose &amp; target stack.</w:t>
            </w:r>
          </w:p>
        </w:tc>
      </w:tr>
    </w:tbl>
    <w:p>
      <w:pPr>
        <w:pStyle w:val="Heading2"/>
        <w:spacing w:after="120" w:before="220"/>
      </w:pPr>
      <w:r>
        <w:rPr>
          <w:b/>
          <w:bCs/>
          <w:color w:val="C0392B"/>
          <w:sz w:val="24"/>
          <w:szCs w:val="24"/>
        </w:rPr>
        <w:t xml:space="preserve">New audit document (illustrative, schemaless)</w:t>
      </w:r>
    </w:p>
    <w:p>
      <w:pPr>
        <w:shd w:fill="F4F6F8" w:val="clear"/>
        <w:spacing w:after="60"/>
      </w:pPr>
      <w:r>
        <w:rPr>
          <w:rFonts w:ascii="Consolas" w:cs="Consolas" w:eastAsia="Consolas" w:hAnsi="Consolas"/>
          <w:sz w:val="18"/>
          <w:szCs w:val="18"/>
        </w:rPr>
        <w:t xml:space="preserve">// collection: audit.events  (no enforced schema)</w:t>
      </w:r>
    </w:p>
    <w:p>
      <w:pPr>
        <w:shd w:fill="F4F6F8" w:val="clear"/>
        <w:spacing w:after="60"/>
      </w:pPr>
      <w:r>
        <w:rPr>
          <w:rFonts w:ascii="Consolas" w:cs="Consolas" w:eastAsia="Consolas" w:hAnsi="Consolas"/>
          <w:sz w:val="18"/>
          <w:szCs w:val="18"/>
        </w:rPr>
        <w:t xml:space="preserve">{ _id, occurredAt, actorUserId, workspaceId, action,</w:t>
      </w:r>
    </w:p>
    <w:p>
      <w:pPr>
        <w:shd w:fill="F4F6F8" w:val="clear"/>
        <w:spacing w:after="60"/>
      </w:pPr>
      <w:r>
        <w:rPr>
          <w:rFonts w:ascii="Consolas" w:cs="Consolas" w:eastAsia="Consolas" w:hAnsi="Consolas"/>
          <w:sz w:val="18"/>
          <w:szCs w:val="18"/>
        </w:rPr>
        <w:t xml:space="preserve">  entityType, entityId, before, after, metadata, eventId }</w:t>
      </w:r>
    </w:p>
    <w:p>
      <w:pPr>
        <w:spacing w:after="100"/>
      </w:pPr>
      <w:r>
        <w:rPr>
          <w:sz w:val="22"/>
          <w:szCs w:val="22"/>
        </w:rPr>
        <w:t xml:space="preserve">Note </w:t>
      </w:r>
      <w:r>
        <w:rPr>
          <w:rFonts w:ascii="Consolas" w:cs="Consolas" w:eastAsia="Consolas" w:hAnsi="Consolas"/>
          <w:sz w:val="20"/>
          <w:szCs w:val="20"/>
        </w:rPr>
        <w:t xml:space="preserve">_id</w:t>
      </w:r>
      <w:r>
        <w:rPr>
          <w:sz w:val="22"/>
          <w:szCs w:val="22"/>
        </w:rPr>
        <w:t xml:space="preserve"> is an app-generated UUID v7 (R3), not a Mongo ObjectId default. </w:t>
      </w:r>
      <w:r>
        <w:rPr>
          <w:rFonts w:ascii="Consolas" w:cs="Consolas" w:eastAsia="Consolas" w:hAnsi="Consolas"/>
          <w:sz w:val="20"/>
          <w:szCs w:val="20"/>
        </w:rPr>
        <w:t xml:space="preserve">eventId</w:t>
      </w:r>
      <w:r>
        <w:rPr>
          <w:sz w:val="22"/>
          <w:szCs w:val="22"/>
        </w:rPr>
        <w:t xml:space="preserve"> links back to </w:t>
      </w:r>
      <w:r>
        <w:rPr>
          <w:rFonts w:ascii="Consolas" w:cs="Consolas" w:eastAsia="Consolas" w:hAnsi="Consolas"/>
          <w:sz w:val="20"/>
          <w:szCs w:val="20"/>
        </w:rPr>
        <w:t xml:space="preserve">messaging.event_message_logs</w:t>
      </w:r>
      <w:r>
        <w:rPr>
          <w:sz w:val="22"/>
          <w:szCs w:val="22"/>
        </w:rPr>
        <w:t xml:space="preserve"> for idempotency (consume-once).</w:t>
      </w:r>
    </w:p>
    <w:p>
      <w:pPr>
        <w:pStyle w:val="Heading2"/>
        <w:spacing w:after="120" w:before="220"/>
      </w:pPr>
      <w:r>
        <w:rPr>
          <w:b/>
          <w:bCs/>
          <w:color w:val="C0392B"/>
          <w:sz w:val="24"/>
          <w:szCs w:val="24"/>
        </w:rPr>
        <w:t xml:space="preserve">API design — read-only audit endpoints (apps/api gateway)</w:t>
      </w:r>
    </w:p>
    <w:p>
      <w:pPr>
        <w:spacing w:after="100"/>
      </w:pPr>
      <w:r>
        <w:rPr>
          <w:sz w:val="22"/>
          <w:szCs w:val="22"/>
        </w:rPr>
        <w:t xml:space="preserve">Audit is a supporting service and is not called directly by clients; like Notifications, its trail is exposed read-only through </w:t>
      </w:r>
      <w:r>
        <w:rPr>
          <w:rFonts w:ascii="Consolas" w:cs="Consolas" w:eastAsia="Consolas" w:hAnsi="Consolas"/>
          <w:sz w:val="20"/>
          <w:szCs w:val="20"/>
        </w:rPr>
        <w:t xml:space="preserve">apps/api</w:t>
      </w:r>
      <w:r>
        <w:rPr>
          <w:sz w:val="22"/>
          <w:szCs w:val="22"/>
        </w:rPr>
        <w:t xml:space="preserve">. Two Owner-only endpoints are added to the API Design reference. Audit entries are append-only and immutable, so there are no create/update/delete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900"/>
        <w:gridCol w:w="4760"/>
      </w:tblGrid>
      <w:tr>
        <w:trPr>
          <w:tblHeader/>
        </w:trPr>
        <w:tc>
          <w:tcPr>
            <w:tcW w:type="dxa" w:w="3700"/>
            <w:tcBorders>
              <w:top w:val="single" w:color="B7C2CC" w:sz="1"/>
              <w:left w:val="single" w:color="B7C2CC" w:sz="1"/>
              <w:bottom w:val="single" w:color="B7C2CC" w:sz="1"/>
              <w:right w:val="single" w:color="B7C2CC" w:sz="1"/>
            </w:tcBorders>
            <w:shd w:fill="D5E8F0" w:val="clear"/>
            <w:tcMar>
              <w:top w:type="dxa" w:w="60"/>
              <w:left w:type="dxa" w:w="100"/>
              <w:bottom w:type="dxa" w:w="60"/>
              <w:right w:type="dxa" w:w="100"/>
            </w:tcMar>
            <w:vAlign w:val="center"/>
          </w:tcPr>
          <w:p>
            <w:r>
              <w:rPr>
                <w:b/>
                <w:bCs/>
                <w:sz w:val="19"/>
                <w:szCs w:val="19"/>
              </w:rPr>
              <w:t xml:space="preserve">Method &amp; path</w:t>
            </w:r>
          </w:p>
        </w:tc>
        <w:tc>
          <w:tcPr>
            <w:tcW w:type="dxa" w:w="900"/>
            <w:tcBorders>
              <w:top w:val="single" w:color="B7C2CC" w:sz="1"/>
              <w:left w:val="single" w:color="B7C2CC" w:sz="1"/>
              <w:bottom w:val="single" w:color="B7C2CC" w:sz="1"/>
              <w:right w:val="single" w:color="B7C2CC" w:sz="1"/>
            </w:tcBorders>
            <w:shd w:fill="D5E8F0" w:val="clear"/>
            <w:tcMar>
              <w:top w:type="dxa" w:w="60"/>
              <w:left w:type="dxa" w:w="100"/>
              <w:bottom w:type="dxa" w:w="60"/>
              <w:right w:type="dxa" w:w="100"/>
            </w:tcMar>
            <w:vAlign w:val="center"/>
          </w:tcPr>
          <w:p>
            <w:r>
              <w:rPr>
                <w:b/>
                <w:bCs/>
                <w:sz w:val="19"/>
                <w:szCs w:val="19"/>
              </w:rPr>
              <w:t xml:space="preserve">Role</w:t>
            </w:r>
          </w:p>
        </w:tc>
        <w:tc>
          <w:tcPr>
            <w:tcW w:type="dxa" w:w="4760"/>
            <w:tcBorders>
              <w:top w:val="single" w:color="B7C2CC" w:sz="1"/>
              <w:left w:val="single" w:color="B7C2CC" w:sz="1"/>
              <w:bottom w:val="single" w:color="B7C2CC" w:sz="1"/>
              <w:right w:val="single" w:color="B7C2CC" w:sz="1"/>
            </w:tcBorders>
            <w:shd w:fill="D5E8F0" w:val="clear"/>
            <w:tcMar>
              <w:top w:type="dxa" w:w="60"/>
              <w:left w:type="dxa" w:w="100"/>
              <w:bottom w:type="dxa" w:w="60"/>
              <w:right w:type="dxa" w:w="100"/>
            </w:tcMar>
            <w:vAlign w:val="center"/>
          </w:tcPr>
          <w:p>
            <w:r>
              <w:rPr>
                <w:b/>
                <w:bCs/>
                <w:sz w:val="19"/>
                <w:szCs w:val="19"/>
              </w:rPr>
              <w:t xml:space="preserve">Purpose</w:t>
            </w:r>
          </w:p>
        </w:tc>
      </w:tr>
      <w:tr>
        <w:tc>
          <w:tcPr>
            <w:tcW w:type="dxa" w:w="37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GET /api/v1/workspaces/:workspaceId/audit-logs</w:t>
            </w:r>
          </w:p>
        </w:tc>
        <w:tc>
          <w:tcPr>
            <w:tcW w:type="dxa" w:w="9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Owner</w:t>
            </w:r>
          </w:p>
        </w:tc>
        <w:tc>
          <w:tcPr>
            <w:tcW w:type="dxa" w:w="476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List the workspace audit trail (filters: entityType, action; cursor pagination). Read from MongoDB via the gateway.</w:t>
            </w:r>
          </w:p>
        </w:tc>
      </w:tr>
      <w:tr>
        <w:tc>
          <w:tcPr>
            <w:tcW w:type="dxa" w:w="37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GET /api/v1/workspaces/:workspaceId/audit-logs/:auditId</w:t>
            </w:r>
          </w:p>
        </w:tc>
        <w:tc>
          <w:tcPr>
            <w:tcW w:type="dxa" w:w="9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Owner</w:t>
            </w:r>
          </w:p>
        </w:tc>
        <w:tc>
          <w:tcPr>
            <w:tcW w:type="dxa" w:w="476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Fetch a single immutable audit document, workspace-scoped (404 if cross-workspace).</w:t>
            </w:r>
          </w:p>
        </w:tc>
      </w:tr>
    </w:tbl>
    <w:p>
      <w:pPr>
        <w:spacing w:after="100"/>
      </w:pPr>
      <w:r>
        <w:rPr>
          <w:sz w:val="22"/>
          <w:szCs w:val="22"/>
        </w:rPr>
        <w:t xml:space="preserve">The API Design introduction and Domain Event Catalog are updated to note that the Audit Service consumes </w:t>
      </w:r>
      <w:r>
        <w:rPr>
          <w:b/>
          <w:bCs/>
          <w:sz w:val="22"/>
          <w:szCs w:val="22"/>
        </w:rPr>
        <w:t xml:space="preserve">every</w:t>
      </w:r>
      <w:r>
        <w:rPr>
          <w:sz w:val="22"/>
          <w:szCs w:val="22"/>
        </w:rPr>
        <w:t xml:space="preserve"> event (all routing keys) and is omitted from the per-row Consumed-By column for brevity.</w:t>
      </w:r>
    </w:p>
    <w:p>
      <w:pPr>
        <w:pStyle w:val="Heading2"/>
        <w:spacing w:after="120" w:before="220"/>
      </w:pPr>
      <w:r>
        <w:rPr>
          <w:b/>
          <w:bCs/>
          <w:color w:val="C0392B"/>
          <w:sz w:val="24"/>
          <w:szCs w:val="24"/>
        </w:rPr>
        <w:t xml:space="preserve">Business-rule update</w:t>
      </w:r>
    </w:p>
    <w:p>
      <w:pPr>
        <w:spacing w:after="100"/>
      </w:pPr>
      <w:r>
        <w:rPr>
          <w:sz w:val="22"/>
          <w:szCs w:val="22"/>
        </w:rPr>
        <w:t xml:space="preserve">BR-R06 (cross-schema references) extends to cover audit: </w:t>
      </w:r>
      <w:r>
        <w:rPr>
          <w:rFonts w:ascii="Consolas" w:cs="Consolas" w:eastAsia="Consolas" w:hAnsi="Consolas"/>
          <w:sz w:val="20"/>
          <w:szCs w:val="20"/>
        </w:rPr>
        <w:t xml:space="preserve">actorUserId / workspaceId</w:t>
      </w:r>
      <w:r>
        <w:rPr>
          <w:sz w:val="22"/>
          <w:szCs w:val="22"/>
        </w:rPr>
        <w:t xml:space="preserve"> in Mongo are logical references to </w:t>
      </w:r>
      <w:r>
        <w:rPr>
          <w:rFonts w:ascii="Consolas" w:cs="Consolas" w:eastAsia="Consolas" w:hAnsi="Consolas"/>
          <w:sz w:val="20"/>
          <w:szCs w:val="20"/>
        </w:rPr>
        <w:t xml:space="preserve">core.users / core.workspaces</w:t>
      </w:r>
      <w:r>
        <w:rPr>
          <w:sz w:val="22"/>
          <w:szCs w:val="22"/>
        </w:rPr>
        <w:t xml:space="preserve"> with no constraint, reconciled via the originating event. The Phase 7 "Workspace traceability on audit logs" note moves to describe the Mongo document's </w:t>
      </w:r>
      <w:r>
        <w:rPr>
          <w:rFonts w:ascii="Consolas" w:cs="Consolas" w:eastAsia="Consolas" w:hAnsi="Consolas"/>
          <w:sz w:val="20"/>
          <w:szCs w:val="20"/>
        </w:rPr>
        <w:t xml:space="preserve">workspaceId</w:t>
      </w:r>
      <w:r>
        <w:rPr>
          <w:sz w:val="22"/>
          <w:szCs w:val="22"/>
        </w:rPr>
        <w:t xml:space="preserve"> field.</w:t>
      </w:r>
    </w:p>
    <w:p>
      <w:pPr>
        <w:spacing w:after="100"/>
      </w:pPr>
      <w:r>
        <w:rPr>
          <w:b/>
          <w:bCs/>
          <w:sz w:val="22"/>
          <w:szCs w:val="22"/>
        </w:rPr>
        <w:t xml:space="preserve">ADR-016 — Audit Service on MongoDB (schemaless, event-sourced)</w:t>
      </w:r>
      <w:r>
        <w:rPr>
          <w:sz w:val="22"/>
          <w:szCs w:val="22"/>
        </w:rPr>
        <w:t xml:space="preserve"> added.</w:t>
      </w:r>
    </w:p>
    <w:p>
      <w:pPr>
        <w:pageBreakBefore/>
      </w:pPr>
    </w:p>
    <w:p>
      <w:pPr>
        <w:pStyle w:val="Heading1"/>
        <w:spacing w:after="160" w:before="280"/>
      </w:pPr>
      <w:r>
        <w:rPr>
          <w:b/>
          <w:bCs/>
          <w:color w:val="1F6FC4"/>
          <w:sz w:val="30"/>
          <w:szCs w:val="30"/>
        </w:rPr>
        <w:t xml:space="preserve">R7 — BILLING/STRIPE STATE MACHINE + STATE DIAGRAM + FULL LOGS</w:t>
      </w:r>
    </w:p>
    <w:p>
      <w:pPr>
        <w:pStyle w:val="Heading2"/>
        <w:spacing w:after="120" w:before="220"/>
      </w:pPr>
      <w:r>
        <w:rPr>
          <w:b/>
          <w:bCs/>
          <w:color w:val="C0392B"/>
          <w:sz w:val="24"/>
          <w:szCs w:val="24"/>
        </w:rPr>
        <w:t xml:space="preserve">Decision</w:t>
      </w:r>
    </w:p>
    <w:p>
      <w:pPr>
        <w:spacing w:after="100"/>
      </w:pPr>
      <w:r>
        <w:rPr>
          <w:sz w:val="22"/>
          <w:szCs w:val="22"/>
        </w:rPr>
        <w:t xml:space="preserve">Formalise the Stripe-driven subscription lifecycle as an explicit, guarded </w:t>
      </w:r>
      <w:r>
        <w:rPr>
          <w:b/>
          <w:bCs/>
          <w:sz w:val="22"/>
          <w:szCs w:val="22"/>
        </w:rPr>
        <w:t xml:space="preserve">state machine</w:t>
      </w:r>
      <w:r>
        <w:rPr>
          <w:sz w:val="22"/>
          <w:szCs w:val="22"/>
        </w:rPr>
        <w:t xml:space="preserve"> (already foreshadowed by ADR-005 and BR-F05). Every transition is (a) </w:t>
      </w:r>
      <w:r>
        <w:rPr>
          <w:b/>
          <w:bCs/>
          <w:sz w:val="22"/>
          <w:szCs w:val="22"/>
        </w:rPr>
        <w:t xml:space="preserve">guarded</w:t>
      </w:r>
      <w:r>
        <w:rPr>
          <w:sz w:val="22"/>
          <w:szCs w:val="22"/>
        </w:rPr>
        <w:t xml:space="preserve"> — only declared transitions are allowed; illegal transitions are rejected with a typed Result.Err — and (b) </w:t>
      </w:r>
      <w:r>
        <w:rPr>
          <w:b/>
          <w:bCs/>
          <w:sz w:val="22"/>
          <w:szCs w:val="22"/>
        </w:rPr>
        <w:t xml:space="preserve">fully logged</w:t>
      </w:r>
      <w:r>
        <w:rPr>
          <w:sz w:val="22"/>
          <w:szCs w:val="22"/>
        </w:rPr>
        <w:t xml:space="preserve">: the triggering </w:t>
      </w:r>
      <w:r>
        <w:rPr>
          <w:rFonts w:ascii="Consolas" w:cs="Consolas" w:eastAsia="Consolas" w:hAnsi="Consolas"/>
          <w:sz w:val="20"/>
          <w:szCs w:val="20"/>
        </w:rPr>
        <w:t xml:space="preserve">billing_events</w:t>
      </w:r>
      <w:r>
        <w:rPr>
          <w:sz w:val="22"/>
          <w:szCs w:val="22"/>
        </w:rPr>
        <w:t xml:space="preserve"> row, the from/to state, the actor (Stripe webhook vs system job), and the timestamp. A dedicated </w:t>
      </w:r>
      <w:r>
        <w:rPr>
          <w:b/>
          <w:bCs/>
          <w:sz w:val="22"/>
          <w:szCs w:val="22"/>
        </w:rPr>
        <w:t xml:space="preserve">State Machine Diagram</w:t>
      </w:r>
      <w:r>
        <w:rPr>
          <w:sz w:val="22"/>
          <w:szCs w:val="22"/>
        </w:rPr>
        <w:t xml:space="preserve"> is added to the design set.</w:t>
      </w:r>
    </w:p>
    <w:p>
      <w:pPr>
        <w:pStyle w:val="Heading2"/>
        <w:spacing w:after="120" w:before="220"/>
      </w:pPr>
      <w:r>
        <w:rPr>
          <w:b/>
          <w:bCs/>
          <w:color w:val="C0392B"/>
          <w:sz w:val="24"/>
          <w:szCs w:val="24"/>
        </w:rPr>
        <w:t xml:space="preserve">States &amp;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1300"/>
        <w:gridCol w:w="3260"/>
      </w:tblGrid>
      <w:tr>
        <w:trPr>
          <w:tblHeader/>
        </w:trPr>
        <w:tc>
          <w:tcPr>
            <w:tcW w:type="dxa" w:w="1700"/>
            <w:tcBorders>
              <w:top w:val="single" w:color="B7C2CC" w:sz="1"/>
              <w:left w:val="single" w:color="B7C2CC" w:sz="1"/>
              <w:bottom w:val="single" w:color="B7C2CC" w:sz="1"/>
              <w:right w:val="single" w:color="B7C2CC" w:sz="1"/>
            </w:tcBorders>
            <w:shd w:fill="D5E8F0" w:val="clear"/>
            <w:tcMar>
              <w:top w:type="dxa" w:w="60"/>
              <w:left w:type="dxa" w:w="100"/>
              <w:bottom w:type="dxa" w:w="60"/>
              <w:right w:type="dxa" w:w="100"/>
            </w:tcMar>
            <w:vAlign w:val="center"/>
          </w:tcPr>
          <w:p>
            <w:r>
              <w:rPr>
                <w:b/>
                <w:bCs/>
                <w:sz w:val="19"/>
                <w:szCs w:val="19"/>
              </w:rPr>
              <w:t xml:space="preserve">From</w:t>
            </w:r>
          </w:p>
        </w:tc>
        <w:tc>
          <w:tcPr>
            <w:tcW w:type="dxa" w:w="3100"/>
            <w:tcBorders>
              <w:top w:val="single" w:color="B7C2CC" w:sz="1"/>
              <w:left w:val="single" w:color="B7C2CC" w:sz="1"/>
              <w:bottom w:val="single" w:color="B7C2CC" w:sz="1"/>
              <w:right w:val="single" w:color="B7C2CC" w:sz="1"/>
            </w:tcBorders>
            <w:shd w:fill="D5E8F0" w:val="clear"/>
            <w:tcMar>
              <w:top w:type="dxa" w:w="60"/>
              <w:left w:type="dxa" w:w="100"/>
              <w:bottom w:type="dxa" w:w="60"/>
              <w:right w:type="dxa" w:w="100"/>
            </w:tcMar>
            <w:vAlign w:val="center"/>
          </w:tcPr>
          <w:p>
            <w:r>
              <w:rPr>
                <w:b/>
                <w:bCs/>
                <w:sz w:val="19"/>
                <w:szCs w:val="19"/>
              </w:rPr>
              <w:t xml:space="preserve">Event / trigger</w:t>
            </w:r>
          </w:p>
        </w:tc>
        <w:tc>
          <w:tcPr>
            <w:tcW w:type="dxa" w:w="1300"/>
            <w:tcBorders>
              <w:top w:val="single" w:color="B7C2CC" w:sz="1"/>
              <w:left w:val="single" w:color="B7C2CC" w:sz="1"/>
              <w:bottom w:val="single" w:color="B7C2CC" w:sz="1"/>
              <w:right w:val="single" w:color="B7C2CC" w:sz="1"/>
            </w:tcBorders>
            <w:shd w:fill="D5E8F0" w:val="clear"/>
            <w:tcMar>
              <w:top w:type="dxa" w:w="60"/>
              <w:left w:type="dxa" w:w="100"/>
              <w:bottom w:type="dxa" w:w="60"/>
              <w:right w:type="dxa" w:w="100"/>
            </w:tcMar>
            <w:vAlign w:val="center"/>
          </w:tcPr>
          <w:p>
            <w:r>
              <w:rPr>
                <w:b/>
                <w:bCs/>
                <w:sz w:val="19"/>
                <w:szCs w:val="19"/>
              </w:rPr>
              <w:t xml:space="preserve">To</w:t>
            </w:r>
          </w:p>
        </w:tc>
        <w:tc>
          <w:tcPr>
            <w:tcW w:type="dxa" w:w="3260"/>
            <w:tcBorders>
              <w:top w:val="single" w:color="B7C2CC" w:sz="1"/>
              <w:left w:val="single" w:color="B7C2CC" w:sz="1"/>
              <w:bottom w:val="single" w:color="B7C2CC" w:sz="1"/>
              <w:right w:val="single" w:color="B7C2CC" w:sz="1"/>
            </w:tcBorders>
            <w:shd w:fill="D5E8F0" w:val="clear"/>
            <w:tcMar>
              <w:top w:type="dxa" w:w="60"/>
              <w:left w:type="dxa" w:w="100"/>
              <w:bottom w:type="dxa" w:w="60"/>
              <w:right w:type="dxa" w:w="100"/>
            </w:tcMar>
            <w:vAlign w:val="center"/>
          </w:tcPr>
          <w:p>
            <w:r>
              <w:rPr>
                <w:b/>
                <w:bCs/>
                <w:sz w:val="19"/>
                <w:szCs w:val="19"/>
              </w:rPr>
              <w:t xml:space="preserve">Guard / log</w:t>
            </w:r>
          </w:p>
        </w:tc>
      </w:tr>
      <w:tr>
        <w:tc>
          <w:tcPr>
            <w:tcW w:type="dxa" w:w="17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(none)</w:t>
            </w:r>
          </w:p>
        </w:tc>
        <w:tc>
          <w:tcPr>
            <w:tcW w:type="dxa" w:w="31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checkout.session.completed (paid plan) / signup (free)</w:t>
            </w:r>
          </w:p>
        </w:tc>
        <w:tc>
          <w:tcPr>
            <w:tcW w:type="dxa" w:w="13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trialing</w:t>
            </w:r>
          </w:p>
        </w:tc>
        <w:tc>
          <w:tcPr>
            <w:tcW w:type="dxa" w:w="326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create subscription; log billing_event</w:t>
            </w:r>
          </w:p>
        </w:tc>
      </w:tr>
      <w:tr>
        <w:tc>
          <w:tcPr>
            <w:tcW w:type="dxa" w:w="17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trialing</w:t>
            </w:r>
          </w:p>
        </w:tc>
        <w:tc>
          <w:tcPr>
            <w:tcW w:type="dxa" w:w="31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invoice.paid</w:t>
            </w:r>
          </w:p>
        </w:tc>
        <w:tc>
          <w:tcPr>
            <w:tcW w:type="dxa" w:w="13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active</w:t>
            </w:r>
          </w:p>
        </w:tc>
        <w:tc>
          <w:tcPr>
            <w:tcW w:type="dxa" w:w="326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set current_period_*; log</w:t>
            </w:r>
          </w:p>
        </w:tc>
      </w:tr>
      <w:tr>
        <w:tc>
          <w:tcPr>
            <w:tcW w:type="dxa" w:w="17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trialing</w:t>
            </w:r>
          </w:p>
        </w:tc>
        <w:tc>
          <w:tcPr>
            <w:tcW w:type="dxa" w:w="31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trial expired w/o payment</w:t>
            </w:r>
          </w:p>
        </w:tc>
        <w:tc>
          <w:tcPr>
            <w:tcW w:type="dxa" w:w="13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grace_period</w:t>
            </w:r>
          </w:p>
        </w:tc>
        <w:tc>
          <w:tcPr>
            <w:tcW w:type="dxa" w:w="326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set grace_period_end; log</w:t>
            </w:r>
          </w:p>
        </w:tc>
      </w:tr>
      <w:tr>
        <w:tc>
          <w:tcPr>
            <w:tcW w:type="dxa" w:w="17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active</w:t>
            </w:r>
          </w:p>
        </w:tc>
        <w:tc>
          <w:tcPr>
            <w:tcW w:type="dxa" w:w="31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invoice.payment_failed</w:t>
            </w:r>
          </w:p>
        </w:tc>
        <w:tc>
          <w:tcPr>
            <w:tcW w:type="dxa" w:w="13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grace_period</w:t>
            </w:r>
          </w:p>
        </w:tc>
        <w:tc>
          <w:tcPr>
            <w:tcW w:type="dxa" w:w="326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set grace_period_end (BR-F07); log + notify</w:t>
            </w:r>
          </w:p>
        </w:tc>
      </w:tr>
      <w:tr>
        <w:tc>
          <w:tcPr>
            <w:tcW w:type="dxa" w:w="17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grace_period</w:t>
            </w:r>
          </w:p>
        </w:tc>
        <w:tc>
          <w:tcPr>
            <w:tcW w:type="dxa" w:w="31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invoice.paid (recovered)</w:t>
            </w:r>
          </w:p>
        </w:tc>
        <w:tc>
          <w:tcPr>
            <w:tcW w:type="dxa" w:w="13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active</w:t>
            </w:r>
          </w:p>
        </w:tc>
        <w:tc>
          <w:tcPr>
            <w:tcW w:type="dxa" w:w="326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clear grace_period_end; log</w:t>
            </w:r>
          </w:p>
        </w:tc>
      </w:tr>
      <w:tr>
        <w:tc>
          <w:tcPr>
            <w:tcW w:type="dxa" w:w="17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grace_period</w:t>
            </w:r>
          </w:p>
        </w:tc>
        <w:tc>
          <w:tcPr>
            <w:tcW w:type="dxa" w:w="31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grace expired</w:t>
            </w:r>
          </w:p>
        </w:tc>
        <w:tc>
          <w:tcPr>
            <w:tcW w:type="dxa" w:w="13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cancelled</w:t>
            </w:r>
          </w:p>
        </w:tc>
        <w:tc>
          <w:tcPr>
            <w:tcW w:type="dxa" w:w="326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log + emit SubscriptionCancelled</w:t>
            </w:r>
          </w:p>
        </w:tc>
      </w:tr>
      <w:tr>
        <w:tc>
          <w:tcPr>
            <w:tcW w:type="dxa" w:w="17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active / grace_period</w:t>
            </w:r>
          </w:p>
        </w:tc>
        <w:tc>
          <w:tcPr>
            <w:tcW w:type="dxa" w:w="31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customer.subscription.deleted</w:t>
            </w:r>
          </w:p>
        </w:tc>
        <w:tc>
          <w:tcPr>
            <w:tcW w:type="dxa" w:w="13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cancelled</w:t>
            </w:r>
          </w:p>
        </w:tc>
        <w:tc>
          <w:tcPr>
            <w:tcW w:type="dxa" w:w="326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log + emit SubscriptionCancelled</w:t>
            </w:r>
          </w:p>
        </w:tc>
      </w:tr>
    </w:tbl>
    <w:p>
      <w:pPr>
        <w:spacing w:after="100"/>
      </w:pPr>
      <w:r>
        <w:rPr>
          <w:sz w:val="22"/>
          <w:szCs w:val="22"/>
        </w:rPr>
        <w:t xml:space="preserve">Free-plan guard (BR-F10) holds: a </w:t>
      </w:r>
      <w:r>
        <w:rPr>
          <w:rFonts w:ascii="Consolas" w:cs="Consolas" w:eastAsia="Consolas" w:hAnsi="Consolas"/>
          <w:sz w:val="20"/>
          <w:szCs w:val="20"/>
        </w:rPr>
        <w:t xml:space="preserve">free</w:t>
      </w:r>
      <w:r>
        <w:rPr>
          <w:sz w:val="22"/>
          <w:szCs w:val="22"/>
        </w:rPr>
        <w:t xml:space="preserve"> subscription can only be </w:t>
      </w:r>
      <w:r>
        <w:rPr>
          <w:rFonts w:ascii="Consolas" w:cs="Consolas" w:eastAsia="Consolas" w:hAnsi="Consolas"/>
          <w:sz w:val="20"/>
          <w:szCs w:val="20"/>
        </w:rPr>
        <w:t xml:space="preserve">trialing</w:t>
      </w:r>
      <w:r>
        <w:rPr>
          <w:sz w:val="22"/>
          <w:szCs w:val="22"/>
        </w:rPr>
        <w:t xml:space="preserve"> or </w:t>
      </w:r>
      <w:r>
        <w:rPr>
          <w:rFonts w:ascii="Consolas" w:cs="Consolas" w:eastAsia="Consolas" w:hAnsi="Consolas"/>
          <w:sz w:val="20"/>
          <w:szCs w:val="20"/>
        </w:rPr>
        <w:t xml:space="preserve">active</w:t>
      </w:r>
      <w:r>
        <w:rPr>
          <w:sz w:val="22"/>
          <w:szCs w:val="22"/>
        </w:rPr>
        <w:t xml:space="preserve"> — the </w:t>
      </w:r>
      <w:r>
        <w:rPr>
          <w:rFonts w:ascii="Consolas" w:cs="Consolas" w:eastAsia="Consolas" w:hAnsi="Consolas"/>
          <w:sz w:val="20"/>
          <w:szCs w:val="20"/>
        </w:rPr>
        <w:t xml:space="preserve">grace_period</w:t>
      </w:r>
      <w:r>
        <w:rPr>
          <w:sz w:val="22"/>
          <w:szCs w:val="22"/>
        </w:rPr>
        <w:t xml:space="preserve"> / </w:t>
      </w:r>
      <w:r>
        <w:rPr>
          <w:rFonts w:ascii="Consolas" w:cs="Consolas" w:eastAsia="Consolas" w:hAnsi="Consolas"/>
          <w:sz w:val="20"/>
          <w:szCs w:val="20"/>
        </w:rPr>
        <w:t xml:space="preserve">cancelled</w:t>
      </w:r>
      <w:r>
        <w:rPr>
          <w:sz w:val="22"/>
          <w:szCs w:val="22"/>
        </w:rPr>
        <w:t xml:space="preserve"> transitions are disabled for it.</w:t>
      </w:r>
    </w:p>
    <w:p>
      <w:pPr>
        <w:pStyle w:val="Heading2"/>
        <w:spacing w:after="120" w:before="220"/>
      </w:pPr>
      <w:r>
        <w:rPr>
          <w:b/>
          <w:bCs/>
          <w:color w:val="C0392B"/>
          <w:sz w:val="24"/>
          <w:szCs w:val="24"/>
        </w:rPr>
        <w:t xml:space="preserve">Affected artifacts &amp; exact edits</w:t>
      </w:r>
    </w:p>
    <w:p>
      <w:pPr>
        <w:pStyle w:val="ListParagraph"/>
        <w:numPr>
          <w:ilvl w:val="0"/>
          <w:numId w:val="2"/>
        </w:numPr>
        <w:spacing w:after="40"/>
      </w:pPr>
      <w:r>
        <w:rPr>
          <w:b/>
          <w:bCs/>
          <w:sz w:val="22"/>
          <w:szCs w:val="22"/>
        </w:rPr>
        <w:t xml:space="preserve">NEW diagram</w:t>
      </w:r>
      <w:r>
        <w:rPr>
          <w:sz w:val="22"/>
          <w:szCs w:val="22"/>
        </w:rPr>
        <w:t xml:space="preserve">: billing-state-machine.drawio (+ .svg) — provided in §Diagram Patches. The existing 4-box sketch in high-level-design.drawio is replaced by a full guarded diagram with transition labels and a transitions-log lane.</w:t>
      </w:r>
    </w:p>
    <w:p>
      <w:pPr>
        <w:pStyle w:val="ListParagraph"/>
        <w:numPr>
          <w:ilvl w:val="0"/>
          <w:numId w:val="2"/>
        </w:numPr>
        <w:spacing w:after="40"/>
      </w:pPr>
      <w:r>
        <w:rPr>
          <w:b/>
          <w:bCs/>
          <w:sz w:val="22"/>
          <w:szCs w:val="22"/>
        </w:rPr>
        <w:t xml:space="preserve">Proposal / Billing Service</w:t>
      </w:r>
      <w:r>
        <w:rPr>
          <w:sz w:val="22"/>
          <w:szCs w:val="22"/>
        </w:rPr>
        <w:t xml:space="preserve">: expand the bullet to "Billing state machine (guarded transitions, transition log via billing_events)."</w:t>
      </w:r>
    </w:p>
    <w:p>
      <w:pPr>
        <w:pStyle w:val="ListParagraph"/>
        <w:numPr>
          <w:ilvl w:val="0"/>
          <w:numId w:val="2"/>
        </w:numPr>
        <w:spacing w:after="40"/>
      </w:pPr>
      <w:r>
        <w:rPr>
          <w:b/>
          <w:bCs/>
          <w:sz w:val="22"/>
          <w:szCs w:val="22"/>
        </w:rPr>
        <w:t xml:space="preserve">DB Design Phase 5 / BR-F05</w:t>
      </w:r>
      <w:r>
        <w:rPr>
          <w:sz w:val="22"/>
          <w:szCs w:val="22"/>
        </w:rPr>
        <w:t xml:space="preserve">: add to Action Taken — "illegal transitions rejected (Result.Err); every transition writes a billing_events row capturing from/to/actor."</w:t>
      </w:r>
    </w:p>
    <w:p>
      <w:pPr>
        <w:pStyle w:val="ListParagraph"/>
        <w:numPr>
          <w:ilvl w:val="0"/>
          <w:numId w:val="2"/>
        </w:numPr>
        <w:spacing w:after="40"/>
      </w:pPr>
      <w:r>
        <w:rPr>
          <w:b/>
          <w:bCs/>
          <w:sz w:val="22"/>
          <w:szCs w:val="22"/>
        </w:rPr>
        <w:t xml:space="preserve">Estimation</w:t>
      </w:r>
      <w:r>
        <w:rPr>
          <w:sz w:val="22"/>
          <w:szCs w:val="22"/>
        </w:rPr>
        <w:t xml:space="preserve">: Billing 'Subscription state machine' task note updated to include the diagram + transition logging (still 4h, scope clarified).</w:t>
      </w:r>
    </w:p>
    <w:p>
      <w:pPr>
        <w:spacing w:after="100"/>
      </w:pPr>
      <w:r>
        <w:rPr>
          <w:sz w:val="22"/>
          <w:szCs w:val="22"/>
        </w:rPr>
        <w:t xml:space="preserve">Naming note: the DB uses </w:t>
      </w:r>
      <w:r>
        <w:rPr>
          <w:rFonts w:ascii="Consolas" w:cs="Consolas" w:eastAsia="Consolas" w:hAnsi="Consolas"/>
          <w:sz w:val="20"/>
          <w:szCs w:val="20"/>
        </w:rPr>
        <w:t xml:space="preserve">trialing/active/grace_period/cancelled</w:t>
      </w:r>
      <w:r>
        <w:rPr>
          <w:sz w:val="22"/>
          <w:szCs w:val="22"/>
        </w:rPr>
        <w:t xml:space="preserve">; the diagram's </w:t>
      </w:r>
      <w:r>
        <w:rPr>
          <w:rFonts w:ascii="Consolas" w:cs="Consolas" w:eastAsia="Consolas" w:hAnsi="Consolas"/>
          <w:sz w:val="20"/>
          <w:szCs w:val="20"/>
        </w:rPr>
        <w:t xml:space="preserve">PAST_DUE</w:t>
      </w:r>
      <w:r>
        <w:rPr>
          <w:sz w:val="22"/>
          <w:szCs w:val="22"/>
        </w:rPr>
        <w:t xml:space="preserve"> maps to </w:t>
      </w:r>
      <w:r>
        <w:rPr>
          <w:rFonts w:ascii="Consolas" w:cs="Consolas" w:eastAsia="Consolas" w:hAnsi="Consolas"/>
          <w:sz w:val="20"/>
          <w:szCs w:val="20"/>
        </w:rPr>
        <w:t xml:space="preserve">grace_period</w:t>
      </w:r>
      <w:r>
        <w:rPr>
          <w:sz w:val="22"/>
          <w:szCs w:val="22"/>
        </w:rPr>
        <w:t xml:space="preserve"> (already documented in BR-F05). Keep that mapping legend on the new diagram.</w:t>
      </w:r>
    </w:p>
    <w:p>
      <w:pPr>
        <w:spacing w:after="100"/>
      </w:pPr>
      <w:r>
        <w:rPr>
          <w:b/>
          <w:bCs/>
          <w:sz w:val="22"/>
          <w:szCs w:val="22"/>
        </w:rPr>
        <w:t xml:space="preserve">ADR-017 — Guarded Billing State Machine with Transition Log</w:t>
      </w:r>
      <w:r>
        <w:rPr>
          <w:sz w:val="22"/>
          <w:szCs w:val="22"/>
        </w:rPr>
        <w:t xml:space="preserve"> added (supersedes-extends ADR-005).</w:t>
      </w:r>
    </w:p>
    <w:p>
      <w:pPr>
        <w:pageBreakBefore/>
      </w:pPr>
    </w:p>
    <w:p>
      <w:pPr>
        <w:pStyle w:val="Heading1"/>
        <w:spacing w:after="160" w:before="280"/>
      </w:pPr>
      <w:r>
        <w:rPr>
          <w:b/>
          <w:bCs/>
          <w:color w:val="1F6FC4"/>
          <w:sz w:val="30"/>
          <w:szCs w:val="30"/>
        </w:rPr>
        <w:t xml:space="preserve">R8 — INDEX EVERY FOREIGN KEY (REAL + LOGICAL)</w:t>
      </w:r>
    </w:p>
    <w:p>
      <w:pPr>
        <w:pStyle w:val="Heading2"/>
        <w:spacing w:after="120" w:before="220"/>
      </w:pPr>
      <w:r>
        <w:rPr>
          <w:b/>
          <w:bCs/>
          <w:color w:val="C0392B"/>
          <w:sz w:val="24"/>
          <w:szCs w:val="24"/>
        </w:rPr>
        <w:t xml:space="preserve">Decision</w:t>
      </w:r>
    </w:p>
    <w:p>
      <w:pPr>
        <w:spacing w:after="100"/>
      </w:pPr>
      <w:r>
        <w:rPr>
          <w:sz w:val="22"/>
          <w:szCs w:val="22"/>
        </w:rPr>
        <w:t xml:space="preserve">Every foreign-key column — both real database FKs and cross-schema </w:t>
      </w:r>
      <w:r>
        <w:rPr>
          <w:b/>
          <w:bCs/>
          <w:sz w:val="22"/>
          <w:szCs w:val="22"/>
        </w:rPr>
        <w:t xml:space="preserve">logical</w:t>
      </w:r>
      <w:r>
        <w:rPr>
          <w:sz w:val="22"/>
          <w:szCs w:val="22"/>
        </w:rPr>
        <w:t xml:space="preserve"> FKs (the </w:t>
      </w:r>
      <w:r>
        <w:rPr>
          <w:rFonts w:ascii="Consolas" w:cs="Consolas" w:eastAsia="Consolas" w:hAnsi="Consolas"/>
          <w:sz w:val="20"/>
          <w:szCs w:val="20"/>
        </w:rPr>
        <w:t xml:space="preserve">Non*</w:t>
      </w:r>
      <w:r>
        <w:rPr>
          <w:sz w:val="22"/>
          <w:szCs w:val="22"/>
        </w:rPr>
        <w:t xml:space="preserve"> columns) — must carry a btree index. PostgreSQL does </w:t>
      </w:r>
      <w:r>
        <w:rPr>
          <w:b/>
          <w:bCs/>
          <w:sz w:val="22"/>
          <w:szCs w:val="22"/>
        </w:rPr>
        <w:t xml:space="preserve">not</w:t>
      </w:r>
      <w:r>
        <w:rPr>
          <w:sz w:val="22"/>
          <w:szCs w:val="22"/>
        </w:rPr>
        <w:t xml:space="preserve"> auto-create indexes on referencing columns, so this is explicit.</w:t>
      </w:r>
    </w:p>
    <w:p>
      <w:pPr>
        <w:pStyle w:val="Heading2"/>
        <w:spacing w:after="120" w:before="220"/>
      </w:pPr>
      <w:r>
        <w:rPr>
          <w:b/>
          <w:bCs/>
          <w:color w:val="C0392B"/>
          <w:sz w:val="24"/>
          <w:szCs w:val="24"/>
        </w:rPr>
        <w:t xml:space="preserve">Audit of current DDL</w:t>
      </w:r>
    </w:p>
    <w:p>
      <w:pPr>
        <w:spacing w:after="100"/>
      </w:pPr>
      <w:r>
        <w:rPr>
          <w:sz w:val="22"/>
          <w:szCs w:val="22"/>
        </w:rPr>
        <w:t xml:space="preserve">Good news: most FKs are already indexed. The gaps to close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000"/>
        <w:gridCol w:w="2360"/>
      </w:tblGrid>
      <w:tr>
        <w:trPr>
          <w:tblHeader/>
        </w:trPr>
        <w:tc>
          <w:tcPr>
            <w:tcW w:type="dxa" w:w="2400"/>
            <w:tcBorders>
              <w:top w:val="single" w:color="B7C2CC" w:sz="1"/>
              <w:left w:val="single" w:color="B7C2CC" w:sz="1"/>
              <w:bottom w:val="single" w:color="B7C2CC" w:sz="1"/>
              <w:right w:val="single" w:color="B7C2CC" w:sz="1"/>
            </w:tcBorders>
            <w:shd w:fill="D5E8F0" w:val="clear"/>
            <w:tcMar>
              <w:top w:type="dxa" w:w="60"/>
              <w:left w:type="dxa" w:w="100"/>
              <w:bottom w:type="dxa" w:w="60"/>
              <w:right w:type="dxa" w:w="100"/>
            </w:tcMar>
            <w:vAlign w:val="center"/>
          </w:tcPr>
          <w:p>
            <w:r>
              <w:rPr>
                <w:b/>
                <w:bCs/>
                <w:sz w:val="19"/>
                <w:szCs w:val="19"/>
              </w:rPr>
              <w:t xml:space="preserve">Column</w:t>
            </w:r>
          </w:p>
        </w:tc>
        <w:tc>
          <w:tcPr>
            <w:tcW w:type="dxa" w:w="2600"/>
            <w:tcBorders>
              <w:top w:val="single" w:color="B7C2CC" w:sz="1"/>
              <w:left w:val="single" w:color="B7C2CC" w:sz="1"/>
              <w:bottom w:val="single" w:color="B7C2CC" w:sz="1"/>
              <w:right w:val="single" w:color="B7C2CC" w:sz="1"/>
            </w:tcBorders>
            <w:shd w:fill="D5E8F0" w:val="clear"/>
            <w:tcMar>
              <w:top w:type="dxa" w:w="60"/>
              <w:left w:type="dxa" w:w="100"/>
              <w:bottom w:type="dxa" w:w="60"/>
              <w:right w:type="dxa" w:w="100"/>
            </w:tcMar>
            <w:vAlign w:val="center"/>
          </w:tcPr>
          <w:p>
            <w:r>
              <w:rPr>
                <w:b/>
                <w:bCs/>
                <w:sz w:val="19"/>
                <w:szCs w:val="19"/>
              </w:rPr>
              <w:t xml:space="preserve">Table</w:t>
            </w:r>
          </w:p>
        </w:tc>
        <w:tc>
          <w:tcPr>
            <w:tcW w:type="dxa" w:w="2000"/>
            <w:tcBorders>
              <w:top w:val="single" w:color="B7C2CC" w:sz="1"/>
              <w:left w:val="single" w:color="B7C2CC" w:sz="1"/>
              <w:bottom w:val="single" w:color="B7C2CC" w:sz="1"/>
              <w:right w:val="single" w:color="B7C2CC" w:sz="1"/>
            </w:tcBorders>
            <w:shd w:fill="D5E8F0" w:val="clear"/>
            <w:tcMar>
              <w:top w:type="dxa" w:w="60"/>
              <w:left w:type="dxa" w:w="100"/>
              <w:bottom w:type="dxa" w:w="60"/>
              <w:right w:type="dxa" w:w="100"/>
            </w:tcMar>
            <w:vAlign w:val="center"/>
          </w:tcPr>
          <w:p>
            <w:r>
              <w:rPr>
                <w:b/>
                <w:bCs/>
                <w:sz w:val="19"/>
                <w:szCs w:val="19"/>
              </w:rPr>
              <w:t xml:space="preserve">Status</w:t>
            </w:r>
          </w:p>
        </w:tc>
        <w:tc>
          <w:tcPr>
            <w:tcW w:type="dxa" w:w="2360"/>
            <w:tcBorders>
              <w:top w:val="single" w:color="B7C2CC" w:sz="1"/>
              <w:left w:val="single" w:color="B7C2CC" w:sz="1"/>
              <w:bottom w:val="single" w:color="B7C2CC" w:sz="1"/>
              <w:right w:val="single" w:color="B7C2CC" w:sz="1"/>
            </w:tcBorders>
            <w:shd w:fill="D5E8F0" w:val="clear"/>
            <w:tcMar>
              <w:top w:type="dxa" w:w="60"/>
              <w:left w:type="dxa" w:w="100"/>
              <w:bottom w:type="dxa" w:w="60"/>
              <w:right w:type="dxa" w:w="100"/>
            </w:tcMar>
            <w:vAlign w:val="center"/>
          </w:tcPr>
          <w:p>
            <w:r>
              <w:rPr>
                <w:b/>
                <w:bCs/>
                <w:sz w:val="19"/>
                <w:szCs w:val="19"/>
              </w:rPr>
              <w:t xml:space="preserve">Action</w:t>
            </w:r>
          </w:p>
        </w:tc>
      </w:tr>
      <w:tr>
        <w:tc>
          <w:tcPr>
            <w:tcW w:type="dxa" w:w="24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plan_id</w:t>
            </w:r>
          </w:p>
        </w:tc>
        <w:tc>
          <w:tcPr>
            <w:tcW w:type="dxa" w:w="26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billing.subscriptions</w:t>
            </w:r>
          </w:p>
        </w:tc>
        <w:tc>
          <w:tcPr>
            <w:tcW w:type="dxa" w:w="20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Indexed</w:t>
            </w:r>
          </w:p>
        </w:tc>
        <w:tc>
          <w:tcPr>
            <w:tcW w:type="dxa" w:w="236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OK</w:t>
            </w:r>
          </w:p>
        </w:tc>
      </w:tr>
      <w:tr>
        <w:tc>
          <w:tcPr>
            <w:tcW w:type="dxa" w:w="24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subscription_id</w:t>
            </w:r>
          </w:p>
        </w:tc>
        <w:tc>
          <w:tcPr>
            <w:tcW w:type="dxa" w:w="26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billing.billing_events</w:t>
            </w:r>
          </w:p>
        </w:tc>
        <w:tc>
          <w:tcPr>
            <w:tcW w:type="dxa" w:w="20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Indexed</w:t>
            </w:r>
          </w:p>
        </w:tc>
        <w:tc>
          <w:tcPr>
            <w:tcW w:type="dxa" w:w="236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OK</w:t>
            </w:r>
          </w:p>
        </w:tc>
      </w:tr>
      <w:tr>
        <w:tc>
          <w:tcPr>
            <w:tcW w:type="dxa" w:w="24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notification_id</w:t>
            </w:r>
          </w:p>
        </w:tc>
        <w:tc>
          <w:tcPr>
            <w:tcW w:type="dxa" w:w="26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notification.notification_recipients</w:t>
            </w:r>
          </w:p>
        </w:tc>
        <w:tc>
          <w:tcPr>
            <w:tcW w:type="dxa" w:w="20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MISSING</w:t>
            </w:r>
          </w:p>
        </w:tc>
        <w:tc>
          <w:tcPr>
            <w:tcW w:type="dxa" w:w="236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Add idx_notification_recipients_notification_id</w:t>
            </w:r>
          </w:p>
        </w:tc>
      </w:tr>
      <w:tr>
        <w:tc>
          <w:tcPr>
            <w:tcW w:type="dxa" w:w="24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event_id</w:t>
            </w:r>
          </w:p>
        </w:tc>
        <w:tc>
          <w:tcPr>
            <w:tcW w:type="dxa" w:w="26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messaging.dead_letter_messages</w:t>
            </w:r>
          </w:p>
        </w:tc>
        <w:tc>
          <w:tcPr>
            <w:tcW w:type="dxa" w:w="20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Covered by UNIQUE</w:t>
            </w:r>
          </w:p>
        </w:tc>
        <w:tc>
          <w:tcPr>
            <w:tcW w:type="dxa" w:w="236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OK (UNIQUE implies index)</w:t>
            </w:r>
          </w:p>
        </w:tc>
      </w:tr>
      <w:tr>
        <w:tc>
          <w:tcPr>
            <w:tcW w:type="dxa" w:w="24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workspace_id (logical)</w:t>
            </w:r>
          </w:p>
        </w:tc>
        <w:tc>
          <w:tcPr>
            <w:tcW w:type="dxa" w:w="26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billing.subscriptions</w:t>
            </w:r>
          </w:p>
        </w:tc>
        <w:tc>
          <w:tcPr>
            <w:tcW w:type="dxa" w:w="20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Covered by UNIQUE</w:t>
            </w:r>
          </w:p>
        </w:tc>
        <w:tc>
          <w:tcPr>
            <w:tcW w:type="dxa" w:w="236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OK</w:t>
            </w:r>
          </w:p>
        </w:tc>
      </w:tr>
      <w:tr>
        <w:tc>
          <w:tcPr>
            <w:tcW w:type="dxa" w:w="24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workspace_id / user_id (logical)</w:t>
            </w:r>
          </w:p>
        </w:tc>
        <w:tc>
          <w:tcPr>
            <w:tcW w:type="dxa" w:w="26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notification, email</w:t>
            </w:r>
          </w:p>
        </w:tc>
        <w:tc>
          <w:tcPr>
            <w:tcW w:type="dxa" w:w="20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Indexed</w:t>
            </w:r>
          </w:p>
        </w:tc>
        <w:tc>
          <w:tcPr>
            <w:tcW w:type="dxa" w:w="236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OK</w:t>
            </w:r>
          </w:p>
        </w:tc>
      </w:tr>
      <w:tr>
        <w:tc>
          <w:tcPr>
            <w:tcW w:type="dxa" w:w="24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post_id (logical)</w:t>
            </w:r>
          </w:p>
        </w:tc>
        <w:tc>
          <w:tcPr>
            <w:tcW w:type="dxa" w:w="26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analytics.post_metrics</w:t>
            </w:r>
          </w:p>
        </w:tc>
        <w:tc>
          <w:tcPr>
            <w:tcW w:type="dxa" w:w="20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Indexed</w:t>
            </w:r>
          </w:p>
        </w:tc>
        <w:tc>
          <w:tcPr>
            <w:tcW w:type="dxa" w:w="236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OK</w:t>
            </w:r>
          </w:p>
        </w:tc>
      </w:tr>
      <w:tr>
        <w:tc>
          <w:tcPr>
            <w:tcW w:type="dxa" w:w="24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audit_logs FKs</w:t>
            </w:r>
          </w:p>
        </w:tc>
        <w:tc>
          <w:tcPr>
            <w:tcW w:type="dxa" w:w="26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core.audit_logs</w:t>
            </w:r>
          </w:p>
        </w:tc>
        <w:tc>
          <w:tcPr>
            <w:tcW w:type="dxa" w:w="20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Removed by R6</w:t>
            </w:r>
          </w:p>
        </w:tc>
        <w:tc>
          <w:tcPr>
            <w:tcW w:type="dxa" w:w="236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n/a — table moved to Mongo</w:t>
            </w:r>
          </w:p>
        </w:tc>
      </w:tr>
    </w:tbl>
    <w:p>
      <w:pPr>
        <w:spacing w:after="80" w:before="160"/>
      </w:pPr>
      <w:r>
        <w:rPr>
          <w:b/>
          <w:bCs/>
          <w:color w:val="333333"/>
          <w:sz w:val="22"/>
          <w:szCs w:val="22"/>
        </w:rPr>
        <w:t xml:space="preserve">Exact DDL addition</w:t>
      </w:r>
    </w:p>
    <w:p>
      <w:pPr>
        <w:shd w:fill="F4F6F8" w:val="clear"/>
        <w:spacing w:after="60"/>
      </w:pPr>
      <w:r>
        <w:rPr>
          <w:rFonts w:ascii="Consolas" w:cs="Consolas" w:eastAsia="Consolas" w:hAnsi="Consolas"/>
          <w:sz w:val="18"/>
          <w:szCs w:val="18"/>
        </w:rPr>
        <w:t xml:space="preserve">CREATE INDEX idx_notification_recipients_notification_id</w:t>
      </w:r>
    </w:p>
    <w:p>
      <w:pPr>
        <w:shd w:fill="F4F6F8" w:val="clear"/>
        <w:spacing w:after="60"/>
      </w:pPr>
      <w:r>
        <w:rPr>
          <w:rFonts w:ascii="Consolas" w:cs="Consolas" w:eastAsia="Consolas" w:hAnsi="Consolas"/>
          <w:sz w:val="18"/>
          <w:szCs w:val="18"/>
        </w:rPr>
        <w:t xml:space="preserve">  ON notification.notification_recipients (notification_id);</w:t>
      </w:r>
    </w:p>
    <w:p>
      <w:pPr>
        <w:spacing w:after="100"/>
      </w:pPr>
      <w:r>
        <w:rPr>
          <w:sz w:val="22"/>
          <w:szCs w:val="22"/>
        </w:rPr>
        <w:t xml:space="preserve">Then add the audit line to Phase 4: "Every FK (real and logical) carries a btree index (R8); the only implicit ones are FK columns already covered by a UNIQUE constraint."</w:t>
      </w:r>
    </w:p>
    <w:p>
      <w:pPr>
        <w:spacing w:after="100"/>
      </w:pPr>
      <w:r>
        <w:rPr>
          <w:b/>
          <w:bCs/>
          <w:sz w:val="22"/>
          <w:szCs w:val="22"/>
        </w:rPr>
        <w:t xml:space="preserve">ADR-018 — Index All Foreign Keys</w:t>
      </w:r>
      <w:r>
        <w:rPr>
          <w:sz w:val="22"/>
          <w:szCs w:val="22"/>
        </w:rPr>
        <w:t xml:space="preserve"> added.</w:t>
      </w:r>
    </w:p>
    <w:p>
      <w:pPr>
        <w:pageBreakBefore/>
      </w:pPr>
    </w:p>
    <w:p>
      <w:pPr>
        <w:pStyle w:val="Heading1"/>
        <w:spacing w:after="160" w:before="280"/>
      </w:pPr>
      <w:r>
        <w:rPr>
          <w:b/>
          <w:bCs/>
          <w:color w:val="1F6FC4"/>
          <w:sz w:val="30"/>
          <w:szCs w:val="30"/>
        </w:rPr>
        <w:t xml:space="preserve">R9 — ARTILLERY: API TEST + LOAD TEST DESIGN</w:t>
      </w:r>
    </w:p>
    <w:p>
      <w:pPr>
        <w:pStyle w:val="Heading2"/>
        <w:spacing w:after="120" w:before="220"/>
      </w:pPr>
      <w:r>
        <w:rPr>
          <w:b/>
          <w:bCs/>
          <w:color w:val="C0392B"/>
          <w:sz w:val="24"/>
          <w:szCs w:val="24"/>
        </w:rPr>
        <w:t xml:space="preserve">Decision</w:t>
      </w:r>
    </w:p>
    <w:p>
      <w:pPr>
        <w:spacing w:after="100"/>
      </w:pPr>
      <w:r>
        <w:rPr>
          <w:sz w:val="22"/>
          <w:szCs w:val="22"/>
        </w:rPr>
        <w:t xml:space="preserve">Adopt </w:t>
      </w:r>
      <w:r>
        <w:rPr>
          <w:b/>
          <w:bCs/>
          <w:sz w:val="22"/>
          <w:szCs w:val="22"/>
        </w:rPr>
        <w:t xml:space="preserve">Artillery</w:t>
      </w:r>
      <w:r>
        <w:rPr>
          <w:sz w:val="22"/>
          <w:szCs w:val="22"/>
        </w:rPr>
        <w:t xml:space="preserve"> (artillery.io) for both functional API smoke tests and load tests, run in CI (smoke) and on demand (load). Targets derive directly from the Estimations &amp; Constraints capacity numbers, so the load test validates the very assumptions the design was sized against.</w:t>
      </w:r>
    </w:p>
    <w:p>
      <w:pPr>
        <w:pStyle w:val="Heading2"/>
        <w:spacing w:after="120" w:before="220"/>
      </w:pPr>
      <w:r>
        <w:rPr>
          <w:b/>
          <w:bCs/>
          <w:color w:val="C0392B"/>
          <w:sz w:val="24"/>
          <w:szCs w:val="24"/>
        </w:rPr>
        <w:t xml:space="preserve">Load-test targets (from System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700"/>
        <w:gridCol w:w="3760"/>
      </w:tblGrid>
      <w:tr>
        <w:trPr>
          <w:tblHeader/>
        </w:trPr>
        <w:tc>
          <w:tcPr>
            <w:tcW w:type="dxa" w:w="2900"/>
            <w:tcBorders>
              <w:top w:val="single" w:color="B7C2CC" w:sz="1"/>
              <w:left w:val="single" w:color="B7C2CC" w:sz="1"/>
              <w:bottom w:val="single" w:color="B7C2CC" w:sz="1"/>
              <w:right w:val="single" w:color="B7C2CC" w:sz="1"/>
            </w:tcBorders>
            <w:shd w:fill="D5E8F0" w:val="clear"/>
            <w:tcMar>
              <w:top w:type="dxa" w:w="60"/>
              <w:left w:type="dxa" w:w="100"/>
              <w:bottom w:type="dxa" w:w="60"/>
              <w:right w:type="dxa" w:w="100"/>
            </w:tcMar>
            <w:vAlign w:val="center"/>
          </w:tcPr>
          <w:p>
            <w:r>
              <w:rPr>
                <w:b/>
                <w:bCs/>
                <w:sz w:val="19"/>
                <w:szCs w:val="19"/>
              </w:rPr>
              <w:t xml:space="preserve">Scenario</w:t>
            </w:r>
          </w:p>
        </w:tc>
        <w:tc>
          <w:tcPr>
            <w:tcW w:type="dxa" w:w="2700"/>
            <w:tcBorders>
              <w:top w:val="single" w:color="B7C2CC" w:sz="1"/>
              <w:left w:val="single" w:color="B7C2CC" w:sz="1"/>
              <w:bottom w:val="single" w:color="B7C2CC" w:sz="1"/>
              <w:right w:val="single" w:color="B7C2CC" w:sz="1"/>
            </w:tcBorders>
            <w:shd w:fill="D5E8F0" w:val="clear"/>
            <w:tcMar>
              <w:top w:type="dxa" w:w="60"/>
              <w:left w:type="dxa" w:w="100"/>
              <w:bottom w:type="dxa" w:w="60"/>
              <w:right w:type="dxa" w:w="100"/>
            </w:tcMar>
            <w:vAlign w:val="center"/>
          </w:tcPr>
          <w:p>
            <w:r>
              <w:rPr>
                <w:b/>
                <w:bCs/>
                <w:sz w:val="19"/>
                <w:szCs w:val="19"/>
              </w:rPr>
              <w:t xml:space="preserve">Target</w:t>
            </w:r>
          </w:p>
        </w:tc>
        <w:tc>
          <w:tcPr>
            <w:tcW w:type="dxa" w:w="3760"/>
            <w:tcBorders>
              <w:top w:val="single" w:color="B7C2CC" w:sz="1"/>
              <w:left w:val="single" w:color="B7C2CC" w:sz="1"/>
              <w:bottom w:val="single" w:color="B7C2CC" w:sz="1"/>
              <w:right w:val="single" w:color="B7C2CC" w:sz="1"/>
            </w:tcBorders>
            <w:shd w:fill="D5E8F0" w:val="clear"/>
            <w:tcMar>
              <w:top w:type="dxa" w:w="60"/>
              <w:left w:type="dxa" w:w="100"/>
              <w:bottom w:type="dxa" w:w="60"/>
              <w:right w:type="dxa" w:w="100"/>
            </w:tcMar>
            <w:vAlign w:val="center"/>
          </w:tcPr>
          <w:p>
            <w:r>
              <w:rPr>
                <w:b/>
                <w:bCs/>
                <w:sz w:val="19"/>
                <w:szCs w:val="19"/>
              </w:rPr>
              <w:t xml:space="preserve">Pass criteria</w:t>
            </w:r>
          </w:p>
        </w:tc>
      </w:tr>
      <w:tr>
        <w:tc>
          <w:tcPr>
            <w:tcW w:type="dxa" w:w="29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Read-heavy dashboard mix</w:t>
            </w:r>
          </w:p>
        </w:tc>
        <w:tc>
          <w:tcPr>
            <w:tcW w:type="dxa" w:w="27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150 req/sec steady, burst 600</w:t>
            </w:r>
          </w:p>
        </w:tc>
        <w:tc>
          <w:tcPr>
            <w:tcW w:type="dxa" w:w="376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p99 &lt; 300ms (NFR)</w:t>
            </w:r>
          </w:p>
        </w:tc>
      </w:tr>
      <w:tr>
        <w:tc>
          <w:tcPr>
            <w:tcW w:type="dxa" w:w="29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Write path (post create/update)</w:t>
            </w:r>
          </w:p>
        </w:tc>
        <w:tc>
          <w:tcPr>
            <w:tcW w:type="dxa" w:w="27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~5 writes/sec, burst ~30</w:t>
            </w:r>
          </w:p>
        </w:tc>
        <w:tc>
          <w:tcPr>
            <w:tcW w:type="dxa" w:w="376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p99 &lt; 500ms (NFR)</w:t>
            </w:r>
          </w:p>
        </w:tc>
      </w:tr>
      <w:tr>
        <w:tc>
          <w:tcPr>
            <w:tcW w:type="dxa" w:w="29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Scheduled-publish window</w:t>
            </w:r>
          </w:p>
        </w:tc>
        <w:tc>
          <w:tcPr>
            <w:tcW w:type="dxa" w:w="27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burst publish + event fan-out</w:t>
            </w:r>
          </w:p>
        </w:tc>
        <w:tc>
          <w:tcPr>
            <w:tcW w:type="dxa" w:w="376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no DLQ growth; consumers keep up</w:t>
            </w:r>
          </w:p>
        </w:tc>
      </w:tr>
      <w:tr>
        <w:tc>
          <w:tcPr>
            <w:tcW w:type="dxa" w:w="29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Auth + RBAC guard</w:t>
            </w:r>
          </w:p>
        </w:tc>
        <w:tc>
          <w:tcPr>
            <w:tcW w:type="dxa" w:w="27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permission checks 20-50x write rate</w:t>
            </w:r>
          </w:p>
        </w:tc>
        <w:tc>
          <w:tcPr>
            <w:tcW w:type="dxa" w:w="376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cache-first p99 &lt; 300ms</w:t>
            </w:r>
          </w:p>
        </w:tc>
      </w:tr>
    </w:tbl>
    <w:p>
      <w:pPr>
        <w:pStyle w:val="Heading2"/>
        <w:spacing w:after="120" w:before="220"/>
      </w:pPr>
      <w:r>
        <w:rPr>
          <w:b/>
          <w:bCs/>
          <w:color w:val="C0392B"/>
          <w:sz w:val="24"/>
          <w:szCs w:val="24"/>
        </w:rPr>
        <w:t xml:space="preserve">Affected artifacts &amp; exact edits</w:t>
      </w:r>
    </w:p>
    <w:p>
      <w:pPr>
        <w:pStyle w:val="ListParagraph"/>
        <w:numPr>
          <w:ilvl w:val="0"/>
          <w:numId w:val="2"/>
        </w:numPr>
        <w:spacing w:after="40"/>
      </w:pPr>
      <w:r>
        <w:rPr>
          <w:b/>
          <w:bCs/>
          <w:sz w:val="22"/>
          <w:szCs w:val="22"/>
        </w:rPr>
        <w:t xml:space="preserve">Estimation — Target stack</w:t>
      </w:r>
      <w:r>
        <w:rPr>
          <w:sz w:val="22"/>
          <w:szCs w:val="22"/>
        </w:rPr>
        <w:t xml:space="preserve">: already lists "Artillery (design API testing, Load test)" — keep, and add Artillery scenario YAMLs to the repo under </w:t>
      </w:r>
      <w:r>
        <w:rPr>
          <w:rFonts w:ascii="Consolas" w:cs="Consolas" w:eastAsia="Consolas" w:hAnsi="Consolas"/>
          <w:sz w:val="20"/>
          <w:szCs w:val="20"/>
        </w:rPr>
        <w:t xml:space="preserve">test/load/</w:t>
      </w:r>
      <w:r>
        <w:rPr>
          <w:sz w:val="22"/>
          <w:szCs w:val="22"/>
        </w:rPr>
        <w:t xml:space="preserve">.</w:t>
      </w:r>
    </w:p>
    <w:p>
      <w:pPr>
        <w:pStyle w:val="ListParagraph"/>
        <w:numPr>
          <w:ilvl w:val="0"/>
          <w:numId w:val="2"/>
        </w:numPr>
        <w:spacing w:after="40"/>
      </w:pPr>
      <w:r>
        <w:rPr>
          <w:b/>
          <w:bCs/>
          <w:sz w:val="22"/>
          <w:szCs w:val="22"/>
        </w:rPr>
        <w:t xml:space="preserve">Estimation — Cross-Cutting: Testing</w:t>
      </w:r>
      <w:r>
        <w:rPr>
          <w:sz w:val="22"/>
          <w:szCs w:val="22"/>
        </w:rPr>
        <w:t xml:space="preserve">: replace the single 'API tests' line with two: "API tests (Artillery smoke + Supertest) — 4h" and "Load test design &amp; runs (Artillery) — 6h".</w:t>
      </w:r>
    </w:p>
    <w:p>
      <w:pPr>
        <w:pStyle w:val="ListParagraph"/>
        <w:numPr>
          <w:ilvl w:val="0"/>
          <w:numId w:val="2"/>
        </w:numPr>
        <w:spacing w:after="40"/>
      </w:pPr>
      <w:r>
        <w:rPr>
          <w:b/>
          <w:bCs/>
          <w:sz w:val="22"/>
          <w:szCs w:val="22"/>
        </w:rPr>
        <w:t xml:space="preserve">Estimations &amp; Constraints — Observability NFR</w:t>
      </w:r>
      <w:r>
        <w:rPr>
          <w:sz w:val="22"/>
          <w:szCs w:val="22"/>
        </w:rPr>
        <w:t xml:space="preserve">: add "Load/perf validated via Artillery against the stated throughput &amp; latency targets."</w:t>
      </w:r>
    </w:p>
    <w:p>
      <w:pPr>
        <w:pStyle w:val="Heading2"/>
        <w:spacing w:after="120" w:before="220"/>
      </w:pPr>
      <w:r>
        <w:rPr>
          <w:b/>
          <w:bCs/>
          <w:color w:val="C0392B"/>
          <w:sz w:val="24"/>
          <w:szCs w:val="24"/>
        </w:rPr>
        <w:t xml:space="preserve">Re-baselined estimation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rPr>
          <w:tblHeader/>
        </w:trPr>
        <w:tc>
          <w:tcPr>
            <w:tcW w:type="dxa" w:w="4200"/>
            <w:tcBorders>
              <w:top w:val="single" w:color="B7C2CC" w:sz="1"/>
              <w:left w:val="single" w:color="B7C2CC" w:sz="1"/>
              <w:bottom w:val="single" w:color="B7C2CC" w:sz="1"/>
              <w:right w:val="single" w:color="B7C2CC" w:sz="1"/>
            </w:tcBorders>
            <w:shd w:fill="D5E8F0" w:val="clear"/>
            <w:tcMar>
              <w:top w:type="dxa" w:w="60"/>
              <w:left w:type="dxa" w:w="100"/>
              <w:bottom w:type="dxa" w:w="60"/>
              <w:right w:type="dxa" w:w="100"/>
            </w:tcMar>
            <w:vAlign w:val="center"/>
          </w:tcPr>
          <w:p>
            <w:r>
              <w:rPr>
                <w:b/>
                <w:bCs/>
                <w:sz w:val="19"/>
                <w:szCs w:val="19"/>
              </w:rPr>
              <w:t xml:space="preserve">Area</w:t>
            </w:r>
          </w:p>
        </w:tc>
        <w:tc>
          <w:tcPr>
            <w:tcW w:type="dxa" w:w="2400"/>
            <w:tcBorders>
              <w:top w:val="single" w:color="B7C2CC" w:sz="1"/>
              <w:left w:val="single" w:color="B7C2CC" w:sz="1"/>
              <w:bottom w:val="single" w:color="B7C2CC" w:sz="1"/>
              <w:right w:val="single" w:color="B7C2CC" w:sz="1"/>
            </w:tcBorders>
            <w:shd w:fill="D5E8F0" w:val="clear"/>
            <w:tcMar>
              <w:top w:type="dxa" w:w="60"/>
              <w:left w:type="dxa" w:w="100"/>
              <w:bottom w:type="dxa" w:w="60"/>
              <w:right w:type="dxa" w:w="100"/>
            </w:tcMar>
            <w:vAlign w:val="center"/>
          </w:tcPr>
          <w:p>
            <w:r>
              <w:rPr>
                <w:b/>
                <w:bCs/>
                <w:sz w:val="19"/>
                <w:szCs w:val="19"/>
              </w:rPr>
              <w:t xml:space="preserve">Before</w:t>
            </w:r>
          </w:p>
        </w:tc>
        <w:tc>
          <w:tcPr>
            <w:tcW w:type="dxa" w:w="2760"/>
            <w:tcBorders>
              <w:top w:val="single" w:color="B7C2CC" w:sz="1"/>
              <w:left w:val="single" w:color="B7C2CC" w:sz="1"/>
              <w:bottom w:val="single" w:color="B7C2CC" w:sz="1"/>
              <w:right w:val="single" w:color="B7C2CC" w:sz="1"/>
            </w:tcBorders>
            <w:shd w:fill="D5E8F0" w:val="clear"/>
            <w:tcMar>
              <w:top w:type="dxa" w:w="60"/>
              <w:left w:type="dxa" w:w="100"/>
              <w:bottom w:type="dxa" w:w="60"/>
              <w:right w:type="dxa" w:w="100"/>
            </w:tcMar>
            <w:vAlign w:val="center"/>
          </w:tcPr>
          <w:p>
            <w:r>
              <w:rPr>
                <w:b/>
                <w:bCs/>
                <w:sz w:val="19"/>
                <w:szCs w:val="19"/>
              </w:rPr>
              <w:t xml:space="preserve">After (CR-01)</w:t>
            </w:r>
          </w:p>
        </w:tc>
      </w:tr>
      <w:tr>
        <w:tc>
          <w:tcPr>
            <w:tcW w:type="dxa" w:w="42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Foundation &amp; Infrastructure</w:t>
            </w:r>
          </w:p>
        </w:tc>
        <w:tc>
          <w:tcPr>
            <w:tcW w:type="dxa" w:w="24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12h</w:t>
            </w:r>
          </w:p>
        </w:tc>
        <w:tc>
          <w:tcPr>
            <w:tcW w:type="dxa" w:w="276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16h (+Result type, +MongoDB compose)</w:t>
            </w:r>
          </w:p>
        </w:tc>
      </w:tr>
      <w:tr>
        <w:tc>
          <w:tcPr>
            <w:tcW w:type="dxa" w:w="42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Persistence migration (MikroORM)</w:t>
            </w:r>
          </w:p>
        </w:tc>
        <w:tc>
          <w:tcPr>
            <w:tcW w:type="dxa" w:w="24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w:t>
            </w:r>
          </w:p>
        </w:tc>
        <w:tc>
          <w:tcPr>
            <w:tcW w:type="dxa" w:w="276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10h (new)</w:t>
            </w:r>
          </w:p>
        </w:tc>
      </w:tr>
      <w:tr>
        <w:tc>
          <w:tcPr>
            <w:tcW w:type="dxa" w:w="42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PII &amp; encryption</w:t>
            </w:r>
          </w:p>
        </w:tc>
        <w:tc>
          <w:tcPr>
            <w:tcW w:type="dxa" w:w="24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w:t>
            </w:r>
          </w:p>
        </w:tc>
        <w:tc>
          <w:tcPr>
            <w:tcW w:type="dxa" w:w="276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8h (new)</w:t>
            </w:r>
          </w:p>
        </w:tc>
      </w:tr>
      <w:tr>
        <w:tc>
          <w:tcPr>
            <w:tcW w:type="dxa" w:w="42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App-generated keys + soft delete + timestamps</w:t>
            </w:r>
          </w:p>
        </w:tc>
        <w:tc>
          <w:tcPr>
            <w:tcW w:type="dxa" w:w="24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w:t>
            </w:r>
          </w:p>
        </w:tc>
        <w:tc>
          <w:tcPr>
            <w:tcW w:type="dxa" w:w="276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11h (new, R3+R4)</w:t>
            </w:r>
          </w:p>
        </w:tc>
      </w:tr>
      <w:tr>
        <w:tc>
          <w:tcPr>
            <w:tcW w:type="dxa" w:w="42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Billing Service (+state machine/diagram/logs)</w:t>
            </w:r>
          </w:p>
        </w:tc>
        <w:tc>
          <w:tcPr>
            <w:tcW w:type="dxa" w:w="24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20h</w:t>
            </w:r>
          </w:p>
        </w:tc>
        <w:tc>
          <w:tcPr>
            <w:tcW w:type="dxa" w:w="276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24h</w:t>
            </w:r>
          </w:p>
        </w:tc>
      </w:tr>
      <w:tr>
        <w:tc>
          <w:tcPr>
            <w:tcW w:type="dxa" w:w="42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Audit Service (MongoDB)</w:t>
            </w:r>
          </w:p>
        </w:tc>
        <w:tc>
          <w:tcPr>
            <w:tcW w:type="dxa" w:w="24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w:t>
            </w:r>
          </w:p>
        </w:tc>
        <w:tc>
          <w:tcPr>
            <w:tcW w:type="dxa" w:w="276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9h (new, replaces audit_logs table work)</w:t>
            </w:r>
          </w:p>
        </w:tc>
      </w:tr>
      <w:tr>
        <w:tc>
          <w:tcPr>
            <w:tcW w:type="dxa" w:w="42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FK index pass</w:t>
            </w:r>
          </w:p>
        </w:tc>
        <w:tc>
          <w:tcPr>
            <w:tcW w:type="dxa" w:w="24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w:t>
            </w:r>
          </w:p>
        </w:tc>
        <w:tc>
          <w:tcPr>
            <w:tcW w:type="dxa" w:w="276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2h</w:t>
            </w:r>
          </w:p>
        </w:tc>
      </w:tr>
      <w:tr>
        <w:tc>
          <w:tcPr>
            <w:tcW w:type="dxa" w:w="42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Testing, Docs &amp; ADRs (+Artillery load)</w:t>
            </w:r>
          </w:p>
        </w:tc>
        <w:tc>
          <w:tcPr>
            <w:tcW w:type="dxa" w:w="24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20h</w:t>
            </w:r>
          </w:p>
        </w:tc>
        <w:tc>
          <w:tcPr>
            <w:tcW w:type="dxa" w:w="276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26h</w:t>
            </w:r>
          </w:p>
        </w:tc>
      </w:tr>
      <w:tr>
        <w:tc>
          <w:tcPr>
            <w:tcW w:type="dxa" w:w="42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All other areas (unchanged)</w:t>
            </w:r>
          </w:p>
        </w:tc>
        <w:tc>
          <w:tcPr>
            <w:tcW w:type="dxa" w:w="24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94h</w:t>
            </w:r>
          </w:p>
        </w:tc>
        <w:tc>
          <w:tcPr>
            <w:tcW w:type="dxa" w:w="276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94h</w:t>
            </w:r>
          </w:p>
        </w:tc>
      </w:tr>
      <w:tr>
        <w:tc>
          <w:tcPr>
            <w:tcW w:type="dxa" w:w="42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Total (gross)</w:t>
            </w:r>
          </w:p>
        </w:tc>
        <w:tc>
          <w:tcPr>
            <w:tcW w:type="dxa" w:w="24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166h</w:t>
            </w:r>
          </w:p>
        </w:tc>
        <w:tc>
          <w:tcPr>
            <w:tcW w:type="dxa" w:w="276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~222h</w:t>
            </w:r>
          </w:p>
        </w:tc>
      </w:tr>
    </w:tbl>
    <w:p>
      <w:pPr>
        <w:spacing w:after="100"/>
      </w:pPr>
      <w:r>
        <w:rPr>
          <w:sz w:val="22"/>
          <w:szCs w:val="22"/>
        </w:rPr>
        <w:t xml:space="preserve">Timeline extended from 20 to </w:t>
      </w:r>
      <w:r>
        <w:rPr>
          <w:b/>
          <w:bCs/>
          <w:sz w:val="22"/>
          <w:szCs w:val="22"/>
        </w:rPr>
        <w:t xml:space="preserve">~28 working days</w:t>
      </w:r>
      <w:r>
        <w:rPr>
          <w:sz w:val="22"/>
          <w:szCs w:val="22"/>
        </w:rPr>
        <w:t xml:space="preserve"> (≈5.5 weeks) at the same ~6h/day capacity. The Roadmap now adds </w:t>
      </w:r>
      <w:r>
        <w:rPr>
          <w:b/>
          <w:bCs/>
          <w:sz w:val="22"/>
          <w:szCs w:val="22"/>
        </w:rPr>
        <w:t xml:space="preserve">Week 5 — MikroORM, PII, Audit Service &amp; Load Testing (Days 21–28)</w:t>
      </w:r>
      <w:r>
        <w:rPr>
          <w:sz w:val="22"/>
          <w:szCs w:val="22"/>
        </w:rPr>
        <w:t xml:space="preserve">: MikroORM migration; app-generated keys + soft-delete timestamps; PII/AES-256-GCM; Result pattern; Audit Service (MongoDB) + read API; FK index pass; Artillery load tests; and a final buffer. Days 20 and 28 are explicit buffers; lower-priority polish flexes first if earlier days slip.</w:t>
      </w:r>
    </w:p>
    <w:p>
      <w:pPr>
        <w:pageBreakBefore/>
      </w:pPr>
    </w:p>
    <w:p>
      <w:pPr>
        <w:pStyle w:val="Heading1"/>
        <w:spacing w:after="160" w:before="280"/>
      </w:pPr>
      <w:r>
        <w:rPr>
          <w:b/>
          <w:bCs/>
          <w:color w:val="1F6FC4"/>
          <w:sz w:val="30"/>
          <w:szCs w:val="30"/>
        </w:rPr>
        <w:t xml:space="preserve">NEW ARCHITECTURE DECISION RECORDS (ADR-011 … ADR-018)</w:t>
      </w:r>
    </w:p>
    <w:p>
      <w:pPr>
        <w:spacing w:after="100"/>
      </w:pPr>
      <w:r>
        <w:rPr>
          <w:sz w:val="22"/>
          <w:szCs w:val="22"/>
        </w:rPr>
        <w:t xml:space="preserve">Append to the Proposal's ADR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00"/>
        <w:gridCol w:w="2460"/>
      </w:tblGrid>
      <w:tr>
        <w:trPr>
          <w:tblHeader/>
        </w:trPr>
        <w:tc>
          <w:tcPr>
            <w:tcW w:type="dxa" w:w="1100"/>
            <w:tcBorders>
              <w:top w:val="single" w:color="B7C2CC" w:sz="1"/>
              <w:left w:val="single" w:color="B7C2CC" w:sz="1"/>
              <w:bottom w:val="single" w:color="B7C2CC" w:sz="1"/>
              <w:right w:val="single" w:color="B7C2CC" w:sz="1"/>
            </w:tcBorders>
            <w:shd w:fill="D5E8F0" w:val="clear"/>
            <w:tcMar>
              <w:top w:type="dxa" w:w="60"/>
              <w:left w:type="dxa" w:w="100"/>
              <w:bottom w:type="dxa" w:w="60"/>
              <w:right w:type="dxa" w:w="100"/>
            </w:tcMar>
            <w:vAlign w:val="center"/>
          </w:tcPr>
          <w:p>
            <w:r>
              <w:rPr>
                <w:b/>
                <w:bCs/>
                <w:sz w:val="19"/>
                <w:szCs w:val="19"/>
              </w:rPr>
              <w:t xml:space="preserve">ADR</w:t>
            </w:r>
          </w:p>
        </w:tc>
        <w:tc>
          <w:tcPr>
            <w:tcW w:type="dxa" w:w="5800"/>
            <w:tcBorders>
              <w:top w:val="single" w:color="B7C2CC" w:sz="1"/>
              <w:left w:val="single" w:color="B7C2CC" w:sz="1"/>
              <w:bottom w:val="single" w:color="B7C2CC" w:sz="1"/>
              <w:right w:val="single" w:color="B7C2CC" w:sz="1"/>
            </w:tcBorders>
            <w:shd w:fill="D5E8F0" w:val="clear"/>
            <w:tcMar>
              <w:top w:type="dxa" w:w="60"/>
              <w:left w:type="dxa" w:w="100"/>
              <w:bottom w:type="dxa" w:w="60"/>
              <w:right w:type="dxa" w:w="100"/>
            </w:tcMar>
            <w:vAlign w:val="center"/>
          </w:tcPr>
          <w:p>
            <w:r>
              <w:rPr>
                <w:b/>
                <w:bCs/>
                <w:sz w:val="19"/>
                <w:szCs w:val="19"/>
              </w:rPr>
              <w:t xml:space="preserve">Title</w:t>
            </w:r>
          </w:p>
        </w:tc>
        <w:tc>
          <w:tcPr>
            <w:tcW w:type="dxa" w:w="2460"/>
            <w:tcBorders>
              <w:top w:val="single" w:color="B7C2CC" w:sz="1"/>
              <w:left w:val="single" w:color="B7C2CC" w:sz="1"/>
              <w:bottom w:val="single" w:color="B7C2CC" w:sz="1"/>
              <w:right w:val="single" w:color="B7C2CC" w:sz="1"/>
            </w:tcBorders>
            <w:shd w:fill="D5E8F0" w:val="clear"/>
            <w:tcMar>
              <w:top w:type="dxa" w:w="60"/>
              <w:left w:type="dxa" w:w="100"/>
              <w:bottom w:type="dxa" w:w="60"/>
              <w:right w:type="dxa" w:w="100"/>
            </w:tcMar>
            <w:vAlign w:val="center"/>
          </w:tcPr>
          <w:p>
            <w:r>
              <w:rPr>
                <w:b/>
                <w:bCs/>
                <w:sz w:val="19"/>
                <w:szCs w:val="19"/>
              </w:rPr>
              <w:t xml:space="preserve">Status</w:t>
            </w:r>
          </w:p>
        </w:tc>
      </w:tr>
      <w:tr>
        <w:tc>
          <w:tcPr>
            <w:tcW w:type="dxa" w:w="11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ADR-011</w:t>
            </w:r>
          </w:p>
        </w:tc>
        <w:tc>
          <w:tcPr>
            <w:tcW w:type="dxa" w:w="58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MikroORM (Unit of Work + Identity Map) over TypeORM</w:t>
            </w:r>
          </w:p>
        </w:tc>
        <w:tc>
          <w:tcPr>
            <w:tcW w:type="dxa" w:w="246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Accepted</w:t>
            </w:r>
          </w:p>
        </w:tc>
      </w:tr>
      <w:tr>
        <w:tc>
          <w:tcPr>
            <w:tcW w:type="dxa" w:w="11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ADR-012</w:t>
            </w:r>
          </w:p>
        </w:tc>
        <w:tc>
          <w:tcPr>
            <w:tcW w:type="dxa" w:w="58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PII Encryption at Rest (AES-256-GCM) + log/event redaction</w:t>
            </w:r>
          </w:p>
        </w:tc>
        <w:tc>
          <w:tcPr>
            <w:tcW w:type="dxa" w:w="246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Accepted</w:t>
            </w:r>
          </w:p>
        </w:tc>
      </w:tr>
      <w:tr>
        <w:tc>
          <w:tcPr>
            <w:tcW w:type="dxa" w:w="11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ADR-013</w:t>
            </w:r>
          </w:p>
        </w:tc>
        <w:tc>
          <w:tcPr>
            <w:tcW w:type="dxa" w:w="58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Application-Generated UUID v7 Keys for separate services</w:t>
            </w:r>
          </w:p>
        </w:tc>
        <w:tc>
          <w:tcPr>
            <w:tcW w:type="dxa" w:w="246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Accepted</w:t>
            </w:r>
          </w:p>
        </w:tc>
      </w:tr>
      <w:tr>
        <w:tc>
          <w:tcPr>
            <w:tcW w:type="dxa" w:w="11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ADR-014</w:t>
            </w:r>
          </w:p>
        </w:tc>
        <w:tc>
          <w:tcPr>
            <w:tcW w:type="dxa" w:w="58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Soft Delete + full created/updated/deleted timestamp triplet</w:t>
            </w:r>
          </w:p>
        </w:tc>
        <w:tc>
          <w:tcPr>
            <w:tcW w:type="dxa" w:w="246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Accepted</w:t>
            </w:r>
          </w:p>
        </w:tc>
      </w:tr>
      <w:tr>
        <w:tc>
          <w:tcPr>
            <w:tcW w:type="dxa" w:w="11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ADR-015</w:t>
            </w:r>
          </w:p>
        </w:tc>
        <w:tc>
          <w:tcPr>
            <w:tcW w:type="dxa" w:w="58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Result Pattern for domain-level error handling</w:t>
            </w:r>
          </w:p>
        </w:tc>
        <w:tc>
          <w:tcPr>
            <w:tcW w:type="dxa" w:w="246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Accepted</w:t>
            </w:r>
          </w:p>
        </w:tc>
      </w:tr>
      <w:tr>
        <w:tc>
          <w:tcPr>
            <w:tcW w:type="dxa" w:w="11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ADR-016</w:t>
            </w:r>
          </w:p>
        </w:tc>
        <w:tc>
          <w:tcPr>
            <w:tcW w:type="dxa" w:w="58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Audit Service on MongoDB (schemaless, event-sourced)</w:t>
            </w:r>
          </w:p>
        </w:tc>
        <w:tc>
          <w:tcPr>
            <w:tcW w:type="dxa" w:w="246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Accepted</w:t>
            </w:r>
          </w:p>
        </w:tc>
      </w:tr>
      <w:tr>
        <w:tc>
          <w:tcPr>
            <w:tcW w:type="dxa" w:w="11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ADR-017</w:t>
            </w:r>
          </w:p>
        </w:tc>
        <w:tc>
          <w:tcPr>
            <w:tcW w:type="dxa" w:w="58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Guarded Billing State Machine with transition log</w:t>
            </w:r>
          </w:p>
        </w:tc>
        <w:tc>
          <w:tcPr>
            <w:tcW w:type="dxa" w:w="246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Accepted (extends ADR-005)</w:t>
            </w:r>
          </w:p>
        </w:tc>
      </w:tr>
      <w:tr>
        <w:tc>
          <w:tcPr>
            <w:tcW w:type="dxa" w:w="11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ADR-018</w:t>
            </w:r>
          </w:p>
        </w:tc>
        <w:tc>
          <w:tcPr>
            <w:tcW w:type="dxa" w:w="58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Index all foreign keys (real + logical)</w:t>
            </w:r>
          </w:p>
        </w:tc>
        <w:tc>
          <w:tcPr>
            <w:tcW w:type="dxa" w:w="246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Accepted</w:t>
            </w:r>
          </w:p>
        </w:tc>
      </w:tr>
    </w:tbl>
    <w:p>
      <w:pPr>
        <w:pStyle w:val="Heading1"/>
        <w:spacing w:after="160" w:before="280"/>
      </w:pPr>
      <w:r>
        <w:rPr>
          <w:b/>
          <w:bCs/>
          <w:color w:val="1F6FC4"/>
          <w:sz w:val="30"/>
          <w:szCs w:val="30"/>
        </w:rPr>
        <w:t xml:space="preserve">DIAGRAM PATCHES (DELIVERED ALONGSIDE THIS DOC)</w:t>
      </w:r>
    </w:p>
    <w:p>
      <w:pPr>
        <w:pStyle w:val="ListParagraph"/>
        <w:numPr>
          <w:ilvl w:val="0"/>
          <w:numId w:val="2"/>
        </w:numPr>
        <w:spacing w:after="40"/>
      </w:pPr>
      <w:r>
        <w:rPr>
          <w:b/>
          <w:bCs/>
          <w:sz w:val="22"/>
          <w:szCs w:val="22"/>
        </w:rPr>
        <w:t xml:space="preserve">billing-state-machine.drawio / .svg</w:t>
      </w:r>
      <w:r>
        <w:rPr>
          <w:sz w:val="22"/>
          <w:szCs w:val="22"/>
        </w:rPr>
        <w:t xml:space="preserve"> — new guarded Stripe subscription state machine (R7).</w:t>
      </w:r>
    </w:p>
    <w:p>
      <w:pPr>
        <w:pStyle w:val="ListParagraph"/>
        <w:numPr>
          <w:ilvl w:val="0"/>
          <w:numId w:val="2"/>
        </w:numPr>
        <w:spacing w:after="40"/>
      </w:pPr>
      <w:r>
        <w:rPr>
          <w:b/>
          <w:bCs/>
          <w:sz w:val="22"/>
          <w:szCs w:val="22"/>
        </w:rPr>
        <w:t xml:space="preserve">architecture.drawio</w:t>
      </w:r>
      <w:r>
        <w:rPr>
          <w:sz w:val="22"/>
          <w:szCs w:val="22"/>
        </w:rPr>
        <w:t xml:space="preserve"> — add Audit Service box + MongoDB datastore + audit.* routing key (R6); relabel ORM as MikroORM (R1).</w:t>
      </w:r>
    </w:p>
    <w:p>
      <w:pPr>
        <w:pStyle w:val="ListParagraph"/>
        <w:numPr>
          <w:ilvl w:val="0"/>
          <w:numId w:val="2"/>
        </w:numPr>
        <w:spacing w:after="40"/>
      </w:pPr>
      <w:r>
        <w:rPr>
          <w:b/>
          <w:bCs/>
          <w:sz w:val="22"/>
          <w:szCs w:val="22"/>
        </w:rPr>
        <w:t xml:space="preserve">high-level-design.drawio</w:t>
      </w:r>
      <w:r>
        <w:rPr>
          <w:sz w:val="22"/>
          <w:szCs w:val="22"/>
        </w:rPr>
        <w:t xml:space="preserve"> — Repository node "MikroORM (UoW)"; Application Service "returns Result&lt;T,E&gt;"; replace the 4-box billing sketch with a reference to the new state-machine diagram.</w:t>
      </w:r>
    </w:p>
    <w:p>
      <w:pPr>
        <w:pStyle w:val="ListParagraph"/>
        <w:numPr>
          <w:ilvl w:val="0"/>
          <w:numId w:val="2"/>
        </w:numPr>
        <w:spacing w:after="40"/>
      </w:pPr>
      <w:r>
        <w:rPr>
          <w:b/>
          <w:bCs/>
          <w:sz w:val="22"/>
          <w:szCs w:val="22"/>
        </w:rPr>
        <w:t xml:space="preserve">fcp-database.d2 / .svg</w:t>
      </w:r>
      <w:r>
        <w:rPr>
          <w:sz w:val="22"/>
          <w:szCs w:val="22"/>
        </w:rPr>
        <w:t xml:space="preserve"> — remove audit_logs node + edges (R6); add updated_at/deleted_at rows (R4); caption "15 tables".</w:t>
      </w:r>
    </w:p>
    <w:p>
      <w:pPr>
        <w:pStyle w:val="ListParagraph"/>
        <w:numPr>
          <w:ilvl w:val="0"/>
          <w:numId w:val="2"/>
        </w:numPr>
        <w:spacing w:after="40"/>
      </w:pPr>
      <w:r>
        <w:rPr>
          <w:b/>
          <w:bCs/>
          <w:sz w:val="22"/>
          <w:szCs w:val="22"/>
        </w:rPr>
        <w:t xml:space="preserve">fcp-ddl.sql</w:t>
      </w:r>
      <w:r>
        <w:rPr>
          <w:sz w:val="22"/>
          <w:szCs w:val="22"/>
        </w:rPr>
        <w:t xml:space="preserve"> — applied delta file (R2/R3/R4/R6/R8) provided as fcp-ddl-CR01.sql.</w:t>
      </w:r>
    </w:p>
    <w:p>
      <w:pPr>
        <w:spacing w:before="240"/>
      </w:pPr>
      <w:r>
        <w:rPr>
          <w:b/>
          <w:bCs/>
          <w:color w:val="C0392B"/>
          <w:sz w:val="24"/>
          <w:szCs w:val="24"/>
        </w:rPr>
        <w:t xml:space="preserve">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6660"/>
      </w:tblGrid>
      <w:tr>
        <w:trPr>
          <w:tblHeader/>
        </w:trPr>
        <w:tc>
          <w:tcPr>
            <w:tcW w:type="dxa" w:w="1200"/>
            <w:tcBorders>
              <w:top w:val="single" w:color="B7C2CC" w:sz="1"/>
              <w:left w:val="single" w:color="B7C2CC" w:sz="1"/>
              <w:bottom w:val="single" w:color="B7C2CC" w:sz="1"/>
              <w:right w:val="single" w:color="B7C2CC" w:sz="1"/>
            </w:tcBorders>
            <w:shd w:fill="D5E8F0" w:val="clear"/>
            <w:tcMar>
              <w:top w:type="dxa" w:w="60"/>
              <w:left w:type="dxa" w:w="100"/>
              <w:bottom w:type="dxa" w:w="60"/>
              <w:right w:type="dxa" w:w="100"/>
            </w:tcMar>
            <w:vAlign w:val="center"/>
          </w:tcPr>
          <w:p>
            <w:r>
              <w:rPr>
                <w:b/>
                <w:bCs/>
                <w:sz w:val="19"/>
                <w:szCs w:val="19"/>
              </w:rPr>
              <w:t xml:space="preserve">Version</w:t>
            </w:r>
          </w:p>
        </w:tc>
        <w:tc>
          <w:tcPr>
            <w:tcW w:type="dxa" w:w="1500"/>
            <w:tcBorders>
              <w:top w:val="single" w:color="B7C2CC" w:sz="1"/>
              <w:left w:val="single" w:color="B7C2CC" w:sz="1"/>
              <w:bottom w:val="single" w:color="B7C2CC" w:sz="1"/>
              <w:right w:val="single" w:color="B7C2CC" w:sz="1"/>
            </w:tcBorders>
            <w:shd w:fill="D5E8F0" w:val="clear"/>
            <w:tcMar>
              <w:top w:type="dxa" w:w="60"/>
              <w:left w:type="dxa" w:w="100"/>
              <w:bottom w:type="dxa" w:w="60"/>
              <w:right w:type="dxa" w:w="100"/>
            </w:tcMar>
            <w:vAlign w:val="center"/>
          </w:tcPr>
          <w:p>
            <w:r>
              <w:rPr>
                <w:b/>
                <w:bCs/>
                <w:sz w:val="19"/>
                <w:szCs w:val="19"/>
              </w:rPr>
              <w:t xml:space="preserve">Date</w:t>
            </w:r>
          </w:p>
        </w:tc>
        <w:tc>
          <w:tcPr>
            <w:tcW w:type="dxa" w:w="6660"/>
            <w:tcBorders>
              <w:top w:val="single" w:color="B7C2CC" w:sz="1"/>
              <w:left w:val="single" w:color="B7C2CC" w:sz="1"/>
              <w:bottom w:val="single" w:color="B7C2CC" w:sz="1"/>
              <w:right w:val="single" w:color="B7C2CC" w:sz="1"/>
            </w:tcBorders>
            <w:shd w:fill="D5E8F0" w:val="clear"/>
            <w:tcMar>
              <w:top w:type="dxa" w:w="60"/>
              <w:left w:type="dxa" w:w="100"/>
              <w:bottom w:type="dxa" w:w="60"/>
              <w:right w:type="dxa" w:w="100"/>
            </w:tcMar>
            <w:vAlign w:val="center"/>
          </w:tcPr>
          <w:p>
            <w:r>
              <w:rPr>
                <w:b/>
                <w:bCs/>
                <w:sz w:val="19"/>
                <w:szCs w:val="19"/>
              </w:rPr>
              <w:t xml:space="preserve">Notes</w:t>
            </w:r>
          </w:p>
        </w:tc>
      </w:tr>
      <w:tr>
        <w:tc>
          <w:tcPr>
            <w:tcW w:type="dxa" w:w="12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CR-01</w:t>
            </w:r>
          </w:p>
        </w:tc>
        <w:tc>
          <w:tcPr>
            <w:tcW w:type="dxa" w:w="150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2026-06-29</w:t>
            </w:r>
          </w:p>
        </w:tc>
        <w:tc>
          <w:tcPr>
            <w:tcW w:type="dxa" w:w="6660"/>
            <w:tcBorders>
              <w:top w:val="single" w:color="B7C2CC" w:sz="1"/>
              <w:left w:val="single" w:color="B7C2CC" w:sz="1"/>
              <w:bottom w:val="single" w:color="B7C2CC" w:sz="1"/>
              <w:right w:val="single" w:color="B7C2CC" w:sz="1"/>
            </w:tcBorders>
            <w:tcMar>
              <w:top w:type="dxa" w:w="60"/>
              <w:left w:type="dxa" w:w="100"/>
              <w:bottom w:type="dxa" w:w="60"/>
              <w:right w:type="dxa" w:w="100"/>
            </w:tcMar>
            <w:vAlign w:val="center"/>
          </w:tcPr>
          <w:p>
            <w:r>
              <w:rPr>
                <w:sz w:val="19"/>
                <w:szCs w:val="19"/>
              </w:rPr>
              <w:t xml:space="preserve">Eight supporter requirements: MikroORM, PII encryption, app-generated keys, soft-delete timestamps, Result pattern, MongoDB audit service, billing state machine + diagram, FK indexing, Artillery load testing.</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Facebook Creator Platform — NestJS Microservices Edition  |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FC4" w:sz="6" w:space="4"/>
      </w:pBdr>
      <w:jc w:val="right"/>
    </w:pPr>
    <w:r>
      <w:rPr>
        <w:b/>
        <w:bCs/>
        <w:color w:val="1F6FC4"/>
        <w:sz w:val="18"/>
        <w:szCs w:val="18"/>
      </w:rPr>
      <w:t xml:space="preserve">www.agilityio.com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6FC4"/>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C039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2026-06-29T15:48:57.409Z</dcterms:created>
  <dcterms:modified xsi:type="dcterms:W3CDTF">2026-06-29T15:48:57.419Z</dcterms:modified>
</cp:coreProperties>
</file>

<file path=docProps/custom.xml><?xml version="1.0" encoding="utf-8"?>
<Properties xmlns="http://schemas.openxmlformats.org/officeDocument/2006/custom-properties" xmlns:vt="http://schemas.openxmlformats.org/officeDocument/2006/docPropsVTypes"/>
</file>