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Patch-Content Fungibility: Geometry, Functional Transmission, and Operator-Aware Token Compression</w:t>
      </w:r>
    </w:p>
    <w:p>
      <w:pPr>
        <w:spacing w:after="100" w:line="259" w:lineRule="auto"/>
      </w:pPr>
      <w:r>
        <w:rPr>
          <w:rFonts w:ascii="Times New Roman" w:hAnsi="Times New Roman"/>
          <w:i w:val="0"/>
          <w:color w:val="202A32"/>
          <w:sz w:val="20"/>
        </w:rPr>
        <w:t>Anonymous Authors</w:t>
      </w:r>
    </w:p>
    <w:p>
      <w:pPr>
        <w:spacing w:after="100" w:line="259" w:lineRule="auto"/>
      </w:pPr>
      <w:r>
        <w:rPr>
          <w:rFonts w:ascii="Times New Roman" w:hAnsi="Times New Roman"/>
          <w:i w:val="0"/>
          <w:color w:val="202A32"/>
          <w:sz w:val="20"/>
        </w:rPr>
        <w:t>Under review</w:t>
      </w:r>
    </w:p>
    <w:p>
      <w:pPr>
        <w:pStyle w:val="Heading1"/>
        <w:keepNext/>
      </w:pPr>
      <w:r>
        <w:rPr>
          <w:rFonts w:ascii="Times New Roman" w:hAnsi="Times New Roman"/>
          <w:b/>
          <w:color w:val="000000"/>
          <w:sz w:val="28"/>
        </w:rPr>
        <w:t>Abstract</w:t>
      </w:r>
    </w:p>
    <w:p>
      <w:pPr>
        <w:spacing w:after="100" w:line="259" w:lineRule="auto"/>
      </w:pPr>
      <w:r>
        <w:rPr>
          <w:rFonts w:ascii="Times New Roman" w:hAnsi="Times New Roman"/>
          <w:i w:val="0"/>
          <w:color w:val="202A32"/>
          <w:sz w:val="20"/>
        </w:rP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We use an end-to-end downstream Jacobian to define a compression objective and evaluate it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A separate classifier-carrier study shows that gains in linearized operator space do not reliably improve nonlinear classification or establish a general deployment frontier. The evidence supports a bounded vision-transformer-specific causal chain from fixed-slot patch-content replacement through geometry and coherent functional transmission to downstream compression, with limited translation to practical carrier corrections.</w:t>
      </w:r>
    </w:p>
    <w:p>
      <w:pPr>
        <w:pStyle w:val="Heading1"/>
        <w:keepNext/>
      </w:pPr>
      <w:r>
        <w:rPr>
          <w:rFonts w:ascii="Times New Roman" w:hAnsi="Times New Roman"/>
          <w:b/>
          <w:color w:val="000000"/>
          <w:sz w:val="28"/>
        </w:rPr>
        <w:t>1. Introduction</w:t>
      </w:r>
    </w:p>
    <w:p>
      <w:pPr>
        <w:spacing w:after="100" w:line="259" w:lineRule="auto"/>
      </w:pPr>
      <w:r>
        <w:rPr>
          <w:rFonts w:ascii="Times New Roman" w:hAnsi="Times New Roman"/>
          <w:i w:val="0"/>
          <w:color w:val="202A32"/>
          <w:sz w:val="20"/>
        </w:rPr>
        <w:t xml:space="preserve">Transformers use self-attention to mix token representations </w:t>
      </w:r>
      <w:r>
        <w:rPr>
          <w:rFonts w:ascii="Times New Roman" w:hAnsi="Times New Roman"/>
          <w:color w:val="202A32"/>
          <w:sz w:val="20"/>
        </w:rPr>
        <w:t>[1]</w:t>
      </w:r>
      <w:r>
        <w:rPr>
          <w:rFonts w:ascii="Times New Roman" w:hAnsi="Times New Roman"/>
          <w:i w:val="0"/>
          <w:color w:val="202A32"/>
          <w:sz w:val="20"/>
        </w:rPr>
        <w:t xml:space="preserve">, while vision transformers (ViTs) represent an image as a sequence of patch embeddings </w:t>
      </w:r>
      <w:r>
        <w:rPr>
          <w:rFonts w:ascii="Times New Roman" w:hAnsi="Times New Roman"/>
          <w:color w:val="202A32"/>
          <w:sz w:val="20"/>
        </w:rPr>
        <w:t>[2]</w:t>
      </w:r>
      <w:r>
        <w:rPr>
          <w:rFonts w:ascii="Times New Roman" w:hAnsi="Times New Roman"/>
          <w:i w:val="0"/>
          <w:color w:val="202A32"/>
          <w:sz w:val="20"/>
        </w:rPr>
        <w:t xml:space="preserve">. Published ViT families include data-efficient supervised training </w:t>
      </w:r>
      <w:r>
        <w:rPr>
          <w:rFonts w:ascii="Times New Roman" w:hAnsi="Times New Roman"/>
          <w:color w:val="202A32"/>
          <w:sz w:val="20"/>
        </w:rPr>
        <w:t>[3]</w:t>
      </w:r>
      <w:r>
        <w:rPr>
          <w:rFonts w:ascii="Times New Roman" w:hAnsi="Times New Roman"/>
          <w:i w:val="0"/>
          <w:color w:val="202A32"/>
          <w:sz w:val="20"/>
        </w:rPr>
        <w:t xml:space="preserve">, self-supervised representations </w:t>
      </w:r>
      <w:r>
        <w:rPr>
          <w:rFonts w:ascii="Times New Roman" w:hAnsi="Times New Roman"/>
          <w:color w:val="202A32"/>
          <w:sz w:val="20"/>
        </w:rPr>
        <w:t>[4], [5]</w:t>
      </w:r>
      <w:r>
        <w:rPr>
          <w:rFonts w:ascii="Times New Roman" w:hAnsi="Times New Roman"/>
          <w:i w:val="0"/>
          <w:color w:val="202A32"/>
          <w:sz w:val="20"/>
        </w:rPr>
        <w:t xml:space="preserve">, hierarchical attention </w:t>
      </w:r>
      <w:r>
        <w:rPr>
          <w:rFonts w:ascii="Times New Roman" w:hAnsi="Times New Roman"/>
          <w:color w:val="202A32"/>
          <w:sz w:val="20"/>
        </w:rPr>
        <w:t>[6]</w:t>
      </w:r>
      <w:r>
        <w:rPr>
          <w:rFonts w:ascii="Times New Roman" w:hAnsi="Times New Roman"/>
          <w:i w:val="0"/>
          <w:color w:val="202A32"/>
          <w:sz w:val="20"/>
        </w:rPr>
        <w:t xml:space="preserve">, masked pretraining </w:t>
      </w:r>
      <w:r>
        <w:rPr>
          <w:rFonts w:ascii="Times New Roman" w:hAnsi="Times New Roman"/>
          <w:color w:val="202A32"/>
          <w:sz w:val="20"/>
        </w:rPr>
        <w:t>[7]</w:t>
      </w:r>
      <w:r>
        <w:rPr>
          <w:rFonts w:ascii="Times New Roman" w:hAnsi="Times New Roman"/>
          <w:i w:val="0"/>
          <w:color w:val="202A32"/>
          <w:sz w:val="20"/>
        </w:rPr>
        <w:t xml:space="preserve">, scaling </w:t>
      </w:r>
      <w:r>
        <w:rPr>
          <w:rFonts w:ascii="Times New Roman" w:hAnsi="Times New Roman"/>
          <w:color w:val="202A32"/>
          <w:sz w:val="20"/>
        </w:rPr>
        <w:t>[8]</w:t>
      </w:r>
      <w:r>
        <w:rPr>
          <w:rFonts w:ascii="Times New Roman" w:hAnsi="Times New Roman"/>
          <w:i w:val="0"/>
          <w:color w:val="202A32"/>
          <w:sz w:val="20"/>
        </w:rPr>
        <w:t xml:space="preserve">, training regularization </w:t>
      </w:r>
      <w:r>
        <w:rPr>
          <w:rFonts w:ascii="Times New Roman" w:hAnsi="Times New Roman"/>
          <w:color w:val="202A32"/>
          <w:sz w:val="20"/>
        </w:rPr>
        <w:t>[9]</w:t>
      </w:r>
      <w:r>
        <w:rPr>
          <w:rFonts w:ascii="Times New Roman" w:hAnsi="Times New Roman"/>
          <w:i w:val="0"/>
          <w:color w:val="202A32"/>
          <w:sz w:val="20"/>
        </w:rPr>
        <w:t xml:space="preserve">, and register tokens </w:t>
      </w:r>
      <w:r>
        <w:rPr>
          <w:rFonts w:ascii="Times New Roman" w:hAnsi="Times New Roman"/>
          <w:color w:val="202A32"/>
          <w:sz w:val="20"/>
        </w:rPr>
        <w:t>[10]</w:t>
      </w:r>
      <w:r>
        <w:rPr>
          <w:rFonts w:ascii="Times New Roman" w:hAnsi="Times New Roman"/>
          <w:i w:val="0"/>
          <w:color w:val="202A32"/>
          <w:sz w:val="20"/>
        </w:rPr>
        <w:t>. Token-reduction methods lower computation by changing which tokens are processed or how they are combined. We ask a different question: when does the remaining network require the image-specific content carried by a late patch slot?</w:t>
      </w:r>
    </w:p>
    <w:p>
      <w:pPr>
        <w:spacing w:after="100" w:line="259" w:lineRule="auto"/>
      </w:pPr>
      <w:r>
        <w:rPr>
          <w:rFonts w:ascii="Times New Roman" w:hAnsi="Times New Roman"/>
          <w:i w:val="0"/>
          <w:color w:val="202A32"/>
          <w:sz w:val="20"/>
        </w:rP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fixed-slot intervention, geometric and diversity constraints, and selective transmission through anisotropic sensitivity and Value-path cancellation.</w:t>
      </w:r>
    </w:p>
    <w:p>
      <w:pPr>
        <w:keepNext/>
        <w:keepLines/>
        <w:spacing w:after="20"/>
        <w:jc w:val="center"/>
      </w:pPr>
      <w:r>
        <w:drawing>
          <wp:inline xmlns:a="http://schemas.openxmlformats.org/drawingml/2006/main" xmlns:pic="http://schemas.openxmlformats.org/drawingml/2006/picture">
            <wp:extent cx="6172200" cy="3537155"/>
            <wp:docPr id="1" name="Picture 1"/>
            <wp:cNvGraphicFramePr>
              <a:graphicFrameLocks noChangeAspect="1"/>
            </wp:cNvGraphicFramePr>
            <a:graphic>
              <a:graphicData uri="http://schemas.openxmlformats.org/drawingml/2006/picture">
                <pic:pic>
                  <pic:nvPicPr>
                    <pic:cNvPr id="0" name="figure1_overview.png"/>
                    <pic:cNvPicPr/>
                  </pic:nvPicPr>
                  <pic:blipFill>
                    <a:blip r:embed="rId9"/>
                    <a:stretch>
                      <a:fillRect/>
                    </a:stretch>
                  </pic:blipFill>
                  <pic:spPr>
                    <a:xfrm>
                      <a:off x="0" y="0"/>
                      <a:ext cx="6172200" cy="3537155"/>
                    </a:xfrm>
                    <a:prstGeom prst="rect"/>
                  </pic:spPr>
                </pic:pic>
              </a:graphicData>
            </a:graphic>
          </wp:inline>
        </w:drawing>
      </w:r>
    </w:p>
    <w:p>
      <w:pPr>
        <w:keepLines/>
        <w:spacing w:after="80"/>
        <w:jc w:val="center"/>
      </w:pPr>
      <w:r>
        <w:rPr>
          <w:rFonts w:ascii="Times New Roman" w:hAnsi="Times New Roman"/>
          <w:i/>
          <w:color w:val="4C5963"/>
          <w:sz w:val="17"/>
        </w:rPr>
        <w:t>Fig. 1. Fixed-slot late-layer patch-content substitution (a), geometric and diversity constraints (b), and anisotropic sensitivity with Value-path cancellation (c).</w:t>
      </w:r>
    </w:p>
    <w:p>
      <w:pPr>
        <w:spacing w:after="100" w:line="259" w:lineRule="auto"/>
      </w:pPr>
      <w:r>
        <w:rPr>
          <w:rFonts w:ascii="Times New Roman" w:hAnsi="Times New Roman"/>
          <w:i w:val="0"/>
          <w:color w:val="202A32"/>
          <w:sz w:val="20"/>
        </w:rPr>
        <w:t>The contribution is the connected ViT-specific causal chain: fixed-slot patch-content substitution, geometric and diversity constraints, Value-mediated coherence and cancellation, downstream-persistent functional transmission, and operator-aware token compression. The analytical tools and efficiency mechanisms involved—Jacobians, singular-value decompositions, anisotropy analysis, token redundancy, pruning, merging, low-rank operators, and output-aware compression—are established; the contribution lies in their connection through this ViT-specific causal chain. The predictor and practical-carrier branch remains secondary: operator-space improvement is observed, but translation to nonlinear classification and deployment is limited in the measured settings.</w:t>
      </w:r>
    </w:p>
    <w:p>
      <w:pPr>
        <w:pStyle w:val="Heading1"/>
        <w:keepNext/>
      </w:pPr>
      <w:r>
        <w:rPr>
          <w:rFonts w:ascii="Times New Roman" w:hAnsi="Times New Roman"/>
          <w:b/>
          <w:color w:val="000000"/>
          <w:sz w:val="28"/>
        </w:rPr>
        <w:t>2. Related Work</w:t>
      </w:r>
    </w:p>
    <w:p>
      <w:pPr>
        <w:spacing w:after="100" w:line="259" w:lineRule="auto"/>
      </w:pPr>
      <w:r>
        <w:rPr>
          <w:rFonts w:ascii="Times New Roman" w:hAnsi="Times New Roman"/>
          <w:i w:val="0"/>
          <w:color w:val="202A32"/>
          <w:sz w:val="20"/>
        </w:rPr>
        <w:t xml:space="preserve">Token-reduction methods change the sequence or the computation applied to it. DynamicViT and Expediting Vision Transformers via Token Reorganizations (EViT) score or reorganize tokens </w:t>
      </w:r>
      <w:r>
        <w:rPr>
          <w:rFonts w:ascii="Times New Roman" w:hAnsi="Times New Roman"/>
          <w:color w:val="202A32"/>
          <w:sz w:val="20"/>
        </w:rPr>
        <w:t>[11], [12]</w:t>
      </w:r>
      <w:r>
        <w:rPr>
          <w:rFonts w:ascii="Times New Roman" w:hAnsi="Times New Roman"/>
          <w:i w:val="0"/>
          <w:color w:val="202A32"/>
          <w:sz w:val="20"/>
        </w:rPr>
        <w:t xml:space="preserve">; Token Merging (ToMe) combines similar tokens </w:t>
      </w:r>
      <w:r>
        <w:rPr>
          <w:rFonts w:ascii="Times New Roman" w:hAnsi="Times New Roman"/>
          <w:color w:val="202A32"/>
          <w:sz w:val="20"/>
        </w:rPr>
        <w:t>[13]</w:t>
      </w:r>
      <w:r>
        <w:rPr>
          <w:rFonts w:ascii="Times New Roman" w:hAnsi="Times New Roman"/>
          <w:i w:val="0"/>
          <w:color w:val="202A32"/>
          <w:sz w:val="20"/>
        </w:rPr>
        <w:t xml:space="preserve">; A-ViT (Adaptive Tokens for Efficient Vision Transformer) and AdaViT (Adaptive Vision Transformers for Efficient Image Recognition) use adaptive token computation </w:t>
      </w:r>
      <w:r>
        <w:rPr>
          <w:rFonts w:ascii="Times New Roman" w:hAnsi="Times New Roman"/>
          <w:color w:val="202A32"/>
          <w:sz w:val="20"/>
        </w:rPr>
        <w:t>[14], [15]</w:t>
      </w:r>
      <w:r>
        <w:rPr>
          <w:rFonts w:ascii="Times New Roman" w:hAnsi="Times New Roman"/>
          <w:i w:val="0"/>
          <w:color w:val="202A32"/>
          <w:sz w:val="20"/>
        </w:rPr>
        <w:t xml:space="preserve">; and TokenLearner and Token Pooling form smaller, learned or pooled representations </w:t>
      </w:r>
      <w:r>
        <w:rPr>
          <w:rFonts w:ascii="Times New Roman" w:hAnsi="Times New Roman"/>
          <w:color w:val="202A32"/>
          <w:sz w:val="20"/>
        </w:rPr>
        <w:t>[16], [17]</w:t>
      </w:r>
      <w:r>
        <w:rPr>
          <w:rFonts w:ascii="Times New Roman" w:hAnsi="Times New Roman"/>
          <w:i w:val="0"/>
          <w:color w:val="202A32"/>
          <w:sz w:val="20"/>
        </w:rPr>
        <w:t xml:space="preserve">. Adaptive Token Sampling (ATS) and Interpretability-Aware Redundancy Reduction (IA-RED²) select tokens using sampling or redundancy criteria </w:t>
      </w:r>
      <w:r>
        <w:rPr>
          <w:rFonts w:ascii="Times New Roman" w:hAnsi="Times New Roman"/>
          <w:color w:val="202A32"/>
          <w:sz w:val="20"/>
        </w:rPr>
        <w:t>[18], [19]</w:t>
      </w:r>
      <w:r>
        <w:rPr>
          <w:rFonts w:ascii="Times New Roman" w:hAnsi="Times New Roman"/>
          <w:i w:val="0"/>
          <w:color w:val="202A32"/>
          <w:sz w:val="20"/>
        </w:rPr>
        <w:t xml:space="preserve">. Other approaches include PatchDropout, X-Pruner, and global structural pruning </w:t>
      </w:r>
      <w:r>
        <w:rPr>
          <w:rFonts w:ascii="Times New Roman" w:hAnsi="Times New Roman"/>
          <w:color w:val="202A32"/>
          <w:sz w:val="20"/>
        </w:rPr>
        <w:t>[20]–[22]</w:t>
      </w:r>
      <w:r>
        <w:rPr>
          <w:rFonts w:ascii="Times New Roman" w:hAnsi="Times New Roman"/>
          <w:i w:val="0"/>
          <w:color w:val="202A32"/>
          <w:sz w:val="20"/>
        </w:rPr>
        <w:t xml:space="preserve">; joint pruning and squeezing </w:t>
      </w:r>
      <w:r>
        <w:rPr>
          <w:rFonts w:ascii="Times New Roman" w:hAnsi="Times New Roman"/>
          <w:color w:val="202A32"/>
          <w:sz w:val="20"/>
        </w:rPr>
        <w:t>[23]</w:t>
      </w:r>
      <w:r>
        <w:rPr>
          <w:rFonts w:ascii="Times New Roman" w:hAnsi="Times New Roman"/>
          <w:i w:val="0"/>
          <w:color w:val="202A32"/>
          <w:sz w:val="20"/>
        </w:rPr>
        <w:t xml:space="preserve">; and early-exit pruning for dense prediction </w:t>
      </w:r>
      <w:r>
        <w:rPr>
          <w:rFonts w:ascii="Times New Roman" w:hAnsi="Times New Roman"/>
          <w:color w:val="202A32"/>
          <w:sz w:val="20"/>
        </w:rPr>
        <w:t>[24]</w:t>
      </w:r>
      <w:r>
        <w:rPr>
          <w:rFonts w:ascii="Times New Roman" w:hAnsi="Times New Roman"/>
          <w:i w:val="0"/>
          <w:color w:val="202A32"/>
          <w:sz w:val="20"/>
        </w:rPr>
        <w:t xml:space="preserve">. Evo-ViT, Dynamic Grained Encoder, and SPViT adapt token computation or selection </w:t>
      </w:r>
      <w:r>
        <w:rPr>
          <w:rFonts w:ascii="Times New Roman" w:hAnsi="Times New Roman"/>
          <w:color w:val="202A32"/>
          <w:sz w:val="20"/>
        </w:rPr>
        <w:t>[25]–[27]</w:t>
      </w:r>
      <w:r>
        <w:rPr>
          <w:rFonts w:ascii="Times New Roman" w:hAnsi="Times New Roman"/>
          <w:i w:val="0"/>
          <w:color w:val="202A32"/>
          <w:sz w:val="20"/>
        </w:rPr>
        <w:t xml:space="preserve">, while Patch Slimming, Dynamic Transformers, end-to-end sparsity, activation sparsity, and structure-aware pruning explore complementary efficiency settings </w:t>
      </w:r>
      <w:r>
        <w:rPr>
          <w:rFonts w:ascii="Times New Roman" w:hAnsi="Times New Roman"/>
          <w:color w:val="202A32"/>
          <w:sz w:val="20"/>
        </w:rPr>
        <w:t>[28]–[32]</w:t>
      </w:r>
      <w:r>
        <w:rPr>
          <w:rFonts w:ascii="Times New Roman" w:hAnsi="Times New Roman"/>
          <w:i w:val="0"/>
          <w:color w:val="202A32"/>
          <w:sz w:val="20"/>
        </w:rPr>
        <w:t>. These methods establish strong baselines and context, but alter token count, token identity, or computation. Our Patch-Content Fungibility (PCF) intervention instead changes patch content while preserving slots and downstream computation in the tested causal audit.</w:t>
      </w:r>
    </w:p>
    <w:p>
      <w:pPr>
        <w:spacing w:after="100" w:line="259" w:lineRule="auto"/>
      </w:pPr>
      <w:r>
        <w:rPr>
          <w:rFonts w:ascii="Times New Roman" w:hAnsi="Times New Roman"/>
          <w:i w:val="0"/>
          <w:color w:val="202A32"/>
          <w:sz w:val="20"/>
        </w:rPr>
        <w:t xml:space="preserve">Compression by weight or structure pruning has a longer history. Optimal Brain Damage and Optimal Brain Surgeon use sensitivity-based approximations to remove parameters </w:t>
      </w:r>
      <w:r>
        <w:rPr>
          <w:rFonts w:ascii="Times New Roman" w:hAnsi="Times New Roman"/>
          <w:color w:val="202A32"/>
          <w:sz w:val="20"/>
        </w:rPr>
        <w:t>[33], [34]</w:t>
      </w:r>
      <w:r>
        <w:rPr>
          <w:rFonts w:ascii="Times New Roman" w:hAnsi="Times New Roman"/>
          <w:i w:val="0"/>
          <w:color w:val="202A32"/>
          <w:sz w:val="20"/>
        </w:rPr>
        <w:t xml:space="preserve">. Later work studies connection pruning, resource-aware pruning, sparse trainable subnetworks, and movement-based pruning </w:t>
      </w:r>
      <w:r>
        <w:rPr>
          <w:rFonts w:ascii="Times New Roman" w:hAnsi="Times New Roman"/>
          <w:color w:val="202A32"/>
          <w:sz w:val="20"/>
        </w:rPr>
        <w:t>[35]–[38]</w:t>
      </w:r>
      <w:r>
        <w:rPr>
          <w:rFonts w:ascii="Times New Roman" w:hAnsi="Times New Roman"/>
          <w:i w:val="0"/>
          <w:color w:val="202A32"/>
          <w:sz w:val="20"/>
        </w:rPr>
        <w:t xml:space="preserve">. SparseGPT and Wanda study one-shot pruning of large language models (LLMs), while SliceGPT removes dimensions. Singular value decomposition (SVD) is also used for large-language-model compression in the published SVD-LLM method, which applies a truncation-aware variant </w:t>
      </w:r>
      <w:r>
        <w:rPr>
          <w:rFonts w:ascii="Times New Roman" w:hAnsi="Times New Roman"/>
          <w:color w:val="202A32"/>
          <w:sz w:val="20"/>
        </w:rPr>
        <w:t>[39]–[42]</w:t>
      </w:r>
      <w:r>
        <w:rPr>
          <w:rFonts w:ascii="Times New Roman" w:hAnsi="Times New Roman"/>
          <w:i w:val="0"/>
          <w:color w:val="202A32"/>
          <w:sz w:val="20"/>
        </w:rPr>
        <w:t>. These works provide precedents for compression; PCF instead evaluates a fixed-slot patch-content intervention. We use a downstream operator as an empirical objective for grouping and correcting patch carriers; the Jacobian, singular-value decomposition, and output-sensitive objectives themselves are established tools.</w:t>
      </w:r>
    </w:p>
    <w:p>
      <w:pPr>
        <w:spacing w:after="100" w:line="259" w:lineRule="auto"/>
      </w:pPr>
      <w:r>
        <w:rPr>
          <w:rFonts w:ascii="Times New Roman" w:hAnsi="Times New Roman"/>
          <w:i w:val="0"/>
          <w:color w:val="202A32"/>
          <w:sz w:val="20"/>
        </w:rPr>
        <w:t xml:space="preserve">Interpretability research cautions that attention weights alone need not explain a model’s decision. Controlled studies examine whether attention is explanation and how explanation changes under interventions </w:t>
      </w:r>
      <w:r>
        <w:rPr>
          <w:rFonts w:ascii="Times New Roman" w:hAnsi="Times New Roman"/>
          <w:color w:val="202A32"/>
          <w:sz w:val="20"/>
        </w:rPr>
        <w:t>[43]–[45]</w:t>
      </w:r>
      <w:r>
        <w:rPr>
          <w:rFonts w:ascii="Times New Roman" w:hAnsi="Times New Roman"/>
          <w:i w:val="0"/>
          <w:color w:val="202A32"/>
          <w:sz w:val="20"/>
        </w:rPr>
        <w:t xml:space="preserve">. Attention flow, Integrated Gradients, saliency-map sanity checks, and transformer-specific relevance propagation provide complementary methods for tracing or attributing model behavior </w:t>
      </w:r>
      <w:r>
        <w:rPr>
          <w:rFonts w:ascii="Times New Roman" w:hAnsi="Times New Roman"/>
          <w:color w:val="202A32"/>
          <w:sz w:val="20"/>
        </w:rPr>
        <w:t>[46]–[49]</w:t>
      </w:r>
      <w:r>
        <w:rPr>
          <w:rFonts w:ascii="Times New Roman" w:hAnsi="Times New Roman"/>
          <w:i w:val="0"/>
          <w:color w:val="202A32"/>
          <w:sz w:val="20"/>
        </w:rPr>
        <w:t xml:space="preserve">. Causal abstraction offers a framework for connecting interventions to model-level causal structure </w:t>
      </w:r>
      <w:r>
        <w:rPr>
          <w:rFonts w:ascii="Times New Roman" w:hAnsi="Times New Roman"/>
          <w:color w:val="202A32"/>
          <w:sz w:val="20"/>
        </w:rPr>
        <w:t>[50]</w:t>
      </w:r>
      <w:r>
        <w:rPr>
          <w:rFonts w:ascii="Times New Roman" w:hAnsi="Times New Roman"/>
          <w:i w:val="0"/>
          <w:color w:val="202A32"/>
          <w:sz w:val="20"/>
        </w:rPr>
        <w:t>. Our evidence uses direct activation interventions and held-out prediction of perturbation damage; it is bounded to the tested models, readouts, and cohorts.</w:t>
      </w:r>
    </w:p>
    <w:p>
      <w:pPr>
        <w:pStyle w:val="Heading1"/>
        <w:keepNext/>
      </w:pPr>
      <w:r>
        <w:rPr>
          <w:rFonts w:ascii="Times New Roman" w:hAnsi="Times New Roman"/>
          <w:b/>
          <w:color w:val="000000"/>
          <w:sz w:val="28"/>
        </w:rPr>
        <w:t>3. Experimental Setup and Interventions</w:t>
      </w:r>
    </w:p>
    <w:p>
      <w:pPr>
        <w:spacing w:after="100" w:line="259" w:lineRule="auto"/>
      </w:pPr>
      <w:r>
        <w:rPr>
          <w:rFonts w:ascii="Times New Roman" w:hAnsi="Times New Roman"/>
          <w:i w:val="0"/>
          <w:color w:val="202A32"/>
          <w:sz w:val="20"/>
        </w:rPr>
        <w:t>The analyses use distinct evidence cohorts, with each sampling unit reported separately. Table I lists the sampling unit and inference scope for each study. Here, N denotes the count of the stated sampling unit, which differs across image-based and perturbation-based studies. Top-1 accuracy is the fraction of evaluated images for which the highest-scoring class equals the ground-truth label.</w:t>
      </w:r>
    </w:p>
    <w:p>
      <w:pPr>
        <w:spacing w:after="100" w:line="259" w:lineRule="auto"/>
      </w:pPr>
      <w:r>
        <w:rPr>
          <w:rFonts w:ascii="Times New Roman" w:hAnsi="Times New Roman"/>
          <w:i w:val="0"/>
          <w:color w:val="202A32"/>
          <w:sz w:val="20"/>
        </w:rPr>
        <w:t>TABLE I</w:t>
      </w:r>
    </w:p>
    <w:p>
      <w:pPr>
        <w:spacing w:after="100" w:line="259" w:lineRule="auto"/>
      </w:pPr>
      <w:r>
        <w:rPr>
          <w:rFonts w:ascii="Times New Roman" w:hAnsi="Times New Roman"/>
          <w:i w:val="0"/>
          <w:color w:val="202A32"/>
          <w:sz w:val="20"/>
        </w:rPr>
        <w:t>EVIDENCE COHORTS AND INFERENCE BOUNDARIES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Evaluation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Calibration/control unit</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Inference scope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Attention causal audit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Frozen-attention path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Mechanistic evidence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Threshold-defined subspace analysis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Pilot association only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Joint-stream geometry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Coherent and sign-varying token patterns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Joint direction/coherence evidence</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Multi-block operator</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perturbations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Perturbation-level held-out comparison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Damage-prediction association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V0.7 activation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50% replacement; stated controls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Classifier outcomes for that study</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Depth-6 follow-up</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Follow-up at the tested layer and replacement fraction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V0.9 learned-direction replacement</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evaluation images per DeiT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Disjoint N=1,000-image calibration set per model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Relative learned-versus-random comparison</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Frozen protocol and architecture-specific budgets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Confirmatory classifier result</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Real classifier-carrier benchmark</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N=1,000 held-out images per architecture</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full-model timing runs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Classification and measured timing</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Operator-space carrier experiments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N=100 held-out operator-space images</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Separate operator-space calibration/evaluation protocol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Linearized error; no classification claim</w:t>
            </w:r>
          </w:p>
        </w:tc>
      </w:tr>
    </w:tbl>
    <w:p>
      <w:pPr>
        <w:spacing w:after="20"/>
      </w:pPr>
    </w:p>
    <w:p>
      <w:pPr>
        <w:keepLines/>
        <w:spacing w:after="80"/>
        <w:jc w:val="center"/>
      </w:pPr>
      <w:r>
        <w:rPr>
          <w:rFonts w:ascii="Times New Roman" w:hAnsi="Times New Roman"/>
          <w:i/>
          <w:color w:val="4C5963"/>
          <w:sz w:val="17"/>
        </w:rPr>
        <w:t>Table I. Sample units are reported as recorded in each study. Image cohorts are separate unless a source explicitly states otherwise; the multi-block unit counts perturbations, and operator-space carrier results do not measure classification.</w:t>
      </w:r>
    </w:p>
    <w:p>
      <w:pPr>
        <w:spacing w:after="100" w:line="259" w:lineRule="auto"/>
      </w:pPr>
      <w:r>
        <w:rPr>
          <w:rFonts w:ascii="Times New Roman" w:hAnsi="Times New Roman"/>
          <w:i w:val="0"/>
          <w:color w:val="202A32"/>
          <w:sz w:val="20"/>
        </w:rPr>
        <w:t>In the equations, N</w:t>
      </w:r>
      <w:r>
        <w:rPr>
          <w:rFonts w:ascii="Times New Roman" w:hAnsi="Times New Roman"/>
          <w:i w:val="0"/>
          <w:color w:val="202A32"/>
          <w:sz w:val="20"/>
          <w:vertAlign w:val="subscript"/>
        </w:rPr>
        <w:t>img</w:t>
      </w:r>
      <w:r>
        <w:rPr>
          <w:rFonts w:ascii="Times New Roman" w:hAnsi="Times New Roman"/>
          <w:i w:val="0"/>
          <w:color w:val="202A32"/>
          <w:sz w:val="20"/>
        </w:rPr>
        <w:t xml:space="preserve"> denotes the number of image samples, n_p the number of spatial patch slots, and D the feature dimension; Table I reports N alongside each study's sampling unit. For the fixed-slot intervention, let P_ℓ∈ℝ^{n_p×D} contain the patch activations at layer ℓ, with p_{ℓ,i}∈ℝ^D as row i and r_{ℓ,i} its class-agnostic calibration surrogate. The binary indicator u_i selects the slots to replace: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p~[l,i]=(1−u[i])p[l,i]+u[i] r[l,i], u[i]∈{0,1}, i=1, …, n_p.</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Thus, when u_i=0 the original activation remains, and when u_i=1 it is replaced by the corresponding surrogate. The class token, position indices, number of rows, model weights, and subsequent computation remain unchanged. The intervention isolates dependence on image-specific content while keeping token slots fixed.</w:t>
      </w:r>
    </w:p>
    <w:p>
      <w:pPr>
        <w:spacing w:after="100" w:line="259" w:lineRule="auto"/>
      </w:pPr>
      <w:r>
        <w:rPr>
          <w:rFonts w:ascii="Times New Roman" w:hAnsi="Times New Roman"/>
          <w:i w:val="0"/>
          <w:color w:val="202A32"/>
          <w:sz w:val="20"/>
        </w:rPr>
        <w:t>For compression, an end-to-end Jacobian locally maps a perturbation of the patch matrix at layer ℓ to the measured downstream readout z. The Jacobian is evaluated at the unperturbed activation; its product with a flattened perturbation gives a first-order prediction of the readout change. The full-J oracle uses a per-example Jacobian and is an offline reference, not a deployable inference procedure. Section 6 defines the operator objective and its grouping variables.</w:t>
      </w:r>
    </w:p>
    <w:p>
      <w:pPr>
        <w:pStyle w:val="Heading1"/>
        <w:keepNext/>
      </w:pPr>
      <w:r>
        <w:rPr>
          <w:rFonts w:ascii="Times New Roman" w:hAnsi="Times New Roman"/>
          <w:b/>
          <w:color w:val="000000"/>
          <w:sz w:val="28"/>
        </w:rPr>
        <w:t>4. Geometric and Diversity Constraints on Patch-Content Fungibility</w:t>
      </w:r>
    </w:p>
    <w:p>
      <w:pPr>
        <w:pStyle w:val="Heading2"/>
        <w:keepNext/>
      </w:pPr>
      <w:r>
        <w:rPr>
          <w:rFonts w:ascii="Times New Roman" w:hAnsi="Times New Roman"/>
          <w:b/>
          <w:color w:val="000000"/>
          <w:sz w:val="23"/>
        </w:rPr>
        <w:t>4.1 Depth-Dependent Replacement Tolerance</w:t>
      </w:r>
    </w:p>
    <w:p>
      <w:pPr>
        <w:spacing w:after="100" w:line="259" w:lineRule="auto"/>
      </w:pPr>
      <w:r>
        <w:rPr>
          <w:rFonts w:ascii="Times New Roman" w:hAnsi="Times New Roman"/>
          <w:i w:val="0"/>
          <w:color w:val="202A32"/>
          <w:sz w:val="20"/>
        </w:rPr>
        <w:t>Across the audited replacement controls, late-layer patch content is more replaceable than early-layer content, but arbitrary substitutions do not preserve function. The original V1 depthwise validation evaluates 1,000 images per architecture under 25% patch replacement. A separately recorded follow-up measured the previously unsampled depth 6 with the same split seeds, replacement fraction, controls, and 1,000-image calibration and evaluation sets for ViT-B/16 AugReg and DINOv2. At depth 6, centroid/Gaussian replacement gives 73.9%/74.9% for ViT-B/16 AugReg and 70.6%/74.6% for DINOv2, compared with zero replacement at 71.5%/28.8%; Gaussian values are means over three seeds. Fig. 2 combines that follow-up with the original depths 5, 7, 8, 9, and 10. These results are conditional on the tested models, layer, replacement fraction, calibration distribution, and readout.</w:t>
      </w:r>
    </w:p>
    <w:p>
      <w:pPr>
        <w:keepNext/>
        <w:keepLines/>
        <w:spacing w:after="20"/>
        <w:jc w:val="center"/>
      </w:pPr>
      <w:r>
        <w:drawing>
          <wp:inline xmlns:a="http://schemas.openxmlformats.org/drawingml/2006/main" xmlns:pic="http://schemas.openxmlformats.org/drawingml/2006/picture">
            <wp:extent cx="6172200" cy="2359499"/>
            <wp:docPr id="2" name="Picture 2"/>
            <wp:cNvGraphicFramePr>
              <a:graphicFrameLocks noChangeAspect="1"/>
            </wp:cNvGraphicFramePr>
            <a:graphic>
              <a:graphicData uri="http://schemas.openxmlformats.org/drawingml/2006/picture">
                <pic:pic>
                  <pic:nvPicPr>
                    <pic:cNvPr id="0" name="figure2_depthwise.png"/>
                    <pic:cNvPicPr/>
                  </pic:nvPicPr>
                  <pic:blipFill>
                    <a:blip r:embed="rId10"/>
                    <a:stretch>
                      <a:fillRect/>
                    </a:stretch>
                  </pic:blipFill>
                  <pic:spPr>
                    <a:xfrm>
                      <a:off x="0" y="0"/>
                      <a:ext cx="6172200" cy="2359499"/>
                    </a:xfrm>
                    <a:prstGeom prst="rect"/>
                  </pic:spPr>
                </pic:pic>
              </a:graphicData>
            </a:graphic>
          </wp:inline>
        </w:drawing>
      </w:r>
    </w:p>
    <w:p>
      <w:pPr>
        <w:keepLines/>
        <w:spacing w:after="80"/>
        <w:jc w:val="center"/>
      </w:pPr>
      <w:r>
        <w:rPr>
          <w:rFonts w:ascii="Times New Roman" w:hAnsi="Times New Roman"/>
          <w:i/>
          <w:color w:val="4C5963"/>
          <w:sz w:val="17"/>
        </w:rPr>
        <w:t>Fig. 2. Depth-wise replacement accuracy for ViT-B/16 AugReg and DINOv2 under 25% spatial-patch replacement. Original V1 depths are 5, 7, 8, 9, and 10; depth 6 is a separately recorded follow-up. Each evaluation uses N=1,000 images per model. Error bars show Gaussian seed-level standard deviation; dashed lines mark clean accuracy.</w:t>
      </w:r>
    </w:p>
    <w:p>
      <w:pPr>
        <w:pStyle w:val="Heading2"/>
        <w:keepNext/>
      </w:pPr>
      <w:r>
        <w:rPr>
          <w:rFonts w:ascii="Times New Roman" w:hAnsi="Times New Roman"/>
          <w:b/>
          <w:color w:val="000000"/>
          <w:sz w:val="23"/>
        </w:rPr>
        <w:t>4.2 Geometric and Diversity Constraints</w:t>
      </w:r>
    </w:p>
    <w:p>
      <w:pPr>
        <w:spacing w:after="100" w:line="259" w:lineRule="auto"/>
      </w:pPr>
      <w:r>
        <w:rPr>
          <w:rFonts w:ascii="Times New Roman" w:hAnsi="Times New Roman"/>
          <w:i w:val="0"/>
          <w:color w:val="202A32"/>
          <w:sz w:val="20"/>
        </w:rPr>
        <w:t>Geometry and diversity constrain replacement. In the separate V0.7 activation-replacement experiment (N=1,000 images per model; 50% replacement), coordinate permutation changes Top-1 accuracy from 66.3% to 52.2% on DeiT-Tiny and from 75.6% to 62.6% on DeiT-Small; sign inversion reduces it to 0.7% and 1.1%, respectively. These are classifier outcomes from the N=1,000 replacement study. A distinct N=100 DeiT-Small operator-space control finds that shuffling principal component analysis (PCA) coordinates increases mean ‖J E‖ by 1.474 (from 6.602 to 8.076); this is linearized operator-space evidence, not Top-1 accuracy. Fig. 3 compares the audited geometry and token-diversity controls.</w:t>
      </w:r>
    </w:p>
    <w:p>
      <w:pPr>
        <w:keepNext/>
        <w:keepLines/>
        <w:spacing w:after="20"/>
        <w:jc w:val="center"/>
      </w:pPr>
      <w:r>
        <w:drawing>
          <wp:inline xmlns:a="http://schemas.openxmlformats.org/drawingml/2006/main" xmlns:pic="http://schemas.openxmlformats.org/drawingml/2006/picture">
            <wp:extent cx="6172200" cy="2479776"/>
            <wp:docPr id="3" name="Picture 3"/>
            <wp:cNvGraphicFramePr>
              <a:graphicFrameLocks noChangeAspect="1"/>
            </wp:cNvGraphicFramePr>
            <a:graphic>
              <a:graphicData uri="http://schemas.openxmlformats.org/drawingml/2006/picture">
                <pic:pic>
                  <pic:nvPicPr>
                    <pic:cNvPr id="0" name="figure3_geometry_diversity.png"/>
                    <pic:cNvPicPr/>
                  </pic:nvPicPr>
                  <pic:blipFill>
                    <a:blip r:embed="rId11"/>
                    <a:stretch>
                      <a:fillRect/>
                    </a:stretch>
                  </pic:blipFill>
                  <pic:spPr>
                    <a:xfrm>
                      <a:off x="0" y="0"/>
                      <a:ext cx="6172200" cy="2479776"/>
                    </a:xfrm>
                    <a:prstGeom prst="rect"/>
                  </pic:spPr>
                </pic:pic>
              </a:graphicData>
            </a:graphic>
          </wp:inline>
        </w:drawing>
      </w:r>
    </w:p>
    <w:p>
      <w:pPr>
        <w:keepLines/>
        <w:spacing w:after="80"/>
        <w:jc w:val="center"/>
      </w:pPr>
      <w:r>
        <w:rPr>
          <w:rFonts w:ascii="Times New Roman" w:hAnsi="Times New Roman"/>
          <w:i/>
          <w:color w:val="4C5963"/>
          <w:sz w:val="17"/>
        </w:rPr>
        <w:t>Fig. 3. (a) V1 geometry controls at 50% replacement for ViT-B/16 AugReg and DINOv2 ViT-S/14 compare a calibration centroid, a coordinate-shuffled centroid, and a sign-inverted centroid. (b) The V0.8 grouped-diversity sweep on DeiT-Tiny and DeiT-Small varies K, the number of distinct replacement vectors across all 196 patch positions. Gray dashed lines mark each model’s clean Top-1 accuracy. Bars and line markers show means; dots show recorded runs; error bars show across-seed standard deviation where repeated seeds are available. Each model uses N=1,000 evaluation images and separate calibration data. These are distinct study cohorts, so conditions should be compared within each panel rather than treated as a matched-model contrast.</w:t>
      </w:r>
    </w:p>
    <w:p>
      <w:pPr>
        <w:spacing w:after="100" w:line="259" w:lineRule="auto"/>
      </w:pPr>
      <w:r>
        <w:rPr>
          <w:rFonts w:ascii="Times New Roman" w:hAnsi="Times New Roman"/>
          <w:i w:val="0"/>
          <w:color w:val="202A32"/>
          <w:sz w:val="20"/>
        </w:rPr>
        <w:t>V0.8 diversity tests show that low-dimensional variation does not restore full performance and that the tested setting requires high-dimensional structure. In the separate V0.9 study, with 100% patch replacement, N=1,000 evaluation images and a disjoint N=1,000 calibration set per DeiT model, learned low-dimensional variation is more compatible than energy-matched random directions. This relative advantage is model- and amplitude-dependent and does not establish rank-1 sufficiency. Taken together, the interventions support constrained replaceability, not universal interchangeability and not a direct inference that tokens can be deleted at no cost.</w:t>
      </w:r>
    </w:p>
    <w:p>
      <w:pPr>
        <w:pStyle w:val="Heading1"/>
        <w:keepNext/>
      </w:pPr>
      <w:r>
        <w:rPr>
          <w:rFonts w:ascii="Times New Roman" w:hAnsi="Times New Roman"/>
          <w:b/>
          <w:color w:val="000000"/>
          <w:sz w:val="28"/>
        </w:rPr>
        <w:t>5. Functional Geometry and Attention-Mediated Transmission</w:t>
      </w:r>
    </w:p>
    <w:p>
      <w:pPr>
        <w:pStyle w:val="Heading2"/>
        <w:keepNext/>
      </w:pPr>
      <w:r>
        <w:rPr>
          <w:rFonts w:ascii="Times New Roman" w:hAnsi="Times New Roman"/>
          <w:b/>
          <w:color w:val="000000"/>
          <w:sz w:val="23"/>
        </w:rPr>
        <w:t>5.1 Anisotropy and Functional Geometry</w:t>
      </w:r>
    </w:p>
    <w:p>
      <w:pPr>
        <w:spacing w:after="100" w:line="259" w:lineRule="auto"/>
      </w:pPr>
      <w:r>
        <w:rPr>
          <w:rFonts w:ascii="Times New Roman" w:hAnsi="Times New Roman"/>
          <w:i w:val="0"/>
          <w:color w:val="202A32"/>
          <w:sz w:val="20"/>
        </w:rPr>
        <w:t>Functional transmission is direction-dependent. Fig. 4 summarizes the audited depth-wise sensitivity pattern.</w:t>
      </w:r>
    </w:p>
    <w:p>
      <w:pPr>
        <w:keepNext/>
        <w:keepLines/>
        <w:spacing w:after="20"/>
        <w:jc w:val="center"/>
      </w:pPr>
      <w:r>
        <w:drawing>
          <wp:inline xmlns:a="http://schemas.openxmlformats.org/drawingml/2006/main" xmlns:pic="http://schemas.openxmlformats.org/drawingml/2006/picture">
            <wp:extent cx="6172200" cy="1986239"/>
            <wp:docPr id="4" name="Picture 4"/>
            <wp:cNvGraphicFramePr>
              <a:graphicFrameLocks noChangeAspect="1"/>
            </wp:cNvGraphicFramePr>
            <a:graphic>
              <a:graphicData uri="http://schemas.openxmlformats.org/drawingml/2006/picture">
                <pic:pic>
                  <pic:nvPicPr>
                    <pic:cNvPr id="0" name="figure4_anisotropic_geometry.png"/>
                    <pic:cNvPicPr/>
                  </pic:nvPicPr>
                  <pic:blipFill>
                    <a:blip r:embed="rId12"/>
                    <a:stretch>
                      <a:fillRect/>
                    </a:stretch>
                  </pic:blipFill>
                  <pic:spPr>
                    <a:xfrm>
                      <a:off x="0" y="0"/>
                      <a:ext cx="6172200" cy="1986239"/>
                    </a:xfrm>
                    <a:prstGeom prst="rect"/>
                  </pic:spPr>
                </pic:pic>
              </a:graphicData>
            </a:graphic>
          </wp:inline>
        </w:drawing>
      </w:r>
    </w:p>
    <w:p>
      <w:pPr>
        <w:keepLines/>
        <w:spacing w:after="80"/>
        <w:jc w:val="center"/>
      </w:pPr>
      <w:r>
        <w:rPr>
          <w:rFonts w:ascii="Times New Roman" w:hAnsi="Times New Roman"/>
          <w:i/>
          <w:color w:val="4C5963"/>
          <w:sz w:val="17"/>
        </w:rPr>
        <w:t>Fig. 4. (a) Ratio of the empirical margin-gradient metric sensitivity vᵀM_ℓv along PC1 to that along PC-bottom across depths in the N=100 functional-geometry pilot. The PCs are eigenvectors of the centered calibration-activation covariance, separate from M_ℓ. (b) Depth-8 PCA score-density maps for DeiT-Small and ViT-B/16 AugReg. Each observation is a patch activation from the 100-image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pPr>
        <w:spacing w:after="100" w:line="259" w:lineRule="auto"/>
      </w:pPr>
      <w:r>
        <w:rPr>
          <w:rFonts w:ascii="Times New Roman" w:hAnsi="Times New Roman"/>
          <w:i w:val="0"/>
          <w:color w:val="202A32"/>
          <w:sz w:val="20"/>
        </w:rPr>
        <w:t>For image s, let y_s and r_s be the clean predicted and runner-up classes, and let z_s denote its final logits. The functional-geometry pilot differentiates this scalar class margin with respect to each patch feature, then averages the per-patch gradient outer products: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g[s,i]=grad[p[l,s,i]](z[s,y[s]]−z[s,r[s]]),</m:t>
              </m:r>
            </m:oMath>
          </w:p>
          <w:p>
            <w:pPr>
              <w:keepLines/>
              <w:spacing w:before="0" w:after="0" w:line="240" w:lineRule="auto"/>
              <w:jc w:val="center"/>
            </w:pPr>
            <m:oMath>
              <m:r>
                <m:t xml:space="preserve">M[l]=(1/(</m:t>
              </m:r>
              <m:sSub>
                <m:e>
                  <m:r>
                    <m:t xml:space="preserve">N</m:t>
                  </m:r>
                </m:e>
                <m:sub>
                  <m:r>
                    <m:t xml:space="preserve">img</m:t>
                  </m:r>
                </m:sub>
              </m:sSub>
              <m:r>
                <m:t xml:space="preserve"> n_p))Σ[s=1]^</m:t>
              </m:r>
              <m:sSub>
                <m:e>
                  <m:r>
                    <m:t xml:space="preserve">N</m:t>
                  </m:r>
                </m:e>
                <m:sub>
                  <m:r>
                    <m:t xml:space="preserve">img</m:t>
                  </m:r>
                </m:sub>
              </m:sSub>
              <m:r>
                <m:t xml:space="preserve">Σ[i=1]^n_p g[s,i]g[s,i]^T.</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(2)</w:t>
            </w:r>
          </w:p>
        </w:tc>
      </w:tr>
    </w:tbl>
    <w:p>
      <w:pPr>
        <w:spacing w:after="100" w:line="259" w:lineRule="auto"/>
      </w:pPr>
      <w:r>
        <w:rPr>
          <w:rFonts w:ascii="Times New Roman" w:hAnsi="Times New Roman"/>
          <w:i w:val="0"/>
          <w:color w:val="202A32"/>
          <w:sz w:val="20"/>
        </w:rPr>
        <w:t>Here M_ℓ∈ℝ^{D×D} is an uncentered second moment of scalar margin gradients, not J_{ℓ→L}ᵀJ_{ℓ→L}. The pilot counts nonnegative eigenvalues no greater than 10⁻³ times the largest as near-null. Its effective rank is exp(−Σ_{k:p_k&gt;10⁻¹²}p_k log p_k), where p_k is eigenvalue k divided by the eigenvalue sum. Thus M_ℓ pools per-token margin gradients without cross-token or full-logit Jacobian structure. PCA uses the separate sample covariance Σ_{act,ℓ} of centered calibration patch-feature rows, with denominator M_cal−1 for M_cal calibration patch observations. This count is the number of calibration patch tokens, not N</w:t>
      </w:r>
      <w:r>
        <w:rPr>
          <w:rFonts w:ascii="Times New Roman" w:hAnsi="Times New Roman"/>
          <w:i w:val="0"/>
          <w:color w:val="202A32"/>
          <w:sz w:val="20"/>
          <w:vertAlign w:val="subscript"/>
        </w:rPr>
        <w:t>img</w:t>
      </w:r>
      <w:r>
        <w:rPr>
          <w:rFonts w:ascii="Times New Roman" w:hAnsi="Times New Roman"/>
          <w:i w:val="0"/>
          <w:color w:val="202A32"/>
          <w:sz w:val="20"/>
        </w:rPr>
        <w:t>. This covariance is distinct from both M_ℓ and the readout-space solver Gram matrix H_J.</w:t>
      </w:r>
    </w:p>
    <w:p>
      <w:pPr>
        <w:pStyle w:val="Heading2"/>
        <w:keepNext/>
      </w:pPr>
      <w:r>
        <w:rPr>
          <w:rFonts w:ascii="Times New Roman" w:hAnsi="Times New Roman"/>
          <w:b/>
          <w:color w:val="000000"/>
          <w:sz w:val="23"/>
        </w:rPr>
        <w:t>5.2 Value-Path Coherence and Cancellation</w:t>
      </w:r>
    </w:p>
    <w:p>
      <w:pPr>
        <w:spacing w:after="100" w:line="259" w:lineRule="auto"/>
      </w:pPr>
      <w:r>
        <w:rPr>
          <w:rFonts w:ascii="Times New Roman" w:hAnsi="Times New Roman"/>
          <w:i w:val="0"/>
          <w:color w:val="202A32"/>
          <w:sz w:val="20"/>
        </w:rPr>
        <w:t>In the attention causal audit (N=100 evaluation images), the frozen-attention Value-only path explains 70.8% of the defined coherence-gap margin effect in DeiT-Small and 102.2% in ViT-B/16 AugReg. The same path reproduces approximately 97.4% and 99.3% of the immediate readout disturbance, respectively. Because a secondary contribution partially opposes the Value-path effect, the Value-only ratio exceeds 100% in ViT-B/16 AugReg. In this setup, perturbing patch keys leaves the unperturbed classification-token query unchanged, so the immediate query contribution is zero; key-mediated rerouting remains secondary. The frozen-attention parity check verifies algebraic consistency rather than generalization. Fig. 5 compares coherent with sign-varying Value-path transmission.</w:t>
      </w:r>
    </w:p>
    <w:p>
      <w:pPr>
        <w:keepNext/>
        <w:keepLines/>
        <w:spacing w:after="20"/>
        <w:jc w:val="center"/>
      </w:pPr>
      <w:r>
        <w:drawing>
          <wp:inline xmlns:a="http://schemas.openxmlformats.org/drawingml/2006/main" xmlns:pic="http://schemas.openxmlformats.org/drawingml/2006/picture">
            <wp:extent cx="6172200" cy="2632480"/>
            <wp:docPr id="5" name="Picture 5"/>
            <wp:cNvGraphicFramePr>
              <a:graphicFrameLocks noChangeAspect="1"/>
            </wp:cNvGraphicFramePr>
            <a:graphic>
              <a:graphicData uri="http://schemas.openxmlformats.org/drawingml/2006/picture">
                <pic:pic>
                  <pic:nvPicPr>
                    <pic:cNvPr id="0" name="figure5_value_path_cancellation.png"/>
                    <pic:cNvPicPr/>
                  </pic:nvPicPr>
                  <pic:blipFill>
                    <a:blip r:embed="rId13"/>
                    <a:stretch>
                      <a:fillRect/>
                    </a:stretch>
                  </pic:blipFill>
                  <pic:spPr>
                    <a:xfrm>
                      <a:off x="0" y="0"/>
                      <a:ext cx="6172200" cy="2632480"/>
                    </a:xfrm>
                    <a:prstGeom prst="rect"/>
                  </pic:spPr>
                </pic:pic>
              </a:graphicData>
            </a:graphic>
          </wp:inline>
        </w:drawing>
      </w:r>
    </w:p>
    <w:p>
      <w:pPr>
        <w:keepLines/>
        <w:spacing w:after="80"/>
        <w:jc w:val="center"/>
      </w:pPr>
      <w:r>
        <w:rPr>
          <w:rFonts w:ascii="Times New Roman" w:hAnsi="Times New Roman"/>
          <w:i/>
          <w:color w:val="4C5963"/>
          <w:sz w:val="17"/>
        </w:rPr>
        <w:t>Fig. 5. Immediate readout disturbance for Value-only and key-plus-value pathways under coherent, random-sign, and checkerboard patterns in two N=100 attention-audit settings.</w:t>
      </w:r>
    </w:p>
    <w:p>
      <w:pPr>
        <w:spacing w:after="100" w:line="259" w:lineRule="auto"/>
      </w:pPr>
      <w:r>
        <w:rPr>
          <w:rFonts w:ascii="Times New Roman" w:hAnsi="Times New Roman"/>
          <w:i w:val="0"/>
          <w:color w:val="202A32"/>
          <w:sz w:val="20"/>
        </w:rPr>
        <w:t>For one image and a CLS readout, let w_{h,i}^{clean} be the clean attention weight from patch i to the readout in head h. The signed attention-weighted token pattern and frozen-attention Value-context change are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Γ[h](a)=Σ[i=1]^n_p w[h,i]^clean a[i],</m:t>
              </m:r>
            </m:oMath>
          </w:p>
          <w:p>
            <w:pPr>
              <w:keepLines/>
              <w:spacing w:before="0" w:after="0" w:line="240" w:lineRule="auto"/>
              <w:jc w:val="center"/>
            </w:pPr>
            <m:oMath>
              <m:r>
                <m:t xml:space="preserve">Δc[h]^(V)=Σ[i=1]^n_p w[h,i]^cleanΔv[h,i]∈R^d[h].</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(3)</w:t>
            </w:r>
          </w:p>
        </w:tc>
      </w:tr>
    </w:tbl>
    <w:p>
      <w:pPr>
        <w:spacing w:after="100" w:line="259" w:lineRule="auto"/>
      </w:pPr>
      <w:r>
        <w:rPr>
          <w:rFonts w:ascii="Times New Roman" w:hAnsi="Times New Roman"/>
          <w:i w:val="0"/>
          <w:color w:val="202A32"/>
          <w:sz w:val="20"/>
        </w:rPr>
        <w:t>Here Δv_{h,i} is the measured change in the post-normalization Value projection for patch i. Γ_h(a) summarizes how the token pattern aligns with clean attention weights; the second expression retains token-specific Value changes and is the pre-output-projection head context audited in code. With attention frozen, coherent signed contributions can add and varying signs can cancel. This frozen-attention decomposition isolates Value-path transmission while leaving nonlinear attention rerouting and other causal paths outside its scope.</w:t>
      </w:r>
    </w:p>
    <w:p>
      <w:pPr>
        <w:pStyle w:val="Heading2"/>
        <w:keepNext/>
      </w:pPr>
      <w:r>
        <w:rPr>
          <w:rFonts w:ascii="Times New Roman" w:hAnsi="Times New Roman"/>
          <w:b/>
          <w:color w:val="000000"/>
          <w:sz w:val="23"/>
        </w:rPr>
        <w:t>5.3 End-to-End Functional Transmission</w:t>
      </w:r>
    </w:p>
    <w:p>
      <w:pPr>
        <w:spacing w:after="100" w:line="259" w:lineRule="auto"/>
      </w:pPr>
      <w:r>
        <w:rPr>
          <w:rFonts w:ascii="Times New Roman" w:hAnsi="Times New Roman"/>
          <w:i w:val="0"/>
          <w:color w:val="202A32"/>
          <w:sz w:val="20"/>
        </w:rPr>
        <w:t>Local geometry is not sufficient to characterize later readout damage. The multi-block operator study evaluates N=100 held-out perturbations. On these held-out perturbations, damage prediction has higher correlation for the multi-block operator (Pearson r=0.975; Spearman ρ=0.945) than for the single-block operator (r=0.753; ρ=0.735). The mean principal angle from block 8 to block 9 is 49.0 degrees in the reported comparison. Fig. 6 shows this local-versus-end-to-end comparison. Separately, the N=100-image functional-geometry pilot finds that the threshold-defined near-null subspace of M_ℓ expands with depth while its entropy effective rank declines in late layers. This is consistent with greater late-layer replacement tolerance measured in separate interventions, but remains an empirical mechanistic association rather than a theorem or universal explanation.</w:t>
      </w:r>
    </w:p>
    <w:p>
      <w:pPr>
        <w:spacing w:after="100" w:line="259" w:lineRule="auto"/>
      </w:pPr>
      <w:r>
        <w:rPr>
          <w:rFonts w:ascii="Times New Roman" w:hAnsi="Times New Roman"/>
          <w:b/>
          <w:color w:val="202A32"/>
          <w:sz w:val="20"/>
        </w:rPr>
        <w:t>Token–feature interaction.</w:t>
      </w:r>
      <w:r>
        <w:rPr>
          <w:rFonts w:ascii="Times New Roman" w:hAnsi="Times New Roman"/>
          <w:i w:val="0"/>
          <w:color w:val="202A32"/>
          <w:sz w:val="20"/>
        </w:rPr>
        <w:t xml:space="preserve"> A distinct joint-stream geometry audit (N=100 images per model) selects feature directions using its own per-image mean patch-margin-gradient metric, separate from M_ℓ in the functional-geometry pilot and from the full-logit J_{ℓ→L} used in compression. It finds that downstream damage depends jointly on feature direction and token-space coherence: sensitive feature directions are most damaging under coherent token patterns, whereas functionally near-null directions remain comparatively tolerated across the tested patterns. The audit injects the norm-matched rank-one perturbation</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ΔP[l]=α a v^T, a∈R^n_p, v∈R^D, ||a||[2]=||v||[2]=1, ||ΔP[l]||[F]=α.</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(4)</w:t>
            </w:r>
          </w:p>
        </w:tc>
      </w:tr>
    </w:tbl>
    <w:p>
      <w:pPr>
        <w:spacing w:after="100" w:line="259" w:lineRule="auto"/>
      </w:pPr>
      <w:r>
        <w:rPr>
          <w:rFonts w:ascii="Times New Roman" w:hAnsi="Times New Roman"/>
          <w:i w:val="0"/>
          <w:color w:val="202A32"/>
          <w:sz w:val="20"/>
        </w:rPr>
        <w:t>with α=sσ_ℓ≥0; consequently α is the Frobenius norm of the injected patch perturbation.</w:t>
      </w:r>
    </w:p>
    <w:p>
      <w:pPr>
        <w:keepNext/>
        <w:keepLines/>
        <w:spacing w:after="20"/>
        <w:jc w:val="center"/>
      </w:pPr>
      <w:r>
        <w:drawing>
          <wp:inline xmlns:a="http://schemas.openxmlformats.org/drawingml/2006/main" xmlns:pic="http://schemas.openxmlformats.org/drawingml/2006/picture">
            <wp:extent cx="6172200" cy="2285067"/>
            <wp:docPr id="6" name="Picture 6"/>
            <wp:cNvGraphicFramePr>
              <a:graphicFrameLocks noChangeAspect="1"/>
            </wp:cNvGraphicFramePr>
            <a:graphic>
              <a:graphicData uri="http://schemas.openxmlformats.org/drawingml/2006/picture">
                <pic:pic>
                  <pic:nvPicPr>
                    <pic:cNvPr id="0" name="figure6_end_to_end_operator.png"/>
                    <pic:cNvPicPr/>
                  </pic:nvPicPr>
                  <pic:blipFill>
                    <a:blip r:embed="rId14"/>
                    <a:stretch>
                      <a:fillRect/>
                    </a:stretch>
                  </pic:blipFill>
                  <pic:spPr>
                    <a:xfrm>
                      <a:off x="0" y="0"/>
                      <a:ext cx="6172200" cy="2285067"/>
                    </a:xfrm>
                    <a:prstGeom prst="rect"/>
                  </pic:spPr>
                </pic:pic>
              </a:graphicData>
            </a:graphic>
          </wp:inline>
        </w:drawing>
      </w:r>
    </w:p>
    <w:p>
      <w:pPr>
        <w:keepLines/>
        <w:spacing w:after="80"/>
        <w:jc w:val="center"/>
      </w:pPr>
      <w:r>
        <w:rPr>
          <w:rFonts w:ascii="Times New Roman" w:hAnsi="Times New Roman"/>
          <w:i/>
          <w:color w:val="4C5963"/>
          <w:sz w:val="17"/>
        </w:rPr>
        <w:t>Fig. 6. Pearson and Spearman correlations between the single-block operator A₈ and end-to-end Jacobian J₈→₁₂ predictions and measured final-logit L2 damage on N=100 held-out perturbations. J₈→₁₂ composes blocks 9–12 and the final normalization/CLS readout. The mean principal angle from block 8 to block 9 is 49.0°.</w:t>
      </w:r>
    </w:p>
    <w:p>
      <w:pPr>
        <w:spacing w:after="100" w:line="259" w:lineRule="auto"/>
      </w:pPr>
      <w:r>
        <w:rPr>
          <w:rFonts w:ascii="Times New Roman" w:hAnsi="Times New Roman"/>
          <w:i w:val="0"/>
          <w:color w:val="202A32"/>
          <w:sz w:val="20"/>
        </w:rPr>
        <w:t>The end-to-end linearization maps all patch features at layer ℓ to the final classifier-logit vector z∈ℝ^{d_z}:</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J[l→L]=∂z/∂rvec(P[l])∈R^d[z] x n_p D, Δz≈J[l→L]rvec(ΔP[l]),</m:t>
              </m:r>
            </m:oMath>
          </w:p>
          <w:p>
            <w:pPr>
              <w:keepLines/>
              <w:spacing w:before="0" w:after="0" w:line="240" w:lineRule="auto"/>
              <w:jc w:val="center"/>
            </w:pPr>
            <m:oMath>
              <m:r>
                <m:t xml:space="preserve">rvec(X)=vec(X^T).</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(5)</w:t>
            </w:r>
          </w:p>
        </w:tc>
      </w:tr>
    </w:tbl>
    <w:p>
      <w:pPr>
        <w:spacing w:after="100" w:line="259" w:lineRule="auto"/>
      </w:pPr>
      <w:r>
        <w:rPr>
          <w:rFonts w:ascii="Times New Roman" w:hAnsi="Times New Roman"/>
          <w:i w:val="0"/>
          <w:color w:val="202A32"/>
          <w:sz w:val="20"/>
        </w:rPr>
        <w:t>The implementation reshapes each n_p×D patch matrix in row-major order, which equals the conventional column-vectorization vec(Xᵀ) used by rvec. In the confirmatory classification runs, d_z is the number of class logits. The Jacobian product is a first-order readout-change approximation at the unperturbed activation, not an exact identity for large perturbations or a universal account of transformer behavior. This full-logit, all-patch Jacobian is distinct from the pooled margin-gradient feature metric M_ℓ in Eq. (2).</w:t>
      </w:r>
    </w:p>
    <w:p>
      <w:pPr>
        <w:pStyle w:val="Heading1"/>
        <w:keepNext/>
      </w:pPr>
      <w:r>
        <w:rPr>
          <w:rFonts w:ascii="Times New Roman" w:hAnsi="Times New Roman"/>
          <w:b/>
          <w:color w:val="000000"/>
          <w:sz w:val="28"/>
        </w:rPr>
        <w:t>6. Operator-Aware Token Compression</w:t>
      </w:r>
    </w:p>
    <w:p>
      <w:pPr>
        <w:pStyle w:val="Heading2"/>
        <w:keepNext/>
      </w:pPr>
      <w:r>
        <w:rPr>
          <w:rFonts w:ascii="Times New Roman" w:hAnsi="Times New Roman"/>
          <w:b/>
          <w:color w:val="000000"/>
          <w:sz w:val="23"/>
        </w:rPr>
        <w:t>6.1 Carrier Grouping and Optimization</w:t>
      </w:r>
    </w:p>
    <w:p>
      <w:pPr>
        <w:spacing w:after="100" w:line="259" w:lineRule="auto"/>
      </w:pPr>
      <w:r>
        <w:rPr>
          <w:rFonts w:ascii="Times New Roman" w:hAnsi="Times New Roman"/>
          <w:i w:val="0"/>
          <w:color w:val="202A32"/>
          <w:sz w:val="20"/>
        </w:rPr>
        <w:t>For each image, n_p patch tokens are assigned to B carriers. Let S∈{0,1}^{n_p×B} be the assignment matrix, with exactly one nonzero per row, and let C∈ℝ^{B×D} contain the carrier vectors. The reconstructed patch matrix is P̂=SC. The set G_j contains the patch indices assigned to carrier j, and m_j=|G_j| is its membership count. The Group Mean baseline sets each carrier to the average of the patches assigned to that group:</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c[j]^mean=(1/m[j])Σ[i∈G[j]]p[i], m[j]=|G[j]|.</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(6)</w:t>
            </w:r>
          </w:p>
        </w:tc>
      </w:tr>
    </w:tbl>
    <w:p>
      <w:pPr>
        <w:spacing w:after="100" w:line="259" w:lineRule="auto"/>
      </w:pPr>
      <w:r>
        <w:rPr>
          <w:rFonts w:ascii="Times New Roman" w:hAnsi="Times New Roman"/>
          <w:i w:val="0"/>
          <w:color w:val="202A32"/>
          <w:sz w:val="20"/>
        </w:rPr>
        <w:t xml:space="preserve">The residual matrix E=P−SC is the difference between the original and reconstructed patch features. </w:t>
      </w:r>
      <w:r>
        <w:rPr>
          <w:rFonts w:ascii="Times New Roman" w:hAnsi="Times New Roman"/>
          <w:b/>
          <w:color w:val="202A32"/>
          <w:sz w:val="20"/>
        </w:rPr>
        <w:t>Low-rank operator approximation.</w:t>
      </w:r>
      <w:r>
        <w:rPr>
          <w:rFonts w:ascii="Times New Roman" w:hAnsi="Times New Roman"/>
          <w:i w:val="0"/>
          <w:color w:val="202A32"/>
          <w:sz w:val="20"/>
        </w:rPr>
        <w:t xml:space="preserve"> The full-J oracle uses J_s=J_{ℓ→L}; for a rank-r approximation, the solver instead uses J_s=U_rᵀJ_{ℓ→L}, where U_r contains the leading left singular vectors. In either case, the solver minimizes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C^*=arg min[C] ||J[s] rvec(P−SC)||[2]^2 + λ||P−SC||[F]^2.</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(7)</w:t>
            </w:r>
          </w:p>
        </w:tc>
      </w:tr>
    </w:tbl>
    <w:p>
      <w:pPr>
        <w:spacing w:after="100" w:line="259" w:lineRule="auto"/>
      </w:pPr>
      <w:r>
        <w:rPr>
          <w:rFonts w:ascii="Times New Roman" w:hAnsi="Times New Roman"/>
          <w:i w:val="0"/>
          <w:color w:val="202A32"/>
          <w:sz w:val="20"/>
        </w:rPr>
        <w:t>The first term penalizes the readout change predicted by the selected operator, while the second is a trace-scaled Tikhonov penalty. Let d_s be the row dimension of J_s (d_z for the full operator and r for a rank-r solve), and let (J_s)_i be its D-column block for patch i. The solver constructs the readout-space Gram matrix and regularization scale</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K[j]=Σ[i∈G[j]](J[s])[i], H[J]=Σ[j=1]^B(1/m[j])K[j]K[j]^T,</m:t>
              </m:r>
            </m:oMath>
          </w:p>
          <w:p>
            <w:pPr>
              <w:keepLines/>
              <w:spacing w:before="0" w:after="0" w:line="240" w:lineRule="auto"/>
              <w:jc w:val="center"/>
            </w:pPr>
            <m:oMath>
              <m:r>
                <m:t xml:space="preserve">λ=10*tr(H[J])/d[s].</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(8)</w:t>
            </w:r>
          </w:p>
        </w:tc>
      </w:tr>
    </w:tbl>
    <w:p>
      <w:pPr>
        <w:spacing w:after="100" w:line="259" w:lineRule="auto"/>
      </w:pPr>
      <w:r>
        <w:rPr>
          <w:rFonts w:ascii="Times New Roman" w:hAnsi="Times New Roman"/>
          <w:i w:val="0"/>
          <w:color w:val="202A32"/>
          <w:sz w:val="20"/>
        </w:rPr>
        <w:t>H_J is a positive-semidefinite Gram matrix of grouped Jacobian blocks, not a feature-activation covariance. It is distinct from the centered calibration-activation covariance that defines PCA directions. The per-image closed-form carrier update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r[mean]=J[s] rvec(E[mean]),</m:t>
              </m:r>
            </m:oMath>
          </w:p>
          <w:p>
            <w:pPr>
              <w:keepLines/>
              <w:spacing w:before="0" w:after="0" w:line="240" w:lineRule="auto"/>
              <w:jc w:val="center"/>
            </w:pPr>
            <m:oMath>
              <m:r>
                <m:t xml:space="preserve">c[j]^*=c[j]^mean+(1/m[j])K[j]^T(H[J]+λI[d[s]])^-1r[mean].</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(9)</w:t>
            </w:r>
          </w:p>
        </w:tc>
      </w:tr>
    </w:tbl>
    <w:p>
      <w:pPr>
        <w:spacing w:after="100" w:line="259" w:lineRule="auto"/>
      </w:pPr>
      <w:r>
        <w:rPr>
          <w:rFonts w:ascii="Times New Roman" w:hAnsi="Times New Roman"/>
          <w:i w:val="0"/>
          <w:color w:val="202A32"/>
          <w:sz w:val="20"/>
        </w:rP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pPr>
        <w:spacing w:after="100" w:line="259" w:lineRule="auto"/>
      </w:pPr>
      <w:r>
        <w:rPr>
          <w:rFonts w:ascii="Times New Roman" w:hAnsi="Times New Roman"/>
          <w:i w:val="0"/>
          <w:color w:val="202A32"/>
          <w:sz w:val="20"/>
        </w:rPr>
        <w:t>Each compressed key also carries the number s_t of original tokens represented by that key. With T=B+1 compressed tokens and d_h dimensions per head, the compressed attention adds log multiplicity to each key's attention logit:</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r>
                <m:t xml:space="preserve">A^(h)=softmax[key](Q^(h)K^(h)^T/sqrt(d[h])+1[T](log s)^T), s[0]=1,</m:t>
              </m:r>
            </m:oMath>
          </w:p>
          <w:p>
            <w:pPr>
              <w:keepLines/>
              <w:spacing w:before="0" w:after="0" w:line="240" w:lineRule="auto"/>
              <w:jc w:val="center"/>
            </w:pPr>
            <m:oMath>
              <m:r>
                <m:t xml:space="preserve">s[j]=m[j].</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(10)</w:t>
            </w:r>
          </w:p>
        </w:tc>
      </w:tr>
    </w:tbl>
    <w:p>
      <w:pPr>
        <w:spacing w:after="100" w:line="259" w:lineRule="auto"/>
      </w:pPr>
      <w:r>
        <w:rPr>
          <w:rFonts w:ascii="Times New Roman" w:hAnsi="Times New Roman"/>
          <w:i w:val="0"/>
          <w:color w:val="202A32"/>
          <w:sz w:val="20"/>
        </w:rPr>
        <w:t xml:space="preserve">The vector s includes multiplicity one for the class token and m_j=|G_j| for patch carriers; 1_T broadcasts the log-size bias over query positions. This proportional-attention correction is used in Token Merging (ToMe) to account for merged-token size </w:t>
      </w:r>
      <w:r>
        <w:rPr>
          <w:rFonts w:ascii="Times New Roman" w:hAnsi="Times New Roman"/>
          <w:color w:val="202A32"/>
          <w:sz w:val="20"/>
        </w:rPr>
        <w:t>[13]</w:t>
      </w:r>
      <w:r>
        <w:rPr>
          <w:rFonts w:ascii="Times New Roman" w:hAnsi="Times New Roman"/>
          <w:i w:val="0"/>
          <w:color w:val="202A32"/>
          <w:sz w:val="20"/>
        </w:rPr>
        <w:t>. The implementation applies the same key bias in each compressed downstream attention block.</w:t>
      </w:r>
    </w:p>
    <w:p>
      <w:pPr>
        <w:pStyle w:val="Heading2"/>
        <w:keepNext/>
      </w:pPr>
      <w:r>
        <w:rPr>
          <w:rFonts w:ascii="Times New Roman" w:hAnsi="Times New Roman"/>
          <w:b/>
          <w:color w:val="000000"/>
          <w:sz w:val="23"/>
        </w:rPr>
        <w:t>6.2 Confirmatory Compression Results</w:t>
      </w:r>
    </w:p>
    <w:p>
      <w:pPr>
        <w:spacing w:after="100" w:line="259" w:lineRule="auto"/>
      </w:pPr>
      <w:r>
        <w:rPr>
          <w:rFonts w:ascii="Times New Roman" w:hAnsi="Times New Roman"/>
          <w:i w:val="0"/>
          <w:color w:val="202A32"/>
          <w:sz w:val="20"/>
        </w:rPr>
        <w:t>Strict confirmatory compression uses N=1,000 held-out images per architecture. At each architecture’s most aggressive tested token budget, Table II reports the exact Top-1 comparison among the best pruning baseline, Group Mean, ToMe, the full-J oracle, and its rank-16 and rank-32 approximations. The selected budgets differ by architecture (32 retained tokens for DeiT-Tiny, DeiT-Small, and ViT-B/16 AugReg; 42 for DINOv2 ViT-S/14), so the rows are within-architecture comparisons rather than a matched token-count experiment. Fig. 7 presents the full accuracy-token curves.</w:t>
      </w:r>
    </w:p>
    <w:p>
      <w:pPr>
        <w:spacing w:after="100" w:line="259" w:lineRule="auto"/>
      </w:pPr>
      <w:r>
        <w:rPr>
          <w:rFonts w:ascii="Times New Roman" w:hAnsi="Times New Roman"/>
          <w:i w:val="0"/>
          <w:color w:val="202A32"/>
          <w:sz w:val="20"/>
        </w:rPr>
        <w:t>TABLE II</w:t>
      </w:r>
    </w:p>
    <w:p>
      <w:pPr>
        <w:spacing w:after="100" w:line="259" w:lineRule="auto"/>
      </w:pPr>
      <w:r>
        <w:rPr>
          <w:rFonts w:ascii="Times New Roman" w:hAnsi="Times New Roman"/>
          <w:i w:val="0"/>
          <w:color w:val="202A32"/>
          <w:sz w:val="20"/>
        </w:rPr>
        <w:t>STRICT CONFIRMATORY TOP-1 ACCURACY AT THE MOST AGGRESSIVE TESTED BUDGET</w:t>
      </w:r>
    </w:p>
    <w:tbl>
      <w:tblPr>
        <w:tblStyle w:val="TableGrid"/>
        <w:tblW w:type="auto" w:w="0"/>
        <w:tblLayout w:type="autofit"/>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Best pruning baseline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ToMe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Full-J oracle</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Rank-16</w:t>
            </w:r>
          </w:p>
        </w:tc>
        <w:tc>
          <w:tcPr>
            <w:tcW w:type="dxa" w:w="124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Rank-32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58.6%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67.1%</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67.9%</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Attention, 71.6%</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75.8%</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69.2%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73.7%</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74.2%</w:t>
            </w:r>
          </w:p>
        </w:tc>
      </w:tr>
      <w:tr>
        <w:tc>
          <w:tcPr>
            <w:tcW w:type="dxa" w:w="1249"/>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Random, 61.5%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69.4%</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73.5%</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73.2%</w:t>
            </w:r>
          </w:p>
        </w:tc>
        <w:tc>
          <w:tcPr>
            <w:tcW w:type="dxa" w:w="124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73.0%</w:t>
            </w:r>
          </w:p>
        </w:tc>
      </w:tr>
    </w:tbl>
    <w:p>
      <w:pPr>
        <w:spacing w:after="20"/>
      </w:pPr>
    </w:p>
    <w:p>
      <w:pPr>
        <w:keepLines/>
        <w:spacing w:after="80"/>
        <w:jc w:val="center"/>
      </w:pPr>
      <w:r>
        <w:rPr>
          <w:rFonts w:ascii="Times New Roman" w:hAnsi="Times New Roman"/>
          <w:i/>
          <w:color w:val="4C5963"/>
          <w:sz w:val="17"/>
        </w:rPr>
        <w:t>Table II. Top-1 accuracy on N=1,000 held-out images per architecture. The pruning entry is the strongest among Random, Norm, and Attention Pruning at the listed budget. The architecture-specific budgets are the lowest budgets evaluated in the strict confirmatory sweep.</w:t>
      </w:r>
    </w:p>
    <w:p>
      <w:pPr>
        <w:spacing w:after="100" w:line="259" w:lineRule="auto"/>
      </w:pPr>
      <w:r>
        <w:rPr>
          <w:rFonts w:ascii="Times New Roman" w:hAnsi="Times New Roman"/>
          <w:i w:val="0"/>
          <w:color w:val="202A32"/>
          <w:sz w:val="20"/>
        </w:rPr>
        <w:t>Across 30,000 method/budget/seed condition rows per architecture, the same 1,000 held-out images are reused across conditions. Operator residual ‖J E‖ is associated with measured logit-L2 distortion: per-architecture Pearson r ranges from 0.739 to 0.866, and Spearman ρ ranges from 0.792 to 0.916. These are condition-level associations, not 120,000 independent images. Rank-16 and rank-32 outcomes vary by architecture and budget; the confirmatory data do not support a universal recovery fraction. Fig. 7 reports the measured accuracy-token curves, while Table II lists rank-16 and rank-32 Top-1 at each architecture's most aggressive tested budget.</w:t>
      </w:r>
    </w:p>
    <w:p>
      <w:pPr>
        <w:keepNext/>
        <w:keepLines/>
        <w:spacing w:after="20"/>
        <w:jc w:val="center"/>
      </w:pPr>
      <w:r>
        <w:drawing>
          <wp:inline xmlns:a="http://schemas.openxmlformats.org/drawingml/2006/main" xmlns:pic="http://schemas.openxmlformats.org/drawingml/2006/picture">
            <wp:extent cx="6172200" cy="3663846"/>
            <wp:docPr id="7" name="Picture 7"/>
            <wp:cNvGraphicFramePr>
              <a:graphicFrameLocks noChangeAspect="1"/>
            </wp:cNvGraphicFramePr>
            <a:graphic>
              <a:graphicData uri="http://schemas.openxmlformats.org/drawingml/2006/picture">
                <pic:pic>
                  <pic:nvPicPr>
                    <pic:cNvPr id="0" name="figure7_operator_compression.png"/>
                    <pic:cNvPicPr/>
                  </pic:nvPicPr>
                  <pic:blipFill>
                    <a:blip r:embed="rId15"/>
                    <a:stretch>
                      <a:fillRect/>
                    </a:stretch>
                  </pic:blipFill>
                  <pic:spPr>
                    <a:xfrm>
                      <a:off x="0" y="0"/>
                      <a:ext cx="6172200" cy="3663846"/>
                    </a:xfrm>
                    <a:prstGeom prst="rect"/>
                  </pic:spPr>
                </pic:pic>
              </a:graphicData>
            </a:graphic>
          </wp:inline>
        </w:drawing>
      </w:r>
    </w:p>
    <w:p>
      <w:pPr>
        <w:keepLines/>
        <w:spacing w:after="80"/>
        <w:jc w:val="center"/>
      </w:pPr>
      <w:r>
        <w:rPr>
          <w:rFonts w:ascii="Times New Roman" w:hAnsi="Times New Roman"/>
          <w:i/>
          <w:color w:val="4C5963"/>
          <w:sz w:val="17"/>
        </w:rPr>
        <w:t>Fig. 7. Confirmatory Top-1 accuracy versus retained patch-token fraction for four architectures. Curves show pruning, Group Mean, ToMe, the full-J oracle, and rank-32; rank-16 Top-1 is listed in Table II at the most aggressive tested budget. Each architecture uses N=1,000 held-out images.</w:t>
      </w:r>
    </w:p>
    <w:p>
      <w:pPr>
        <w:pStyle w:val="Heading1"/>
        <w:keepNext/>
      </w:pPr>
      <w:r>
        <w:rPr>
          <w:rFonts w:ascii="Times New Roman" w:hAnsi="Times New Roman"/>
          <w:b/>
          <w:color w:val="000000"/>
          <w:sz w:val="28"/>
        </w:rPr>
        <w:t>7. Limits of Practical Carrier Corrections</w:t>
      </w:r>
    </w:p>
    <w:p>
      <w:pPr>
        <w:pStyle w:val="Heading2"/>
        <w:keepNext/>
      </w:pPr>
      <w:r>
        <w:rPr>
          <w:rFonts w:ascii="Times New Roman" w:hAnsi="Times New Roman"/>
          <w:b/>
          <w:color w:val="000000"/>
          <w:sz w:val="23"/>
        </w:rPr>
        <w:t>7.1 Static Feature-PCA Corrections</w:t>
      </w:r>
    </w:p>
    <w:p>
      <w:pPr>
        <w:spacing w:after="100" w:line="259" w:lineRule="auto"/>
      </w:pPr>
      <w:r>
        <w:rPr>
          <w:rFonts w:ascii="Times New Roman" w:hAnsi="Times New Roman"/>
          <w:i w:val="0"/>
          <w:color w:val="202A32"/>
          <w:sz w:val="20"/>
        </w:rPr>
        <w:t>The separate carrier branch tests whether corrections can be amortized in a compact feature-PCA basis. Here, q is the number of feature directions in the correction basis, extracted from centered calibration patch activations with covariance Σ_{act,ℓ}; these directions are not obtained from the Jacobian. This feature-space covariance is distinct from the readout-space solver Gram matrix H_J in Eq. (8). Separately, calibration uses a low-rank subspace derived from downstream-Jacobian targets to estimate a fixed coefficient vector α, which sets the correction weight along each PCA direction. For held-out classifier evaluation, the basis and coefficients are frozen, and no per-image Jacobian or evaluation-label fitting is used. The operator-space experiment uses N=100 held-out operator-space images and does not measure classification. For DeiT-Small at q=16, static Feature-PCA recovers 54.91% of the restricted-oracle ‖J E‖ gain; this remains linearized operator-space evidence only.</w:t>
      </w:r>
    </w:p>
    <w:p>
      <w:pPr>
        <w:pStyle w:val="Heading2"/>
        <w:keepNext/>
      </w:pPr>
      <w:r>
        <w:rPr>
          <w:rFonts w:ascii="Times New Roman" w:hAnsi="Times New Roman"/>
          <w:b/>
          <w:color w:val="000000"/>
          <w:sz w:val="23"/>
        </w:rPr>
        <w:t>7.2 Classification and Deployment Boundaries</w:t>
      </w:r>
    </w:p>
    <w:p>
      <w:pPr>
        <w:spacing w:after="100" w:line="259" w:lineRule="auto"/>
      </w:pPr>
      <w:r>
        <w:rPr>
          <w:rFonts w:ascii="Times New Roman" w:hAnsi="Times New Roman"/>
          <w:i w:val="0"/>
          <w:color w:val="202A32"/>
          <w:sz w:val="20"/>
        </w:rPr>
        <w:t>The real-final benchmark evaluates actual model predictions on N=1,000 held-out images per architecture. Table III reports the separate real classifier-carrier results at the selected budgets.</w:t>
      </w:r>
    </w:p>
    <w:p>
      <w:pPr>
        <w:spacing w:after="100" w:line="259" w:lineRule="auto"/>
      </w:pPr>
      <w:r>
        <w:rPr>
          <w:rFonts w:ascii="Times New Roman" w:hAnsi="Times New Roman"/>
          <w:i w:val="0"/>
          <w:color w:val="202A32"/>
          <w:sz w:val="20"/>
        </w:rPr>
        <w:t>TABLE III</w:t>
      </w:r>
    </w:p>
    <w:p>
      <w:pPr>
        <w:spacing w:after="100" w:line="259" w:lineRule="auto"/>
      </w:pPr>
      <w:r>
        <w:rPr>
          <w:rFonts w:ascii="Times New Roman" w:hAnsi="Times New Roman"/>
          <w:i w:val="0"/>
          <w:color w:val="202A32"/>
          <w:sz w:val="20"/>
        </w:rPr>
        <w:t>REAL CLASSIFIER-CARRIER COUNTS AT REPORTED BUDGETS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Budget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Hybrid Group Mean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q=16</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Static Feature-PCA, q=32</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98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764/1,000 (76.4%)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763/1,000 (76.3%; −0.1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760/1,000 (76.0%; −0.4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755/1,000 (75.5%)</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740/1,000 (74.0%; −1.5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613/1,000 (61.3%)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568/1,000 (56.8%; −4.5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570/1,000 (57.0%; −4.3 pp)</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49</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712/1,000 (71.2%)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719/1,000 (71.9%; +0.7 pp)</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716/1,000 (71.6%; +0.4 pp)</w:t>
            </w:r>
          </w:p>
        </w:tc>
      </w:tr>
    </w:tbl>
    <w:p>
      <w:pPr>
        <w:spacing w:after="20"/>
      </w:pPr>
    </w:p>
    <w:p>
      <w:pPr>
        <w:keepLines/>
        <w:spacing w:after="80"/>
        <w:jc w:val="center"/>
      </w:pPr>
      <w:r>
        <w:rPr>
          <w:rFonts w:ascii="Times New Roman" w:hAnsi="Times New Roman"/>
          <w:i/>
          <w:color w:val="4C5963"/>
          <w:sz w:val="17"/>
        </w:rPr>
        <w:t>Table III. Correct predictions out of 1,000 held-out images and Top-1 accuracy for the separate real classifier-carrier benchmark. Parenthetical differences are percentage-point (pp) changes from Hybrid Group Mean at the same architecture and budget. This benchmark is distinct from the N=100 operator-space study.</w:t>
      </w:r>
    </w:p>
    <w:p>
      <w:pPr>
        <w:spacing w:after="100" w:line="259" w:lineRule="auto"/>
      </w:pPr>
      <w:r>
        <w:rPr>
          <w:rFonts w:ascii="Times New Roman" w:hAnsi="Times New Roman"/>
          <w:i w:val="0"/>
          <w:color w:val="202A32"/>
          <w:sz w:val="20"/>
        </w:rPr>
        <w:t>Compact Feature-PCA corrections do not consistently improve classification: both DeiT-Small budgets and the aggressive DINOv2 budget are at or below Hybrid Group Mean, while ViT-B/16 AugReg has a limited positive case. Fig. S1 shows the separate full-model throughput boundary; it does not establish a general deployment improvement.</w:t>
      </w:r>
    </w:p>
    <w:p>
      <w:pPr>
        <w:keepNext/>
        <w:keepLines/>
        <w:spacing w:after="20"/>
        <w:jc w:val="center"/>
      </w:pPr>
      <w:r>
        <w:drawing>
          <wp:inline xmlns:a="http://schemas.openxmlformats.org/drawingml/2006/main" xmlns:pic="http://schemas.openxmlformats.org/drawingml/2006/picture">
            <wp:extent cx="6172200" cy="3897608"/>
            <wp:docPr id="8" name="Picture 8"/>
            <wp:cNvGraphicFramePr>
              <a:graphicFrameLocks noChangeAspect="1"/>
            </wp:cNvGraphicFramePr>
            <a:graphic>
              <a:graphicData uri="http://schemas.openxmlformats.org/drawingml/2006/picture">
                <pic:pic>
                  <pic:nvPicPr>
                    <pic:cNvPr id="0" name="figureS1_real_carrier_boundary.png"/>
                    <pic:cNvPicPr/>
                  </pic:nvPicPr>
                  <pic:blipFill>
                    <a:blip r:embed="rId16"/>
                    <a:stretch>
                      <a:fillRect/>
                    </a:stretch>
                  </pic:blipFill>
                  <pic:spPr>
                    <a:xfrm>
                      <a:off x="0" y="0"/>
                      <a:ext cx="6172200" cy="3897608"/>
                    </a:xfrm>
                    <a:prstGeom prst="rect"/>
                  </pic:spPr>
                </pic:pic>
              </a:graphicData>
            </a:graphic>
          </wp:inline>
        </w:drawing>
      </w:r>
    </w:p>
    <w:p>
      <w:pPr>
        <w:keepLines/>
        <w:spacing w:after="80"/>
        <w:jc w:val="center"/>
      </w:pPr>
      <w:r>
        <w:rPr>
          <w:rFonts w:ascii="Times New Roman" w:hAnsi="Times New Roman"/>
          <w:i/>
          <w:color w:val="4C5963"/>
          <w:sz w:val="17"/>
        </w:rPr>
        <w:t>Fig. S1. Real-final classification and full-model throughput at batch size 64; q=16 has a narrow ViT-B/16 AugReg frontier contribution.</w:t>
      </w:r>
    </w:p>
    <w:p>
      <w:pPr>
        <w:spacing w:after="100" w:line="259" w:lineRule="auto"/>
      </w:pPr>
      <w:r>
        <w:rPr>
          <w:rFonts w:ascii="Times New Roman" w:hAnsi="Times New Roman"/>
          <w:i w:val="0"/>
          <w:color w:val="202A32"/>
          <w:sz w:val="20"/>
        </w:rPr>
        <w:t>Selective risk gating is also bounded. Its historical operator-space area under the receiver operating characteristic curve (AUROC) is 0.784 and is exploratory; the calibration-frozen real classifier gate does not consistently improve accuracy (DeiT-Small budget 98: 75.8% versus Hybrid Group Mean 76.4%; DINOv2 budget 42: 58.5% versus Hybrid Group Mean 61.3%). In the measured accuracy-throughput frontier, Clean is non-dominated in several regimes, Group Mean is a practical batched baseline, and static q=16 adds a narrow ViT-B/16 AugReg point at some batch sizes. q=32 and selective q=16 do not establish a general frontier improvement. Full-call measurements are not isolated operator overhead.</w:t>
      </w:r>
    </w:p>
    <w:p>
      <w:pPr>
        <w:spacing w:after="100" w:line="259" w:lineRule="auto"/>
      </w:pPr>
      <w:r>
        <w:rPr>
          <w:rFonts w:ascii="Times New Roman" w:hAnsi="Times New Roman"/>
          <w:i w:val="0"/>
          <w:color w:val="202A32"/>
          <w:sz w:val="20"/>
        </w:rPr>
        <w:t>These results distinguish replaceability from compressibility. Single-token carrier attempts fail; scalar layer prediction does not generalize; a compact shared linear envelope with K≤64 captures little of the tested operator subspace; dynamic alpha prediction fails out of sample; and dynamic operator prediction is costly. Static Feature-PCA may improve linearized operator error without improving Top-1 accuracy, while the selective gate has no general deployment-frontier result. Together, these negative and bounded findings limit the scope for practical carrier-based optimization.</w:t>
      </w:r>
    </w:p>
    <w:p>
      <w:pPr>
        <w:pStyle w:val="Heading1"/>
        <w:keepNext/>
      </w:pPr>
      <w:r>
        <w:rPr>
          <w:rFonts w:ascii="Times New Roman" w:hAnsi="Times New Roman"/>
          <w:b/>
          <w:color w:val="000000"/>
          <w:sz w:val="28"/>
        </w:rPr>
        <w:t>8. Limitations</w:t>
      </w:r>
    </w:p>
    <w:p>
      <w:pPr>
        <w:spacing w:after="100" w:line="259" w:lineRule="auto"/>
      </w:pPr>
      <w:r>
        <w:rPr>
          <w:rFonts w:ascii="Times New Roman" w:hAnsi="Times New Roman"/>
          <w:i w:val="0"/>
          <w:color w:val="202A32"/>
          <w:sz w:val="20"/>
        </w:rPr>
        <w:t>The mechanism studies are finite: N=100 images for the attention causal audit and functional-geometry pilot, N=100 images per model for joint-stream geometry, and N=100 held-out perturbations for multi-block operator prediction. Their conclusions should not be generalized beyond the tested architectures, layers, perturbations, or readouts. Confirmatory results cover four pretrained vision-transformer families and a specific ImageNet validation subset of N=1,000 held-out images per architecture; broader model and task coverage remains untested. The Jacobian objective is a local linearization, and the full-J oracle requires per-image downstream-Jacobian construction. Real carrier classification shows that reducing linearized error is not sufficient for a deployment gain; measured full-call runtime is also specific to the tested hardware, batch sizes, and implementations and does not isolate operator overhead.</w:t>
      </w:r>
    </w:p>
    <w:p>
      <w:pPr>
        <w:pStyle w:val="Heading1"/>
        <w:keepNext/>
      </w:pPr>
      <w:r>
        <w:rPr>
          <w:rFonts w:ascii="Times New Roman" w:hAnsi="Times New Roman"/>
          <w:b/>
          <w:color w:val="000000"/>
          <w:sz w:val="28"/>
        </w:rPr>
        <w:t>9. Conclusion</w:t>
      </w:r>
    </w:p>
    <w:p>
      <w:pPr>
        <w:spacing w:after="100" w:line="259" w:lineRule="auto"/>
      </w:pPr>
      <w:r>
        <w:rPr>
          <w:rFonts w:ascii="Times New Roman" w:hAnsi="Times New Roman"/>
          <w:i w:val="0"/>
          <w:color w:val="202A32"/>
          <w:sz w:val="20"/>
        </w:rPr>
        <w:t>Late patch activations can be replaceable under constrained geometry and diversity, but that property alone does not imply token deletion or practical acceleration. N=100 mechanism audits connect coherent Value-path transmission and downstream subspace rotation to the need for an end-to-end operator. A strict N=1,000-per-architecture evaluation shows that operator-aware token compression improves over pruning and shifts strong-merging frontiers on three of four architectures; rank-16/32 classifier outcomes remain dependent on architecture and token budget. Compact carrier corrections improve operator-space metrics but do not reliably improve classifier accuracy or yield a general measured frontier. This evidence supports a mechanistic result and a bounded constructive compression result, with explicit limits on practical translation.</w:t>
      </w:r>
    </w:p>
    <w:p>
      <w:pPr>
        <w:pStyle w:val="Heading1"/>
        <w:keepNext/>
      </w:pPr>
      <w:r>
        <w:rPr>
          <w:rFonts w:ascii="Times New Roman" w:hAnsi="Times New Roman"/>
          <w:b/>
          <w:color w:val="000000"/>
          <w:sz w:val="28"/>
        </w:rPr>
        <w:t>Reproducibility and Evidence</w:t>
      </w:r>
    </w:p>
    <w:p>
      <w:pPr>
        <w:spacing w:after="100" w:line="259" w:lineRule="auto"/>
      </w:pPr>
      <w:r>
        <w:rPr>
          <w:rFonts w:ascii="Times New Roman" w:hAnsi="Times New Roman"/>
          <w:i w:val="0"/>
          <w:color w:val="202A32"/>
          <w:sz w:val="20"/>
        </w:rPr>
        <w:t>Code and audited data supporting the confirmatory compression and real classifier-carrier benchmarks are available in the [Patch-Content-Fungibility repository](https://github.com/nhatminh-115/Patch-Content-Fungibility).</w:t>
      </w:r>
    </w:p>
    <w:p>
      <w:pPr>
        <w:pStyle w:val="Heading1"/>
      </w:pPr>
      <w:r>
        <w:t>References</w:t>
      </w:r>
    </w:p>
    <w:p>
      <w:pPr>
        <w:spacing w:after="80" w:line="240" w:lineRule="auto"/>
        <w:ind w:left="403" w:hanging="403"/>
      </w:pPr>
      <w:r>
        <w:rPr>
          <w:rFonts w:ascii="Times New Roman" w:hAnsi="Times New Roman"/>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pPr>
        <w:spacing w:after="80" w:line="240" w:lineRule="auto"/>
        <w:ind w:left="403" w:hanging="403"/>
      </w:pPr>
      <w:r>
        <w:rPr>
          <w:rFonts w:ascii="Times New Roman" w:hAnsi="Times New Roman"/>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pPr>
        <w:spacing w:after="80" w:line="240" w:lineRule="auto"/>
        <w:ind w:left="403" w:hanging="403"/>
      </w:pPr>
      <w:r>
        <w:rPr>
          <w:rFonts w:ascii="Times New Roman" w:hAnsi="Times New Roman"/>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pPr>
        <w:spacing w:after="80" w:line="240" w:lineRule="auto"/>
        <w:ind w:left="403" w:hanging="403"/>
      </w:pPr>
      <w:r>
        <w:rPr>
          <w:rFonts w:ascii="Times New Roman" w:hAnsi="Times New Roman"/>
          <w:color w:val="26343D"/>
          <w:sz w:val="17"/>
        </w:rPr>
        <w:t>[4] M. Caron, H. Touvron, I. Misra, H. Jégou, J. Mairal, P. Bojanowski, et al., “Emerging Properties in Self-Supervised Vision Transformers,” in Proc. IEEE/CVF Int. Conf. Comput. Vis., pp. 9650–9660, 2021. DOI: 10.1109/ICCV48922.2021.00951.</w:t>
      </w:r>
    </w:p>
    <w:p>
      <w:pPr>
        <w:spacing w:after="80" w:line="240" w:lineRule="auto"/>
        <w:ind w:left="403" w:hanging="403"/>
      </w:pPr>
      <w:r>
        <w:rPr>
          <w:rFonts w:ascii="Times New Roman" w:hAnsi="Times New Roman"/>
          <w:color w:val="26343D"/>
          <w:sz w:val="17"/>
        </w:rPr>
        <w:t>[5] M. Oquab, T. Darcet, T. Moutakanni, H. Vo, M. Szafraniec, V. Khalidov, et al., “DINOv2: Learning Robust Visual Features without Supervision,” in Transactions on Machine Learning Research, 2024. Available: https://openreview.net/forum?id=a68SUt6zFt.</w:t>
      </w:r>
    </w:p>
    <w:p>
      <w:pPr>
        <w:spacing w:after="80" w:line="240" w:lineRule="auto"/>
        <w:ind w:left="403" w:hanging="403"/>
      </w:pPr>
      <w:r>
        <w:rPr>
          <w:rFonts w:ascii="Times New Roman" w:hAnsi="Times New Roman"/>
          <w:color w:val="26343D"/>
          <w:sz w:val="17"/>
        </w:rPr>
        <w:t>[6] Z. Liu, Y. Lin, Y. Cao, H. Hu, Y. Wei, Z. Zhang, et al., “Swin Transformer: Hierarchical Vision Transformer Using Shifted Windows,” in Proc. IEEE/CVF Int. Conf. Comput. Vis., pp. 10012–10022, 2021. DOI: 10.1109/ICCV48922.2021.00986.</w:t>
      </w:r>
    </w:p>
    <w:p>
      <w:pPr>
        <w:spacing w:after="80" w:line="240" w:lineRule="auto"/>
        <w:ind w:left="403" w:hanging="403"/>
      </w:pPr>
      <w:r>
        <w:rPr>
          <w:rFonts w:ascii="Times New Roman" w:hAnsi="Times New Roman"/>
          <w:color w:val="26343D"/>
          <w:sz w:val="17"/>
        </w:rPr>
        <w:t>[7] K. He, X. Chen, S. Xie, Y. Li, P. Dollár, R. Girshick, “Masked Autoencoders Are Scalable Vision Learners,” in Proc. IEEE/CVF Conf. Comput. Vis. Pattern Recognit., pp. 16000–16009, 2022. DOI: 10.1109/CVPR52688.2022.01553.</w:t>
      </w:r>
    </w:p>
    <w:p>
      <w:pPr>
        <w:spacing w:after="80" w:line="240" w:lineRule="auto"/>
        <w:ind w:left="403" w:hanging="403"/>
      </w:pPr>
      <w:r>
        <w:rPr>
          <w:rFonts w:ascii="Times New Roman" w:hAnsi="Times New Roman"/>
          <w:color w:val="26343D"/>
          <w:sz w:val="17"/>
        </w:rPr>
        <w:t>[8] X. Zhai, A. Kolesnikov, N. Houlsby, L. Beyer, “Scaling Vision Transformers,” in Proc. IEEE/CVF Conf. Comput. Vis. Pattern Recognit., pp. 12104–12113, 2022. DOI: 10.1109/CVPR52688.2022.01179.</w:t>
      </w:r>
    </w:p>
    <w:p>
      <w:pPr>
        <w:spacing w:after="80" w:line="240" w:lineRule="auto"/>
        <w:ind w:left="403" w:hanging="403"/>
      </w:pPr>
      <w:r>
        <w:rPr>
          <w:rFonts w:ascii="Times New Roman" w:hAnsi="Times New Roman"/>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pPr>
        <w:spacing w:after="80" w:line="240" w:lineRule="auto"/>
        <w:ind w:left="403" w:hanging="403"/>
      </w:pPr>
      <w:r>
        <w:rPr>
          <w:rFonts w:ascii="Times New Roman" w:hAnsi="Times New Roman"/>
          <w:color w:val="26343D"/>
          <w:sz w:val="17"/>
        </w:rPr>
        <w:t>[10] T. Darcet, M. Oquab, J. Mairal, P. Bojanowski, “Vision Transformers Need Registers,” in Proc. Int. Conf. Learn. Represent., 2024. Available: https://openreview.net/forum?id=L6T2bA1sJN.</w:t>
      </w:r>
    </w:p>
    <w:p>
      <w:pPr>
        <w:spacing w:after="80" w:line="240" w:lineRule="auto"/>
        <w:ind w:left="403" w:hanging="403"/>
      </w:pPr>
      <w:r>
        <w:rPr>
          <w:rFonts w:ascii="Times New Roman" w:hAnsi="Times New Roman"/>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pPr>
        <w:spacing w:after="80" w:line="240" w:lineRule="auto"/>
        <w:ind w:left="403" w:hanging="403"/>
      </w:pPr>
      <w:r>
        <w:rPr>
          <w:rFonts w:ascii="Times New Roman" w:hAnsi="Times New Roman"/>
          <w:color w:val="26343D"/>
          <w:sz w:val="17"/>
        </w:rPr>
        <w:t>[12] Y. Liang, C. Ge, Z. Tong, Y. Song, J. Wang, P. Xie, “Not All Patches Are What You Need: Expediting Vision Transformers via Token Reorganizations,” in Proc. Int. Conf. Learn. Represent., 2022. Available: https://openreview.net/forum?id=I90fplp5b3.</w:t>
      </w:r>
    </w:p>
    <w:p>
      <w:pPr>
        <w:spacing w:after="80" w:line="240" w:lineRule="auto"/>
        <w:ind w:left="403" w:hanging="403"/>
      </w:pPr>
      <w:r>
        <w:rPr>
          <w:rFonts w:ascii="Times New Roman" w:hAnsi="Times New Roman"/>
          <w:color w:val="26343D"/>
          <w:sz w:val="17"/>
        </w:rPr>
        <w:t>[13] D. Bolya, C.-Y. Fu, X. Dai, P. Zhang, C. Feichtenhofer, J. Hoffman, “Token Merging: Your ViT But Faster,” in Proc. Int. Conf. Learn. Represent., 2023. Available: https://openreview.net/forum?id=JroZRaRw7Eu.</w:t>
      </w:r>
    </w:p>
    <w:p>
      <w:pPr>
        <w:spacing w:after="80" w:line="240" w:lineRule="auto"/>
        <w:ind w:left="403" w:hanging="403"/>
      </w:pPr>
      <w:r>
        <w:rPr>
          <w:rFonts w:ascii="Times New Roman" w:hAnsi="Times New Roman"/>
          <w:color w:val="26343D"/>
          <w:sz w:val="17"/>
        </w:rPr>
        <w:t>[14] H. Yin, A. Vahdat, J. M. Alvarez, A. Mallya, J. Kautz, P. Molchanov, “A-ViT: Adaptive Tokens for Efficient Vision Transformer,” in Proc. IEEE/CVF Conf. Comput. Vis. Pattern Recognit., pp. 10809–10818, 2022. DOI: 10.1109/CVPR52688.2022.01054.</w:t>
      </w:r>
    </w:p>
    <w:p>
      <w:pPr>
        <w:spacing w:after="80" w:line="240" w:lineRule="auto"/>
        <w:ind w:left="403" w:hanging="403"/>
      </w:pPr>
      <w:r>
        <w:rPr>
          <w:rFonts w:ascii="Times New Roman" w:hAnsi="Times New Roman"/>
          <w:color w:val="26343D"/>
          <w:sz w:val="17"/>
        </w:rPr>
        <w:t>[15] L. Meng, H. Li, B.-C. Chen, S. Lan, Z. Wu, Y.-G. Jiang, et al., “AdaViT: Adaptive Vision Transformers for Efficient Image Recognition,” in Proc. IEEE/CVF Conf. Comput. Vis. Pattern Recognit., pp. 12309–12318, 2022. DOI: 10.1109/CVPR52688.2022.01199.</w:t>
      </w:r>
    </w:p>
    <w:p>
      <w:pPr>
        <w:spacing w:after="80" w:line="240" w:lineRule="auto"/>
        <w:ind w:left="403" w:hanging="403"/>
      </w:pPr>
      <w:r>
        <w:rPr>
          <w:rFonts w:ascii="Times New Roman" w:hAnsi="Times New Roman"/>
          <w:color w:val="26343D"/>
          <w:sz w:val="17"/>
        </w:rPr>
        <w:t>[16]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pPr>
        <w:spacing w:after="80" w:line="240" w:lineRule="auto"/>
        <w:ind w:left="403" w:hanging="403"/>
      </w:pPr>
      <w:r>
        <w:rPr>
          <w:rFonts w:ascii="Times New Roman" w:hAnsi="Times New Roman"/>
          <w:color w:val="26343D"/>
          <w:sz w:val="17"/>
        </w:rPr>
        <w:t>[17] D. Marin, J.-H. R. Chang, A. Ranjan, A. Prabhu, M. Rastegari, O. Tuzel, “Token Pooling in Vision Transformers for Image Classification,” in Proc. IEEE/CVF Winter Conf. Appl. Comput. Vis., pp. 12–21, 2023. DOI: 10.1109/WACV56688.2023.00010.</w:t>
      </w:r>
    </w:p>
    <w:p>
      <w:pPr>
        <w:spacing w:after="80" w:line="240" w:lineRule="auto"/>
        <w:ind w:left="403" w:hanging="403"/>
      </w:pPr>
      <w:r>
        <w:rPr>
          <w:rFonts w:ascii="Times New Roman" w:hAnsi="Times New Roman"/>
          <w:color w:val="26343D"/>
          <w:sz w:val="17"/>
        </w:rPr>
        <w:t>[18] M. Fayyaz, S. A. Koohpayegani, F. R. Jafari, S. Sengupta, H. R. V. Joze, E. Sommerlade, et al., “Adaptive Token Sampling for Efficient Vision Transformers,” in Computer Vision – ECCV 2022, vol. 13671, pp. 396–414, 2022. DOI: 10.1007/978-3-031-20083-0_24.</w:t>
      </w:r>
    </w:p>
    <w:p>
      <w:pPr>
        <w:spacing w:after="80" w:line="240" w:lineRule="auto"/>
        <w:ind w:left="403" w:hanging="403"/>
      </w:pPr>
      <w:r>
        <w:rPr>
          <w:rFonts w:ascii="Times New Roman" w:hAnsi="Times New Roman"/>
          <w:color w:val="26343D"/>
          <w:sz w:val="17"/>
        </w:rPr>
        <w:t>[19]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pPr>
        <w:spacing w:after="80" w:line="240" w:lineRule="auto"/>
        <w:ind w:left="403" w:hanging="403"/>
      </w:pPr>
      <w:r>
        <w:rPr>
          <w:rFonts w:ascii="Times New Roman" w:hAnsi="Times New Roman"/>
          <w:color w:val="26343D"/>
          <w:sz w:val="17"/>
        </w:rPr>
        <w:t>[20] Y. Liu, C. Matsoukas, F. Strand, H. Azizpour, K. Smith, “PatchDropout: Economizing Vision Transformers Using Patch Dropout,” in Proc. IEEE/CVF Winter Conf. Appl. Comput. Vis., pp. 3953–3962, 2023. DOI: 10.1109/WACV56688.2023.00394.</w:t>
      </w:r>
    </w:p>
    <w:p>
      <w:pPr>
        <w:spacing w:after="80" w:line="240" w:lineRule="auto"/>
        <w:ind w:left="403" w:hanging="403"/>
      </w:pPr>
      <w:r>
        <w:rPr>
          <w:rFonts w:ascii="Times New Roman" w:hAnsi="Times New Roman"/>
          <w:color w:val="26343D"/>
          <w:sz w:val="17"/>
        </w:rPr>
        <w:t>[21] L. Yu, W. Xiang, “X-Pruner: eXplainable Pruning for Vision Transformers,” in Proc. IEEE/CVF Conf. Comput. Vis. Pattern Recognit., pp. 24355–24363, 2023. DOI: 10.1109/CVPR52729.2023.02333.</w:t>
      </w:r>
    </w:p>
    <w:p>
      <w:pPr>
        <w:spacing w:after="80" w:line="240" w:lineRule="auto"/>
        <w:ind w:left="403" w:hanging="403"/>
      </w:pPr>
      <w:r>
        <w:rPr>
          <w:rFonts w:ascii="Times New Roman" w:hAnsi="Times New Roman"/>
          <w:color w:val="26343D"/>
          <w:sz w:val="17"/>
        </w:rPr>
        <w:t>[22] H. Yang, H. Yin, M. Shen, P. Molchanov, H. Li, J. Kautz, “Global Vision Transformer Pruning With Hessian-Aware Saliency,” in Proc. IEEE/CVF Conf. Comput. Vis. Pattern Recognit., pp. 18547–18557, 2023. DOI: 10.1109/CVPR52729.2023.01779.</w:t>
      </w:r>
    </w:p>
    <w:p>
      <w:pPr>
        <w:spacing w:after="80" w:line="240" w:lineRule="auto"/>
        <w:ind w:left="403" w:hanging="403"/>
      </w:pPr>
      <w:r>
        <w:rPr>
          <w:rFonts w:ascii="Times New Roman" w:hAnsi="Times New Roman"/>
          <w:color w:val="26343D"/>
          <w:sz w:val="17"/>
        </w:rPr>
        <w:t>[23] S. Wei, T. Ye, S. Zhang, Y. Tang, J. Liang, “Joint Token Pruning and Squeezing Towards More Aggressive Compression of Vision Transformers,” in Proc. IEEE/CVF Conf. Comput. Vis. Pattern Recognit., pp. 2092–2101, 2023. DOI: 10.1109/CVPR52729.2023.00208.</w:t>
      </w:r>
    </w:p>
    <w:p>
      <w:pPr>
        <w:spacing w:after="80" w:line="240" w:lineRule="auto"/>
        <w:ind w:left="403" w:hanging="403"/>
      </w:pPr>
      <w:r>
        <w:rPr>
          <w:rFonts w:ascii="Times New Roman" w:hAnsi="Times New Roman"/>
          <w:color w:val="26343D"/>
          <w:sz w:val="17"/>
        </w:rPr>
        <w:t>[24] Q. Tang, B. Zhang, J. Liu, F. Liu, Y. Liu, “Dynamic Token Pruning in Plain Vision Transformers for Semantic Segmentation,” in Proc. IEEE/CVF Int. Conf. Comput. Vis., pp. 777–786, 2023. DOI: 10.1109/ICCV51070.2023.00078.</w:t>
      </w:r>
    </w:p>
    <w:p>
      <w:pPr>
        <w:spacing w:after="80" w:line="240" w:lineRule="auto"/>
        <w:ind w:left="403" w:hanging="403"/>
      </w:pPr>
      <w:r>
        <w:rPr>
          <w:rFonts w:ascii="Times New Roman" w:hAnsi="Times New Roman"/>
          <w:color w:val="26343D"/>
          <w:sz w:val="17"/>
        </w:rPr>
        <w:t>[25] Y. Xu, Z. Zhang, M. Zhang, K. Sheng, K. Li, W. Dong, et al., “Evo-ViT: Slow-Fast Token Evolution for Dynamic Vision Transformer,” in Proc. AAAI Conf. Artif. Intell., vol. 36, no. 3, pp. 2964–2972, 2022. DOI: 10.1609/aaai.v36i3.20202.</w:t>
      </w:r>
    </w:p>
    <w:p>
      <w:pPr>
        <w:spacing w:after="80" w:line="240" w:lineRule="auto"/>
        <w:ind w:left="403" w:hanging="403"/>
      </w:pPr>
      <w:r>
        <w:rPr>
          <w:rFonts w:ascii="Times New Roman" w:hAnsi="Times New Roman"/>
          <w:color w:val="26343D"/>
          <w:sz w:val="17"/>
        </w:rPr>
        <w:t>[26] L. Song, S. Zhang, S. Liu, Z. Li, X. He, H. Sun, et al., “Dynamic Grained Encoder for Vision Transformers,” in Advances in Neural Information Processing Systems, vol. 34, 2021. Available: https://proceedings.neurips.cc/paper/2021/hash/2d969e2cee8cfa07ce7ca0bb13c7a36d-Abstract.html.</w:t>
      </w:r>
    </w:p>
    <w:p>
      <w:pPr>
        <w:spacing w:after="80" w:line="240" w:lineRule="auto"/>
        <w:ind w:left="403" w:hanging="403"/>
      </w:pPr>
      <w:r>
        <w:rPr>
          <w:rFonts w:ascii="Times New Roman" w:hAnsi="Times New Roman"/>
          <w:color w:val="26343D"/>
          <w:sz w:val="17"/>
        </w:rPr>
        <w:t>[27] Z. Kong, P. Dong, X. Ma, X. Meng, W. Niu, M. Sun, et al., “SPViT: Enabling Faster Vision Transformers via Latency-Aware Soft Token Pruning,” in Computer Vision – ECCV 2022, vol. 13671, pp. 620–640, 2022. DOI: 10.1007/978-3-031-20083-0_37.</w:t>
      </w:r>
    </w:p>
    <w:p>
      <w:pPr>
        <w:spacing w:after="80" w:line="240" w:lineRule="auto"/>
        <w:ind w:left="403" w:hanging="403"/>
      </w:pPr>
      <w:r>
        <w:rPr>
          <w:rFonts w:ascii="Times New Roman" w:hAnsi="Times New Roman"/>
          <w:color w:val="26343D"/>
          <w:sz w:val="17"/>
        </w:rPr>
        <w:t>[28] Y. Tang, K. Han, Y. Wang, C. Xu, J. Guo, C. Xu, et al., “Patch Slimming for Efficient Vision Transformers,” in Proc. IEEE/CVF Conf. Comput. Vis. Pattern Recognit., pp. 12165–12174, 2022. DOI: 10.1109/CVPR52688.2022.01185.</w:t>
      </w:r>
    </w:p>
    <w:p>
      <w:pPr>
        <w:spacing w:after="80" w:line="240" w:lineRule="auto"/>
        <w:ind w:left="403" w:hanging="403"/>
      </w:pPr>
      <w:r>
        <w:rPr>
          <w:rFonts w:ascii="Times New Roman" w:hAnsi="Times New Roman"/>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pPr>
        <w:spacing w:after="80" w:line="240" w:lineRule="auto"/>
        <w:ind w:left="403" w:hanging="403"/>
      </w:pPr>
      <w:r>
        <w:rPr>
          <w:rFonts w:ascii="Times New Roman" w:hAnsi="Times New Roman"/>
          <w:color w:val="26343D"/>
          <w:sz w:val="17"/>
        </w:rPr>
        <w:t>[30] T. Chen, Y. Cheng, Z. Gan, L. Yuan, L. Zhang, Z. Wang, “Chasing Sparsity in Vision Transformers: An End-to-End Exploration,” in Advances in Neural Information Processing Systems, vol. 34, 2021. Available: https://proceedings.neurips.cc/paper/2021/file/a61f27ab2165df0e18cc9433bd7f27c5-Abstract.html.</w:t>
      </w:r>
    </w:p>
    <w:p>
      <w:pPr>
        <w:spacing w:after="80" w:line="240" w:lineRule="auto"/>
        <w:ind w:left="403" w:hanging="403"/>
      </w:pPr>
      <w:r>
        <w:rPr>
          <w:rFonts w:ascii="Times New Roman" w:hAnsi="Times New Roman"/>
          <w:color w:val="26343D"/>
          <w:sz w:val="17"/>
        </w:rPr>
        <w:t>[31] X. Chen, Z. Liu, H. Tang, L. Yi, H. Zhao, S. Han, “SparseViT: Revisiting Activation Sparsity for Efficient High-Resolution Vision Transformer,” in Proc. IEEE/CVF Conf. Comput. Vis. Pattern Recognit., pp. 2061–2070, 2023. DOI: 10.1109/CVPR52729.2023.00205.</w:t>
      </w:r>
    </w:p>
    <w:p>
      <w:pPr>
        <w:spacing w:after="80" w:line="240" w:lineRule="auto"/>
        <w:ind w:left="403" w:hanging="403"/>
      </w:pPr>
      <w:r>
        <w:rPr>
          <w:rFonts w:ascii="Times New Roman" w:hAnsi="Times New Roman"/>
          <w:color w:val="26343D"/>
          <w:sz w:val="17"/>
        </w:rPr>
        <w:t>[32] C. Zheng, Z. Li, K. Zhang, Z. Yang, W. Tan, J. Xiao, et al., “SAViT: Structure-Aware Vision Transformer Pruning via Collaborative Optimization,” in Advances in Neural Information Processing Systems, vol. 35, pp. 9010–9023, 2022. DOI: 10.52202/068431-0655.</w:t>
      </w:r>
    </w:p>
    <w:p>
      <w:pPr>
        <w:spacing w:after="80" w:line="240" w:lineRule="auto"/>
        <w:ind w:left="403" w:hanging="403"/>
      </w:pPr>
      <w:r>
        <w:rPr>
          <w:rFonts w:ascii="Times New Roman" w:hAnsi="Times New Roman"/>
          <w:color w:val="26343D"/>
          <w:sz w:val="17"/>
        </w:rPr>
        <w:t>[33] Y. LeCun, J. S. Denker, S. A. Solla, “Optimal Brain Damage,” in Advances in Neural Information Processing Systems, vol. 2, pp. 598–605, 1989. Available: https://proceedings.neurips.cc/paper/1989/hash/6c9882bbac1c7093bd25041881277658-Abstract.html.</w:t>
      </w:r>
    </w:p>
    <w:p>
      <w:pPr>
        <w:spacing w:after="80" w:line="240" w:lineRule="auto"/>
        <w:ind w:left="403" w:hanging="403"/>
      </w:pPr>
      <w:r>
        <w:rPr>
          <w:rFonts w:ascii="Times New Roman" w:hAnsi="Times New Roman"/>
          <w:color w:val="26343D"/>
          <w:sz w:val="17"/>
        </w:rPr>
        <w:t>[34] B. Hassibi, D. G. Stork, “Optimal Brain Surgeon and general network pruning,” in Proceedings of the IEEE Proc. IEEE Int. Conf. Neural Netw., vol. 1, pp. 293–299, 1993. DOI: 10.1109/ICNN.1993.298572.</w:t>
      </w:r>
    </w:p>
    <w:p>
      <w:pPr>
        <w:spacing w:after="80" w:line="240" w:lineRule="auto"/>
        <w:ind w:left="403" w:hanging="403"/>
      </w:pPr>
      <w:r>
        <w:rPr>
          <w:rFonts w:ascii="Times New Roman" w:hAnsi="Times New Roman"/>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https://proceedings.neurips.cc/paper/2015/hash/ae0eb3eed39d2bcef4622b2499a05fe6-Abstract.html.</w:t>
      </w:r>
    </w:p>
    <w:p>
      <w:pPr>
        <w:spacing w:after="80" w:line="240" w:lineRule="auto"/>
        <w:ind w:left="403" w:hanging="403"/>
      </w:pPr>
      <w:r>
        <w:rPr>
          <w:rFonts w:ascii="Times New Roman" w:hAnsi="Times New Roman"/>
          <w:color w:val="26343D"/>
          <w:sz w:val="17"/>
        </w:rPr>
        <w:t>[36] P. Molchanov, S. Tyree, T. Karras, T. Aila, J. Kautz, “Pruning Convolutional Neural Networks for Resource Efficient Inference,” in Proc. Int. Conf. Learn. Represent., 2017. Available: https://openreview.net/forum?id=SJGCiw5gl.</w:t>
      </w:r>
    </w:p>
    <w:p>
      <w:pPr>
        <w:spacing w:after="80" w:line="240" w:lineRule="auto"/>
        <w:ind w:left="403" w:hanging="403"/>
      </w:pPr>
      <w:r>
        <w:rPr>
          <w:rFonts w:ascii="Times New Roman" w:hAnsi="Times New Roman"/>
          <w:color w:val="26343D"/>
          <w:sz w:val="17"/>
        </w:rPr>
        <w:t>[37] J. Frankle, M. Carbin, “The Lottery Ticket Hypothesis: Finding Sparse, Trainable Neural Networks,” in Proc. Int. Conf. Learn. Represent., 2019. Available: https://openreview.net/forum?id=rJl-b3RcF7.</w:t>
      </w:r>
    </w:p>
    <w:p>
      <w:pPr>
        <w:spacing w:after="80" w:line="240" w:lineRule="auto"/>
        <w:ind w:left="403" w:hanging="403"/>
      </w:pPr>
      <w:r>
        <w:rPr>
          <w:rFonts w:ascii="Times New Roman" w:hAnsi="Times New Roman"/>
          <w:color w:val="26343D"/>
          <w:sz w:val="17"/>
        </w:rPr>
        <w:t>[38] V. Sanh, T. Wolf, A. M. Rush, “Movement Pruning: Adaptive Sparsity by Fine-Tuning,” in Advances in Neural Information Processing Systems, vol. 33, pp. 20378–20389, 2020. Available: https://proceedings.neurips.cc/paper/2020/hash/eae15aabaa768ae4a5993a8a4f4fa6e4-Abstract.html.</w:t>
      </w:r>
    </w:p>
    <w:p>
      <w:pPr>
        <w:spacing w:after="80" w:line="240" w:lineRule="auto"/>
        <w:ind w:left="403" w:hanging="403"/>
      </w:pPr>
      <w:r>
        <w:rPr>
          <w:rFonts w:ascii="Times New Roman" w:hAnsi="Times New Roman"/>
          <w:color w:val="26343D"/>
          <w:sz w:val="17"/>
        </w:rPr>
        <w:t>[39] E. Frantar, D. Alistarh, “SparseGPT: Massive Language Models Can Be Accurately Pruned in One-Shot,” in Proc. 40th Int. Conf. Mach. Learn., vol. 202, pp. 10323–10337, 2023. Available: https://proceedings.mlr.press/v202/frantar23a.html.</w:t>
      </w:r>
    </w:p>
    <w:p>
      <w:pPr>
        <w:spacing w:after="80" w:line="240" w:lineRule="auto"/>
        <w:ind w:left="403" w:hanging="403"/>
      </w:pPr>
      <w:r>
        <w:rPr>
          <w:rFonts w:ascii="Times New Roman" w:hAnsi="Times New Roman"/>
          <w:color w:val="26343D"/>
          <w:sz w:val="17"/>
        </w:rPr>
        <w:t>[40] M. Sun, Z. Liu, A. Bair, J. Z. Kolter, “A Simple and Effective Pruning Approach for Large Language Models,” in Proc. Int. Conf. Learn. Represent., 2024. Available: https://openreview.net/forum?id=PxoFut3dWW.</w:t>
      </w:r>
    </w:p>
    <w:p>
      <w:pPr>
        <w:spacing w:after="80" w:line="240" w:lineRule="auto"/>
        <w:ind w:left="403" w:hanging="403"/>
      </w:pPr>
      <w:r>
        <w:rPr>
          <w:rFonts w:ascii="Times New Roman" w:hAnsi="Times New Roman"/>
          <w:color w:val="26343D"/>
          <w:sz w:val="17"/>
        </w:rPr>
        <w:t>[41] S. Ashkboos, M. L. Croci, M. Gennari do Nascimento, T. Hoefler, J. Hensman, “SliceGPT: Compress Large Language Models by Deleting Rows and Columns,” in Proc. Int. Conf. Learn. Represent., 2024. Available: https://openreview.net/forum?id=vXxardq6db.</w:t>
      </w:r>
    </w:p>
    <w:p>
      <w:pPr>
        <w:spacing w:after="80" w:line="240" w:lineRule="auto"/>
        <w:ind w:left="403" w:hanging="403"/>
      </w:pPr>
      <w:r>
        <w:rPr>
          <w:rFonts w:ascii="Times New Roman" w:hAnsi="Times New Roman"/>
          <w:color w:val="26343D"/>
          <w:sz w:val="17"/>
        </w:rPr>
        <w:t>[42]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pPr>
        <w:spacing w:after="80" w:line="240" w:lineRule="auto"/>
        <w:ind w:left="403" w:hanging="403"/>
      </w:pPr>
      <w:r>
        <w:rPr>
          <w:rFonts w:ascii="Times New Roman" w:hAnsi="Times New Roman"/>
          <w:color w:val="26343D"/>
          <w:sz w:val="17"/>
        </w:rPr>
        <w:t>[43] S. Jain, B. C. Wallace, “Attention Is Not Explanation,” in Proceedings of the 2019 Conference of the North American Chapter of the Association for Computational Linguistics: Human Language Technologies, pp. 3543–3556, 2019. DOI: 10.18653/v1/N19-1357.</w:t>
      </w:r>
    </w:p>
    <w:p>
      <w:pPr>
        <w:spacing w:after="80" w:line="240" w:lineRule="auto"/>
        <w:ind w:left="403" w:hanging="403"/>
      </w:pPr>
      <w:r>
        <w:rPr>
          <w:rFonts w:ascii="Times New Roman" w:hAnsi="Times New Roman"/>
          <w:color w:val="26343D"/>
          <w:sz w:val="17"/>
        </w:rPr>
        <w:t>[44] S. Serrano, N. A. Smith, “Is Attention Interpretable?,” in Proceedings of the 57th Annual Meeting of the Association for Computational Linguistics, pp. 2931–2951, 2019. DOI: 10.18653/v1/P19-1282.</w:t>
      </w:r>
    </w:p>
    <w:p>
      <w:pPr>
        <w:spacing w:after="80" w:line="240" w:lineRule="auto"/>
        <w:ind w:left="403" w:hanging="403"/>
      </w:pPr>
      <w:r>
        <w:rPr>
          <w:rFonts w:ascii="Times New Roman" w:hAnsi="Times New Roman"/>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10.18653/v1/D19-1002.</w:t>
      </w:r>
    </w:p>
    <w:p>
      <w:pPr>
        <w:spacing w:after="80" w:line="240" w:lineRule="auto"/>
        <w:ind w:left="403" w:hanging="403"/>
      </w:pPr>
      <w:r>
        <w:rPr>
          <w:rFonts w:ascii="Times New Roman" w:hAnsi="Times New Roman"/>
          <w:color w:val="26343D"/>
          <w:sz w:val="17"/>
        </w:rPr>
        <w:t>[46] S. Abnar, W. Zuidema, “Quantifying Attention Flow in Transformers,” in Proceedings of the 58th Annual Meeting of the Association for Computational Linguistics, pp. 4190–4197, 2020. DOI: 10.18653/v1/2020.acl-main.385.</w:t>
      </w:r>
    </w:p>
    <w:p>
      <w:pPr>
        <w:spacing w:after="80" w:line="240" w:lineRule="auto"/>
        <w:ind w:left="403" w:hanging="403"/>
      </w:pPr>
      <w:r>
        <w:rPr>
          <w:rFonts w:ascii="Times New Roman" w:hAnsi="Times New Roman"/>
          <w:color w:val="26343D"/>
          <w:sz w:val="17"/>
        </w:rPr>
        <w:t>[47] M. Sundararajan, A. Taly, Q. Yan, “Axiomatic Attribution for Deep Networks,” in Proc. 34th Int. Conf. Mach. Learn., vol. 70, pp. 3319–3328, 2017. Available: https://proceedings.mlr.press/v70/sundararajan17a.html.</w:t>
      </w:r>
    </w:p>
    <w:p>
      <w:pPr>
        <w:spacing w:after="80" w:line="240" w:lineRule="auto"/>
        <w:ind w:left="403" w:hanging="403"/>
      </w:pPr>
      <w:r>
        <w:rPr>
          <w:rFonts w:ascii="Times New Roman" w:hAnsi="Times New Roman"/>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https://proceedings.neurips.cc/paper/2018/hash/294a8ed24b1ad22ec2e7efea049b8737-Abstract.html.</w:t>
      </w:r>
    </w:p>
    <w:p>
      <w:pPr>
        <w:spacing w:after="80" w:line="240" w:lineRule="auto"/>
        <w:ind w:left="403" w:hanging="403"/>
      </w:pPr>
      <w:r>
        <w:rPr>
          <w:rFonts w:ascii="Times New Roman" w:hAnsi="Times New Roman"/>
          <w:color w:val="26343D"/>
          <w:sz w:val="17"/>
        </w:rPr>
        <w:t>[49] H. Chefer, S. Gur, L. Wolf, “Transformer Interpretability Beyond Attention Visualization,” in Proc. IEEE/CVF Conf. Comput. Vis. Pattern Recognit., pp. 782–791, 2021. DOI: 10.1109/CVPR46437.2021.00084.</w:t>
      </w:r>
    </w:p>
    <w:p>
      <w:pPr>
        <w:spacing w:after="80" w:line="240" w:lineRule="auto"/>
        <w:ind w:left="403" w:hanging="403"/>
      </w:pPr>
      <w:r>
        <w:rPr>
          <w:rFonts w:ascii="Times New Roman" w:hAnsi="Times New Roman"/>
          <w:color w:val="26343D"/>
          <w:sz w:val="17"/>
        </w:rPr>
        <w:t>[50] A. Geiger, Z. Wu, C. Potts, T. Icard, N. Goodman, “Inducing Causal Structure for Interpretable Neural Networks,” in Proc. 39th Int. Conf. Mach. Learn., vol. 162, pp. 7324–7338, 2022. Available: https://proceedings.mlr.press/v162/geiger22a.html.</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