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202BB" w14:textId="77777777" w:rsidR="001E5BD3" w:rsidRDefault="00000000">
      <w:pPr>
        <w:pStyle w:val="Title"/>
        <w:spacing w:after="160"/>
      </w:pPr>
      <w:r>
        <w:rPr>
          <w:rFonts w:ascii="Times New Roman" w:hAnsi="Times New Roman"/>
          <w:b/>
        </w:rPr>
        <w:t>Patch-Content Fungibility: Geometry, Functional Transmission, and Operator-Aware Token Compression</w:t>
      </w:r>
    </w:p>
    <w:p w14:paraId="331FB0A0" w14:textId="77777777" w:rsidR="001E5BD3" w:rsidRDefault="00000000">
      <w:pPr>
        <w:spacing w:after="100" w:line="259" w:lineRule="auto"/>
      </w:pPr>
      <w:r>
        <w:t>Anonymous Authors</w:t>
      </w:r>
    </w:p>
    <w:p w14:paraId="61C7CB28" w14:textId="77777777" w:rsidR="001E5BD3" w:rsidRDefault="00000000">
      <w:pPr>
        <w:spacing w:after="100" w:line="259" w:lineRule="auto"/>
      </w:pPr>
      <w:r>
        <w:t>Under review</w:t>
      </w:r>
    </w:p>
    <w:p w14:paraId="48C99FFD" w14:textId="77777777" w:rsidR="001E5BD3" w:rsidRDefault="00000000">
      <w:pPr>
        <w:pStyle w:val="Heading1"/>
      </w:pPr>
      <w:r>
        <w:rPr>
          <w:rFonts w:ascii="Times New Roman" w:hAnsi="Times New Roman"/>
        </w:rPr>
        <w:t>Abstract</w:t>
      </w:r>
    </w:p>
    <w:p w14:paraId="7A0B7A4F" w14:textId="77777777" w:rsidR="001E5BD3" w:rsidRDefault="00000000">
      <w:pPr>
        <w:spacing w:after="100" w:line="259" w:lineRule="auto"/>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functional sensitivity, coherent accumulation and sign-dependent cancellation through the attention Value path, and declining normalized effective rank across all four tested models; near-null expansion at the primary threshold is evident in three models but small in DINOv2.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25601AE4" w14:textId="77777777" w:rsidR="001E5BD3" w:rsidRDefault="00000000">
      <w:pPr>
        <w:pStyle w:val="Heading1"/>
      </w:pPr>
      <w:r>
        <w:rPr>
          <w:rFonts w:ascii="Times New Roman" w:hAnsi="Times New Roman"/>
        </w:rPr>
        <w:t>1. Introduction</w:t>
      </w:r>
    </w:p>
    <w:p w14:paraId="72F46FC5" w14:textId="77777777" w:rsidR="001E5BD3" w:rsidRDefault="00000000">
      <w:pPr>
        <w:spacing w:after="100" w:line="259" w:lineRule="auto"/>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2670DBB1" w14:textId="77777777" w:rsidR="001E5BD3" w:rsidRDefault="00000000">
      <w:pPr>
        <w:spacing w:after="100" w:line="259" w:lineRule="auto"/>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52A8EA58" w14:textId="77777777" w:rsidR="001E5BD3" w:rsidRDefault="00000000">
      <w:pPr>
        <w:keepNext/>
        <w:keepLines/>
        <w:spacing w:after="20"/>
        <w:jc w:val="center"/>
      </w:pPr>
      <w:r>
        <w:rPr>
          <w:noProof/>
        </w:rPr>
        <w:lastRenderedPageBreak/>
        <w:drawing>
          <wp:inline distT="0" distB="0" distL="0" distR="0" wp14:anchorId="7728188D" wp14:editId="5842C80A">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8"/>
                    <a:stretch>
                      <a:fillRect/>
                    </a:stretch>
                  </pic:blipFill>
                  <pic:spPr>
                    <a:xfrm>
                      <a:off x="0" y="0"/>
                      <a:ext cx="6172200" cy="3537155"/>
                    </a:xfrm>
                    <a:prstGeom prst="rect">
                      <a:avLst/>
                    </a:prstGeom>
                  </pic:spPr>
                </pic:pic>
              </a:graphicData>
            </a:graphic>
          </wp:inline>
        </w:drawing>
      </w:r>
    </w:p>
    <w:p w14:paraId="35331207" w14:textId="77777777" w:rsidR="001E5BD3" w:rsidRDefault="00000000">
      <w:pPr>
        <w:keepLines/>
        <w:spacing w:after="80"/>
        <w:jc w:val="center"/>
      </w:pPr>
      <w:r>
        <w:rPr>
          <w:i/>
          <w:color w:val="4C5963"/>
          <w:sz w:val="17"/>
        </w:rPr>
        <w:t>Figure 1. Fixed-slot late-layer patch-content substitution (a), geometric and diversity constraints (b), and anisotropic sensitivity with Value-path cancellation (c).</w:t>
      </w:r>
    </w:p>
    <w:p w14:paraId="03476B24" w14:textId="77777777" w:rsidR="001E5BD3" w:rsidRDefault="00000000">
      <w:pPr>
        <w:spacing w:after="100" w:line="259" w:lineRule="auto"/>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65E5FA53" w14:textId="77777777" w:rsidR="001E5BD3" w:rsidRDefault="00000000">
      <w:pPr>
        <w:pStyle w:val="Heading1"/>
      </w:pPr>
      <w:r>
        <w:rPr>
          <w:rFonts w:ascii="Times New Roman" w:hAnsi="Times New Roman"/>
        </w:rPr>
        <w:t>2. Related Work</w:t>
      </w:r>
    </w:p>
    <w:p w14:paraId="42C12F7A" w14:textId="77777777" w:rsidR="001E5BD3" w:rsidRDefault="00000000">
      <w:pPr>
        <w:spacing w:after="100" w:line="259" w:lineRule="auto"/>
      </w:pPr>
      <w:r>
        <w:t>Token-reduction methods change the sequence or the computation applied to it. DynamicViT and Expediting Vision Transformers via Token Reorganizations (EViT) score or reorganize tokens [11], [12]; Token Merging (ToMe) combines similar tokens [13]; A-ViT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Interpretability-Aware Redundancy Reduction (IA-RED</w:t>
      </w:r>
      <w:r>
        <w:rPr>
          <w:vertAlign w:val="superscript"/>
        </w:rPr>
        <w:t>2</w:t>
      </w:r>
      <w:r>
        <w:t>) select tokens using sampling or redundancy criteria [18], [19]. Other approaches include PatchDropout, X-Pruner, and global structural pruning [20]–[22]; joint pruning and squeezing [23]; and early-exit pruning for dense prediction [24]. Evo-ViT, Dynamic Grained Encoder, and SPViT adapt token computation or selection [25]–[27], while Patch Slimming, Dynamic Transformers, end-to-end sparsity, activation sparsity, and structure-aware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08472654" w14:textId="77777777" w:rsidR="001E5BD3" w:rsidRDefault="00000000">
      <w:pPr>
        <w:spacing w:after="100" w:line="259" w:lineRule="auto"/>
      </w:pPr>
      <w:r>
        <w:t>Compression by weight or structure pruning has a longer history. Optimal Brain Damage and Optimal Brain Surgeon use sensitivity-based approximations to remove parameters [33], [34]. Later work studies connection pruning, resource-aware pruning, sparse trainable subnetworks, and movement-based pruning [35]–[38]. SparseGPT and Wanda study one-shot pruning of large language models (LLMs), while SliceGPT removes dimensions. Singular value decomposition (SVD) is also used for large-language-model compression in the published SVD-LLM method, which applies a truncation-aware variant [39]–[42]. PCF complements these methods by using the downstream pre-classifier readout Jacobian to evaluate and optimize fixed-slot patch carriers while preserving the token sequence structure.</w:t>
      </w:r>
    </w:p>
    <w:p w14:paraId="2C96112D" w14:textId="77777777" w:rsidR="001E5BD3" w:rsidRDefault="00000000">
      <w:pPr>
        <w:spacing w:after="100" w:line="259" w:lineRule="auto"/>
      </w:pPr>
      <w:r>
        <w:t xml:space="preserve">Interpretability research cautions that attention weights alone need not explain a model’s decision. Controlled studies examine whether attention is explanation and how explanation changes under interventions [43]–[45]. Attention flow, Integrated Gradients, saliency-map sanity checks, and transformer-specific relevance propagation provide complementary </w:t>
      </w:r>
      <w:r>
        <w:lastRenderedPageBreak/>
        <w:t>methods for tracing or attributing model behavior [46]–[49]. Causal abstraction offers a framework for connecting interventions to model-level causal structure [50]. Our evidence uses direct activation interventions and held-out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141DA8B8" w14:textId="77777777" w:rsidR="001E5BD3" w:rsidRDefault="00000000">
      <w:pPr>
        <w:pStyle w:val="Heading1"/>
      </w:pPr>
      <w:r>
        <w:rPr>
          <w:rFonts w:ascii="Times New Roman" w:hAnsi="Times New Roman"/>
        </w:rPr>
        <w:t>3. Experimental Setup and Interventions</w:t>
      </w:r>
    </w:p>
    <w:p w14:paraId="50DE4541" w14:textId="77777777" w:rsidR="001E5BD3" w:rsidRDefault="00000000">
      <w:pPr>
        <w:spacing w:after="100" w:line="259" w:lineRule="auto"/>
      </w:pPr>
      <w:r>
        <w:t>Image-based studies use frozen pretrained models on ImageNet-1k validation data. Calibration and evaluation sets are disjoint, and calibration-derived moments, prototypes, and replacement quantities are estimated using calibration data only. N denotes the sampling unit shown in Table I; image, operator-space, and perturbation cohorts remain distinct and are never pooled.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w:t>
      </w:r>
    </w:p>
    <w:p w14:paraId="7A13A11B" w14:textId="77777777" w:rsidR="001E5BD3" w:rsidRDefault="00000000">
      <w:pPr>
        <w:spacing w:after="100" w:line="259" w:lineRule="auto"/>
      </w:pPr>
      <w:r>
        <w:t>TABLE I</w:t>
      </w:r>
    </w:p>
    <w:p w14:paraId="5E18887C" w14:textId="77777777" w:rsidR="001E5BD3" w:rsidRDefault="00000000">
      <w:pPr>
        <w:spacing w:after="100" w:line="259" w:lineRule="auto"/>
      </w:pPr>
      <w:r>
        <w:t>PRIMARY RESULTS AND EVIDENCE SCOPE</w:t>
      </w:r>
    </w:p>
    <w:tbl>
      <w:tblPr>
        <w:tblStyle w:val="TableGrid"/>
        <w:tblW w:w="0" w:type="auto"/>
        <w:tblLook w:val="04A0" w:firstRow="1" w:lastRow="0" w:firstColumn="1" w:lastColumn="0" w:noHBand="0" w:noVBand="1"/>
      </w:tblPr>
      <w:tblGrid>
        <w:gridCol w:w="2498"/>
        <w:gridCol w:w="2498"/>
        <w:gridCol w:w="2498"/>
        <w:gridCol w:w="2498"/>
      </w:tblGrid>
      <w:tr w:rsidR="00D636A9" w14:paraId="437C0038" w14:textId="77777777">
        <w:trPr>
          <w:tblHeader/>
        </w:trPr>
        <w:tc>
          <w:tcPr>
            <w:tcW w:w="2498" w:type="dxa"/>
            <w:shd w:val="clear" w:color="auto" w:fill="DCEBF2"/>
            <w:tcMar>
              <w:top w:w="55" w:type="dxa"/>
              <w:left w:w="65" w:type="dxa"/>
              <w:bottom w:w="55" w:type="dxa"/>
              <w:right w:w="65" w:type="dxa"/>
            </w:tcMar>
            <w:vAlign w:val="center"/>
          </w:tcPr>
          <w:p w14:paraId="6E38EAAA" w14:textId="77777777" w:rsidR="00000000" w:rsidRDefault="00000000">
            <w:pPr>
              <w:jc w:val="center"/>
            </w:pPr>
            <w:r>
              <w:rPr>
                <w:b/>
                <w:color w:val="17232D"/>
                <w:sz w:val="16"/>
              </w:rPr>
              <w:t>Study family</w:t>
            </w:r>
          </w:p>
        </w:tc>
        <w:tc>
          <w:tcPr>
            <w:tcW w:w="2498" w:type="dxa"/>
            <w:shd w:val="clear" w:color="auto" w:fill="DCEBF2"/>
            <w:tcMar>
              <w:top w:w="55" w:type="dxa"/>
              <w:left w:w="65" w:type="dxa"/>
              <w:bottom w:w="55" w:type="dxa"/>
              <w:right w:w="65" w:type="dxa"/>
            </w:tcMar>
            <w:vAlign w:val="center"/>
          </w:tcPr>
          <w:p w14:paraId="188F71FF" w14:textId="77777777" w:rsidR="00000000" w:rsidRDefault="00000000">
            <w:pPr>
              <w:jc w:val="center"/>
            </w:pPr>
            <w:r>
              <w:rPr>
                <w:b/>
                <w:color w:val="17232D"/>
                <w:sz w:val="16"/>
              </w:rPr>
              <w:t>Evaluation unit</w:t>
            </w:r>
          </w:p>
        </w:tc>
        <w:tc>
          <w:tcPr>
            <w:tcW w:w="2498" w:type="dxa"/>
            <w:shd w:val="clear" w:color="auto" w:fill="DCEBF2"/>
            <w:tcMar>
              <w:top w:w="55" w:type="dxa"/>
              <w:left w:w="65" w:type="dxa"/>
              <w:bottom w:w="55" w:type="dxa"/>
              <w:right w:w="65" w:type="dxa"/>
            </w:tcMar>
            <w:vAlign w:val="center"/>
          </w:tcPr>
          <w:p w14:paraId="52150F63" w14:textId="77777777" w:rsidR="00000000" w:rsidRDefault="00000000">
            <w:pPr>
              <w:jc w:val="center"/>
            </w:pPr>
            <w:r>
              <w:rPr>
                <w:b/>
                <w:color w:val="17232D"/>
                <w:sz w:val="16"/>
              </w:rPr>
              <w:t>Key controls</w:t>
            </w:r>
          </w:p>
        </w:tc>
        <w:tc>
          <w:tcPr>
            <w:tcW w:w="2498" w:type="dxa"/>
            <w:shd w:val="clear" w:color="auto" w:fill="DCEBF2"/>
            <w:tcMar>
              <w:top w:w="55" w:type="dxa"/>
              <w:left w:w="65" w:type="dxa"/>
              <w:bottom w:w="55" w:type="dxa"/>
              <w:right w:w="65" w:type="dxa"/>
            </w:tcMar>
            <w:vAlign w:val="center"/>
          </w:tcPr>
          <w:p w14:paraId="0CFC3B4F" w14:textId="77777777" w:rsidR="00000000" w:rsidRDefault="00000000">
            <w:pPr>
              <w:jc w:val="center"/>
            </w:pPr>
            <w:r>
              <w:rPr>
                <w:b/>
                <w:color w:val="17232D"/>
                <w:sz w:val="16"/>
              </w:rPr>
              <w:t>Main finding</w:t>
            </w:r>
          </w:p>
        </w:tc>
      </w:tr>
      <w:tr w:rsidR="00D636A9" w14:paraId="414140DF" w14:textId="77777777">
        <w:tc>
          <w:tcPr>
            <w:tcW w:w="2498" w:type="dxa"/>
            <w:tcMar>
              <w:top w:w="55" w:type="dxa"/>
              <w:left w:w="65" w:type="dxa"/>
              <w:bottom w:w="55" w:type="dxa"/>
              <w:right w:w="65" w:type="dxa"/>
            </w:tcMar>
            <w:vAlign w:val="center"/>
          </w:tcPr>
          <w:p w14:paraId="072138DE" w14:textId="77777777" w:rsidR="00000000" w:rsidRDefault="00000000">
            <w:r>
              <w:rPr>
                <w:sz w:val="16"/>
              </w:rPr>
              <w:t>Fixed-slot patch replacement</w:t>
            </w:r>
          </w:p>
        </w:tc>
        <w:tc>
          <w:tcPr>
            <w:tcW w:w="2498" w:type="dxa"/>
            <w:tcMar>
              <w:top w:w="55" w:type="dxa"/>
              <w:left w:w="65" w:type="dxa"/>
              <w:bottom w:w="55" w:type="dxa"/>
              <w:right w:w="65" w:type="dxa"/>
            </w:tcMar>
            <w:vAlign w:val="center"/>
          </w:tcPr>
          <w:p w14:paraId="208F4BEE" w14:textId="77777777" w:rsidR="00000000"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3460B48A" w14:textId="77777777" w:rsidR="00000000"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7CFAEC1E" w14:textId="77777777" w:rsidR="00000000" w:rsidRDefault="00000000">
            <w:pPr>
              <w:jc w:val="center"/>
            </w:pPr>
            <w:r>
              <w:rPr>
                <w:sz w:val="16"/>
              </w:rPr>
              <w:t>Tolerance varies with depth, surrogate geometry, diversity, and feature direction; directions derived by principal component analysis (PCA) of calibration activations outperform energy-matched random directions in tested settings.</w:t>
            </w:r>
          </w:p>
        </w:tc>
      </w:tr>
      <w:tr w:rsidR="00D636A9" w14:paraId="1721C60B" w14:textId="77777777">
        <w:tc>
          <w:tcPr>
            <w:tcW w:w="2498" w:type="dxa"/>
            <w:tcMar>
              <w:top w:w="55" w:type="dxa"/>
              <w:left w:w="65" w:type="dxa"/>
              <w:bottom w:w="55" w:type="dxa"/>
              <w:right w:w="65" w:type="dxa"/>
            </w:tcMar>
            <w:vAlign w:val="center"/>
          </w:tcPr>
          <w:p w14:paraId="7F627C28" w14:textId="77777777" w:rsidR="00000000" w:rsidRDefault="00000000">
            <w:r>
              <w:rPr>
                <w:sz w:val="16"/>
              </w:rPr>
              <w:t>Functional and joint-stream geometry</w:t>
            </w:r>
          </w:p>
        </w:tc>
        <w:tc>
          <w:tcPr>
            <w:tcW w:w="2498" w:type="dxa"/>
            <w:tcMar>
              <w:top w:w="55" w:type="dxa"/>
              <w:left w:w="65" w:type="dxa"/>
              <w:bottom w:w="55" w:type="dxa"/>
              <w:right w:w="65" w:type="dxa"/>
            </w:tcMar>
            <w:vAlign w:val="center"/>
          </w:tcPr>
          <w:p w14:paraId="0041FFE0" w14:textId="77777777" w:rsidR="00000000" w:rsidRDefault="00000000">
            <w:pPr>
              <w:jc w:val="center"/>
            </w:pPr>
            <w:r>
              <w:rPr>
                <w:sz w:val="16"/>
              </w:rPr>
              <w:t>Functional geometry: N=100 images per model; joint-stream geometry: N=100 images per model (separate cohort)</w:t>
            </w:r>
          </w:p>
        </w:tc>
        <w:tc>
          <w:tcPr>
            <w:tcW w:w="2498" w:type="dxa"/>
            <w:tcMar>
              <w:top w:w="55" w:type="dxa"/>
              <w:left w:w="65" w:type="dxa"/>
              <w:bottom w:w="55" w:type="dxa"/>
              <w:right w:w="65" w:type="dxa"/>
            </w:tcMar>
            <w:vAlign w:val="center"/>
          </w:tcPr>
          <w:p w14:paraId="7F01D2DE" w14:textId="77777777" w:rsidR="00000000"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04038C15" w14:textId="77777777" w:rsidR="00000000" w:rsidRDefault="00000000">
            <w:pPr>
              <w:jc w:val="center"/>
            </w:pPr>
            <w:r>
              <w:rPr>
                <w:sz w:val="16"/>
              </w:rPr>
              <w:t>Normalized effective rank declines across four models; near-null expansion at the primary threshold is strong in three and small for DINOv2. Damage varies with feature direction and token coherence.</w:t>
            </w:r>
          </w:p>
        </w:tc>
      </w:tr>
      <w:tr w:rsidR="00D636A9" w14:paraId="663183DB" w14:textId="77777777">
        <w:tc>
          <w:tcPr>
            <w:tcW w:w="2498" w:type="dxa"/>
            <w:tcMar>
              <w:top w:w="55" w:type="dxa"/>
              <w:left w:w="65" w:type="dxa"/>
              <w:bottom w:w="55" w:type="dxa"/>
              <w:right w:w="65" w:type="dxa"/>
            </w:tcMar>
            <w:vAlign w:val="center"/>
          </w:tcPr>
          <w:p w14:paraId="05B74142" w14:textId="77777777" w:rsidR="00000000" w:rsidRDefault="00000000">
            <w:r>
              <w:rPr>
                <w:sz w:val="16"/>
              </w:rPr>
              <w:t>Attention Value-path audit</w:t>
            </w:r>
          </w:p>
        </w:tc>
        <w:tc>
          <w:tcPr>
            <w:tcW w:w="2498" w:type="dxa"/>
            <w:tcMar>
              <w:top w:w="55" w:type="dxa"/>
              <w:left w:w="65" w:type="dxa"/>
              <w:bottom w:w="55" w:type="dxa"/>
              <w:right w:w="65" w:type="dxa"/>
            </w:tcMar>
            <w:vAlign w:val="center"/>
          </w:tcPr>
          <w:p w14:paraId="624F295C" w14:textId="77777777" w:rsidR="00000000" w:rsidRDefault="00000000">
            <w:pPr>
              <w:jc w:val="center"/>
            </w:pPr>
            <w:r>
              <w:rPr>
                <w:sz w:val="16"/>
              </w:rPr>
              <w:t>N=100 images per model</w:t>
            </w:r>
          </w:p>
        </w:tc>
        <w:tc>
          <w:tcPr>
            <w:tcW w:w="2498" w:type="dxa"/>
            <w:tcMar>
              <w:top w:w="55" w:type="dxa"/>
              <w:left w:w="65" w:type="dxa"/>
              <w:bottom w:w="55" w:type="dxa"/>
              <w:right w:w="65" w:type="dxa"/>
            </w:tcMar>
            <w:vAlign w:val="center"/>
          </w:tcPr>
          <w:p w14:paraId="11F2AAF5" w14:textId="77777777" w:rsidR="00000000"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25952823" w14:textId="77777777" w:rsidR="00000000" w:rsidRDefault="00000000">
            <w:pPr>
              <w:jc w:val="center"/>
            </w:pPr>
            <w:r>
              <w:rPr>
                <w:sz w:val="16"/>
              </w:rPr>
              <w:t>Coherent Value contributions accumulate; sign-varying contributions partially cancel.</w:t>
            </w:r>
          </w:p>
        </w:tc>
      </w:tr>
      <w:tr w:rsidR="00D636A9" w14:paraId="48BBC74C" w14:textId="77777777">
        <w:tc>
          <w:tcPr>
            <w:tcW w:w="2498" w:type="dxa"/>
            <w:tcMar>
              <w:top w:w="55" w:type="dxa"/>
              <w:left w:w="65" w:type="dxa"/>
              <w:bottom w:w="55" w:type="dxa"/>
              <w:right w:w="65" w:type="dxa"/>
            </w:tcMar>
            <w:vAlign w:val="center"/>
          </w:tcPr>
          <w:p w14:paraId="149C4ACB" w14:textId="77777777" w:rsidR="00000000" w:rsidRDefault="00000000">
            <w:r>
              <w:rPr>
                <w:sz w:val="16"/>
              </w:rPr>
              <w:t>Multi-block operator prediction</w:t>
            </w:r>
          </w:p>
        </w:tc>
        <w:tc>
          <w:tcPr>
            <w:tcW w:w="2498" w:type="dxa"/>
            <w:tcMar>
              <w:top w:w="55" w:type="dxa"/>
              <w:left w:w="65" w:type="dxa"/>
              <w:bottom w:w="55" w:type="dxa"/>
              <w:right w:w="65" w:type="dxa"/>
            </w:tcMar>
            <w:vAlign w:val="center"/>
          </w:tcPr>
          <w:p w14:paraId="4AEE063E" w14:textId="77777777" w:rsidR="00000000" w:rsidRDefault="00000000">
            <w:pPr>
              <w:jc w:val="center"/>
            </w:pPr>
            <w:r>
              <w:rPr>
                <w:sz w:val="16"/>
              </w:rPr>
              <w:t>N=100 held-out perturbations (vectors; per model)</w:t>
            </w:r>
          </w:p>
        </w:tc>
        <w:tc>
          <w:tcPr>
            <w:tcW w:w="2498" w:type="dxa"/>
            <w:tcMar>
              <w:top w:w="55" w:type="dxa"/>
              <w:left w:w="65" w:type="dxa"/>
              <w:bottom w:w="55" w:type="dxa"/>
              <w:right w:w="65" w:type="dxa"/>
            </w:tcMar>
            <w:vAlign w:val="center"/>
          </w:tcPr>
          <w:p w14:paraId="287250B7" w14:textId="77777777" w:rsidR="00000000" w:rsidRDefault="00000000">
            <w:pPr>
              <w:jc w:val="center"/>
            </w:pPr>
            <w:r>
              <w:rPr>
                <w:sz w:val="16"/>
              </w:rPr>
              <w:t>Single-block vs. end-to-end prediction on a fixed four-family mixture</w:t>
            </w:r>
          </w:p>
        </w:tc>
        <w:tc>
          <w:tcPr>
            <w:tcW w:w="2498" w:type="dxa"/>
            <w:tcMar>
              <w:top w:w="55" w:type="dxa"/>
              <w:left w:w="65" w:type="dxa"/>
              <w:bottom w:w="55" w:type="dxa"/>
              <w:right w:w="65" w:type="dxa"/>
            </w:tcMar>
            <w:vAlign w:val="center"/>
          </w:tcPr>
          <w:p w14:paraId="448F4E4D" w14:textId="77777777" w:rsidR="00000000" w:rsidRDefault="00000000">
            <w:pPr>
              <w:jc w:val="center"/>
            </w:pPr>
            <w:r>
              <w:rPr>
                <w:sz w:val="16"/>
              </w:rPr>
              <w:t>End-to-end Jacobian predictions are more strongly associated with measured damage than single-block predictions under the tested mixture.</w:t>
            </w:r>
          </w:p>
        </w:tc>
      </w:tr>
      <w:tr w:rsidR="00D636A9" w14:paraId="12E2C5BB" w14:textId="77777777">
        <w:tc>
          <w:tcPr>
            <w:tcW w:w="2498" w:type="dxa"/>
            <w:tcMar>
              <w:top w:w="55" w:type="dxa"/>
              <w:left w:w="65" w:type="dxa"/>
              <w:bottom w:w="55" w:type="dxa"/>
              <w:right w:w="65" w:type="dxa"/>
            </w:tcMar>
            <w:vAlign w:val="center"/>
          </w:tcPr>
          <w:p w14:paraId="66D99AF4" w14:textId="77777777" w:rsidR="00000000" w:rsidRDefault="00000000">
            <w:r>
              <w:rPr>
                <w:sz w:val="16"/>
              </w:rPr>
              <w:t>Strict confirmatory compression</w:t>
            </w:r>
          </w:p>
        </w:tc>
        <w:tc>
          <w:tcPr>
            <w:tcW w:w="2498" w:type="dxa"/>
            <w:tcMar>
              <w:top w:w="55" w:type="dxa"/>
              <w:left w:w="65" w:type="dxa"/>
              <w:bottom w:w="55" w:type="dxa"/>
              <w:right w:w="65" w:type="dxa"/>
            </w:tcMar>
            <w:vAlign w:val="center"/>
          </w:tcPr>
          <w:p w14:paraId="451A7581" w14:textId="77777777" w:rsidR="00000000" w:rsidRDefault="00000000">
            <w:pPr>
              <w:jc w:val="center"/>
            </w:pPr>
            <w:r>
              <w:rPr>
                <w:sz w:val="16"/>
              </w:rPr>
              <w:t>N=1,000 held-out images per architecture</w:t>
            </w:r>
          </w:p>
        </w:tc>
        <w:tc>
          <w:tcPr>
            <w:tcW w:w="2498" w:type="dxa"/>
            <w:tcMar>
              <w:top w:w="55" w:type="dxa"/>
              <w:left w:w="65" w:type="dxa"/>
              <w:bottom w:w="55" w:type="dxa"/>
              <w:right w:w="65" w:type="dxa"/>
            </w:tcMar>
            <w:vAlign w:val="center"/>
          </w:tcPr>
          <w:p w14:paraId="231AC12A" w14:textId="77777777" w:rsidR="00000000"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54711FEE" w14:textId="77777777" w:rsidR="00000000" w:rsidRDefault="00000000">
            <w:pPr>
              <w:jc w:val="center"/>
            </w:pPr>
            <w:r>
              <w:rPr>
                <w:sz w:val="16"/>
              </w:rPr>
              <w:t>At the most aggressive tested budgets, operator-aware methods beat the strongest pruning baselines by 4.2–12.0 pp; ToMe remains competitive.</w:t>
            </w:r>
          </w:p>
        </w:tc>
      </w:tr>
      <w:tr w:rsidR="00D636A9" w14:paraId="769D8667" w14:textId="77777777">
        <w:tc>
          <w:tcPr>
            <w:tcW w:w="2498" w:type="dxa"/>
            <w:tcMar>
              <w:top w:w="55" w:type="dxa"/>
              <w:left w:w="65" w:type="dxa"/>
              <w:bottom w:w="55" w:type="dxa"/>
              <w:right w:w="65" w:type="dxa"/>
            </w:tcMar>
            <w:vAlign w:val="center"/>
          </w:tcPr>
          <w:p w14:paraId="20C8495D" w14:textId="77777777" w:rsidR="00000000" w:rsidRDefault="00000000">
            <w:r>
              <w:rPr>
                <w:sz w:val="16"/>
              </w:rPr>
              <w:t>Practical carrier evaluation</w:t>
            </w:r>
          </w:p>
        </w:tc>
        <w:tc>
          <w:tcPr>
            <w:tcW w:w="2498" w:type="dxa"/>
            <w:tcMar>
              <w:top w:w="55" w:type="dxa"/>
              <w:left w:w="65" w:type="dxa"/>
              <w:bottom w:w="55" w:type="dxa"/>
              <w:right w:w="65" w:type="dxa"/>
            </w:tcMar>
            <w:vAlign w:val="center"/>
          </w:tcPr>
          <w:p w14:paraId="3EB331A1" w14:textId="77777777" w:rsidR="00000000" w:rsidRDefault="00000000">
            <w:pPr>
              <w:jc w:val="center"/>
            </w:pPr>
            <w:r>
              <w:rPr>
                <w:sz w:val="16"/>
              </w:rPr>
              <w:t>Classifier: N=1,000 held-out images per architecture; operator-space: N=100 held-out operator-space images (separate cohort)</w:t>
            </w:r>
          </w:p>
        </w:tc>
        <w:tc>
          <w:tcPr>
            <w:tcW w:w="2498" w:type="dxa"/>
            <w:tcMar>
              <w:top w:w="55" w:type="dxa"/>
              <w:left w:w="65" w:type="dxa"/>
              <w:bottom w:w="55" w:type="dxa"/>
              <w:right w:w="65" w:type="dxa"/>
            </w:tcMar>
            <w:vAlign w:val="center"/>
          </w:tcPr>
          <w:p w14:paraId="7B83B3D8" w14:textId="77777777" w:rsidR="00000000" w:rsidRDefault="00000000">
            <w:pPr>
              <w:jc w:val="center"/>
            </w:pPr>
            <w:r>
              <w:rPr>
                <w:sz w:val="16"/>
              </w:rPr>
              <w:t>Separate classifier/throughput and operator-space protocols</w:t>
            </w:r>
          </w:p>
        </w:tc>
        <w:tc>
          <w:tcPr>
            <w:tcW w:w="2498" w:type="dxa"/>
            <w:tcMar>
              <w:top w:w="55" w:type="dxa"/>
              <w:left w:w="65" w:type="dxa"/>
              <w:bottom w:w="55" w:type="dxa"/>
              <w:right w:w="65" w:type="dxa"/>
            </w:tcMar>
            <w:vAlign w:val="center"/>
          </w:tcPr>
          <w:p w14:paraId="069754D1" w14:textId="77777777" w:rsidR="00000000" w:rsidRDefault="00000000">
            <w:pPr>
              <w:jc w:val="center"/>
            </w:pPr>
            <w:r>
              <w:rPr>
                <w:sz w:val="16"/>
              </w:rPr>
              <w:t>Classifier and throughput gains are mixed; operator-space gains do not establish reliable classification or general deployment improvement.</w:t>
            </w:r>
          </w:p>
        </w:tc>
      </w:tr>
    </w:tbl>
    <w:p w14:paraId="143A0B44" w14:textId="77777777" w:rsidR="001E5BD3" w:rsidRDefault="001E5BD3">
      <w:pPr>
        <w:spacing w:after="20"/>
      </w:pPr>
    </w:p>
    <w:p w14:paraId="11CEEE45" w14:textId="77777777" w:rsidR="001E5BD3"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4A979A3E" w14:textId="77777777" w:rsidR="001E5BD3" w:rsidRDefault="00000000">
      <w:pPr>
        <w:spacing w:after="100" w:line="259" w:lineRule="auto"/>
      </w:pPr>
      <w:r>
        <w:rPr>
          <w:b/>
        </w:rPr>
        <w:t>Statistical reporting.</w:t>
      </w:r>
      <w: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vertAlign w:val="subscript"/>
        </w:rPr>
        <w:t>z</w:t>
      </w:r>
      <w:r>
        <w:t xml:space="preserve"> where reported. Benjamini–Hochberg correction is applied only within protocol-defined comparison families. Multi-block analyses use perturbations as the sample unit, and operator-space </w:t>
      </w:r>
      <w:r>
        <w:lastRenderedPageBreak/>
        <w:t>outcomes remain distinct from classifier-image outcomes; Supplementary Section S10 gives the study-specific procedures and seed IDs.</w:t>
      </w:r>
    </w:p>
    <w:p w14:paraId="350519CF" w14:textId="77777777" w:rsidR="001E5BD3" w:rsidRDefault="00000000">
      <w:pPr>
        <w:spacing w:after="100" w:line="259" w:lineRule="auto"/>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5881AE99" w14:textId="77777777">
        <w:trPr>
          <w:cantSplit/>
          <w:jc w:val="center"/>
        </w:trPr>
        <w:tc>
          <w:tcPr>
            <w:tcW w:w="518" w:type="dxa"/>
            <w:tcMar>
              <w:top w:w="0" w:type="dxa"/>
              <w:left w:w="0" w:type="dxa"/>
              <w:bottom w:w="0" w:type="dxa"/>
              <w:right w:w="0" w:type="dxa"/>
            </w:tcMar>
            <w:vAlign w:val="center"/>
          </w:tcPr>
          <w:p w14:paraId="1FBBF983"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095FCBDE" w14:textId="77777777" w:rsidR="001E5BD3"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3B1CBCBF" w14:textId="77777777" w:rsidR="001E5BD3" w:rsidRDefault="00000000">
            <w:pPr>
              <w:keepLines/>
              <w:spacing w:before="40" w:after="80" w:line="240" w:lineRule="auto"/>
              <w:jc w:val="right"/>
            </w:pPr>
            <w:r>
              <w:rPr>
                <w:sz w:val="18"/>
              </w:rPr>
              <w:t>(1)</w:t>
            </w:r>
          </w:p>
        </w:tc>
      </w:tr>
    </w:tbl>
    <w:p w14:paraId="0213FACD" w14:textId="77777777" w:rsidR="001E5BD3" w:rsidRDefault="00000000">
      <w:pPr>
        <w:spacing w:after="100" w:line="259" w:lineRule="auto"/>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53894E6F" w14:textId="77777777" w:rsidR="001E5BD3" w:rsidRDefault="00000000">
      <w:pPr>
        <w:spacing w:after="100" w:line="259" w:lineRule="auto"/>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5592C880" w14:textId="77777777" w:rsidR="001E5BD3" w:rsidRDefault="00000000">
      <w:pPr>
        <w:spacing w:after="100" w:line="259" w:lineRule="auto"/>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7B22AE9D" w14:textId="77777777" w:rsidR="001E5BD3" w:rsidRDefault="00000000">
      <w:pPr>
        <w:spacing w:after="100" w:line="259" w:lineRule="auto"/>
      </w:pPr>
      <w:r>
        <w:t>For practical carrier evaluation, q counts directions from the centered calibration activation covariance Σ</w:t>
      </w:r>
      <w:r>
        <w:rPr>
          <w:vertAlign w:val="subscript"/>
        </w:rPr>
        <w:t>act,ℓ</w:t>
      </w:r>
      <w:r>
        <w:t>; a separate low-rank subspace of calibration-derived downstream-Jacobian targets estimates a fixed coefficient vector α. The basis and coefficients are frozen before held-out classification, which uses no evaluation labels or per-image Jacobian. The operator-space audit and classifier evaluation use separate cohorts (Table I); the latter uses 500 calibration and 1,000 held-out images per architecture. Throughput measurements include the complete model call, with 50 warm-up and 100 timed iterations per row.</w:t>
      </w:r>
    </w:p>
    <w:p w14:paraId="7C91AE40" w14:textId="77777777" w:rsidR="001E5BD3" w:rsidRDefault="00000000">
      <w:pPr>
        <w:pStyle w:val="Heading1"/>
      </w:pPr>
      <w:r>
        <w:rPr>
          <w:rFonts w:ascii="Times New Roman" w:hAnsi="Times New Roman"/>
        </w:rPr>
        <w:t>4. Geometric and Diversity Constraints on Patch-Content Fungibility</w:t>
      </w:r>
    </w:p>
    <w:p w14:paraId="7BD6B8C5" w14:textId="77777777" w:rsidR="001E5BD3" w:rsidRDefault="00000000">
      <w:pPr>
        <w:pStyle w:val="Heading2"/>
      </w:pPr>
      <w:r>
        <w:rPr>
          <w:rFonts w:ascii="Times New Roman" w:hAnsi="Times New Roman"/>
        </w:rPr>
        <w:t>4.1 Depth-Dependent Replacement Tolerance</w:t>
      </w:r>
    </w:p>
    <w:p w14:paraId="777B5094" w14:textId="77777777" w:rsidR="001E5BD3" w:rsidRDefault="00000000">
      <w:pPr>
        <w:spacing w:after="100" w:line="259" w:lineRule="auto"/>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14:paraId="50CF3713" w14:textId="77777777" w:rsidR="001E5BD3" w:rsidRDefault="00000000">
      <w:pPr>
        <w:spacing w:after="100" w:line="259" w:lineRule="auto"/>
      </w:pPr>
      <w:r>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3880B0BD" w14:textId="77777777" w:rsidR="001E5BD3" w:rsidRDefault="00000000">
      <w:pPr>
        <w:keepNext/>
        <w:keepLines/>
        <w:spacing w:after="20"/>
        <w:jc w:val="center"/>
      </w:pPr>
      <w:r>
        <w:rPr>
          <w:noProof/>
        </w:rPr>
        <w:lastRenderedPageBreak/>
        <w:drawing>
          <wp:inline distT="0" distB="0" distL="0" distR="0" wp14:anchorId="15011A5A" wp14:editId="665CA5B1">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9"/>
                    <a:stretch>
                      <a:fillRect/>
                    </a:stretch>
                  </pic:blipFill>
                  <pic:spPr>
                    <a:xfrm>
                      <a:off x="0" y="0"/>
                      <a:ext cx="6172200" cy="3769282"/>
                    </a:xfrm>
                    <a:prstGeom prst="rect">
                      <a:avLst/>
                    </a:prstGeom>
                  </pic:spPr>
                </pic:pic>
              </a:graphicData>
            </a:graphic>
          </wp:inline>
        </w:drawing>
      </w:r>
    </w:p>
    <w:p w14:paraId="3C091E86" w14:textId="77777777" w:rsidR="001E5BD3" w:rsidRDefault="00000000">
      <w:pPr>
        <w:keepLines/>
        <w:spacing w:after="80"/>
        <w:jc w:val="center"/>
      </w:pPr>
      <w:r>
        <w:rPr>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14:paraId="44E4C8AE" w14:textId="77777777" w:rsidR="001E5BD3" w:rsidRDefault="00000000">
      <w:pPr>
        <w:pStyle w:val="Heading2"/>
      </w:pPr>
      <w:r>
        <w:rPr>
          <w:rFonts w:ascii="Times New Roman" w:hAnsi="Times New Roman"/>
        </w:rPr>
        <w:t>4.2 Geometric and Diversity Constraints</w:t>
      </w:r>
    </w:p>
    <w:p w14:paraId="17F3986D" w14:textId="77777777" w:rsidR="001E5BD3" w:rsidRDefault="00000000">
      <w:pPr>
        <w:spacing w:after="100" w:line="259" w:lineRule="auto"/>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772B3F92" w14:textId="77777777" w:rsidR="001E5BD3" w:rsidRDefault="00000000">
      <w:pPr>
        <w:spacing w:after="100" w:line="259" w:lineRule="auto"/>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14:paraId="5132CA29" w14:textId="77777777" w:rsidR="001E5BD3" w:rsidRDefault="00000000">
      <w:pPr>
        <w:spacing w:after="100" w:line="259" w:lineRule="auto"/>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14:paraId="24826621" w14:textId="77777777" w:rsidR="001E5BD3" w:rsidRDefault="00000000">
      <w:pPr>
        <w:keepNext/>
        <w:keepLines/>
        <w:spacing w:after="20"/>
        <w:jc w:val="center"/>
      </w:pPr>
      <w:r>
        <w:rPr>
          <w:noProof/>
        </w:rPr>
        <w:lastRenderedPageBreak/>
        <w:drawing>
          <wp:inline distT="0" distB="0" distL="0" distR="0" wp14:anchorId="0B4D5D95" wp14:editId="320BCE48">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10"/>
                    <a:stretch>
                      <a:fillRect/>
                    </a:stretch>
                  </pic:blipFill>
                  <pic:spPr>
                    <a:xfrm>
                      <a:off x="0" y="0"/>
                      <a:ext cx="6172200" cy="3773228"/>
                    </a:xfrm>
                    <a:prstGeom prst="rect">
                      <a:avLst/>
                    </a:prstGeom>
                  </pic:spPr>
                </pic:pic>
              </a:graphicData>
            </a:graphic>
          </wp:inline>
        </w:drawing>
      </w:r>
    </w:p>
    <w:p w14:paraId="3994D4A8" w14:textId="77777777" w:rsidR="001E5BD3" w:rsidRDefault="00000000">
      <w:pPr>
        <w:keepLines/>
        <w:spacing w:after="80"/>
        <w:jc w:val="center"/>
      </w:pPr>
      <w:r>
        <w:rPr>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14:paraId="1DAF149D" w14:textId="77777777" w:rsidR="001E5BD3" w:rsidRDefault="00000000">
      <w:pPr>
        <w:spacing w:after="100" w:line="259" w:lineRule="auto"/>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14:paraId="60B68DDF" w14:textId="77777777" w:rsidR="001E5BD3" w:rsidRDefault="00000000">
      <w:pPr>
        <w:pStyle w:val="Heading1"/>
      </w:pPr>
      <w:r>
        <w:rPr>
          <w:rFonts w:ascii="Times New Roman" w:hAnsi="Times New Roman"/>
        </w:rPr>
        <w:t>5. Functional Geometry and Attention-Mediated Transmission</w:t>
      </w:r>
    </w:p>
    <w:p w14:paraId="566D7EC0" w14:textId="77777777" w:rsidR="001E5BD3" w:rsidRDefault="00000000">
      <w:pPr>
        <w:pStyle w:val="Heading2"/>
      </w:pPr>
      <w:r>
        <w:rPr>
          <w:rFonts w:ascii="Times New Roman" w:hAnsi="Times New Roman"/>
        </w:rPr>
        <w:t>5.1 Anisotropy and Functional Geometry</w:t>
      </w:r>
    </w:p>
    <w:p w14:paraId="41A46451" w14:textId="77777777" w:rsidR="001E5BD3" w:rsidRDefault="00000000">
      <w:pPr>
        <w:spacing w:after="100" w:line="259" w:lineRule="auto"/>
      </w:pPr>
      <w:r>
        <w:rPr>
          <w:rFonts w:ascii="Times New Roman" w:hAnsi="Times New Roman"/>
          <w:i w:val="0"/>
          <w:color w:val="202A32"/>
          <w:sz w:val="20"/>
        </w:rPr>
        <w:t xml:space="preserve">Equal-norm feature perturbations can have different functional effects because margin sensitivity depends on direction. For image </w:t>
      </w:r>
      <m:oMath>
        <m:r>
          <m:t xml:space="preserve">s</m:t>
        </m:r>
      </m:oMath>
      <w:r>
        <w:rPr>
          <w:rFonts w:ascii="Times New Roman" w:hAnsi="Times New Roman"/>
          <w:i w:val="0"/>
          <w:color w:val="202A32"/>
          <w:sz w:val="20"/>
        </w:rPr>
        <w:t xml:space="preserve">, let </w:t>
      </w:r>
      <m:oMath>
        <m:sSub>
          <m:e>
            <m:r>
              <m:t xml:space="preserve">y</m:t>
            </m:r>
          </m:e>
          <m:sub>
            <m:r>
              <m:t xml:space="preserve">s</m:t>
            </m:r>
          </m:sub>
        </m:sSub>
      </m:oMath>
      <w:r>
        <w:rPr>
          <w:rFonts w:ascii="Times New Roman" w:hAnsi="Times New Roman"/>
          <w:i w:val="0"/>
          <w:color w:val="202A32"/>
          <w:sz w:val="20"/>
        </w:rPr>
        <w:t xml:space="preserve"> and </w:t>
      </w:r>
      <m:oMath>
        <m:sSub>
          <m:e>
            <m:r>
              <m:t xml:space="preserve">r</m:t>
            </m:r>
          </m:e>
          <m:sub>
            <m:r>
              <m:t xml:space="preserve">s</m:t>
            </m:r>
          </m:sub>
        </m:sSub>
      </m:oMath>
      <w:r>
        <w:rPr>
          <w:rFonts w:ascii="Times New Roman" w:hAnsi="Times New Roman"/>
          <w:i w:val="0"/>
          <w:color w:val="202A32"/>
          <w:sz w:val="20"/>
        </w:rPr>
        <w:t xml:space="preserve"> denote its clean predicted and runner-up classes, held fixed at the unperturbed input, and let </w:t>
      </w:r>
      <m:oMath>
        <m:sSub>
          <m:e>
            <m:r>
              <m:t xml:space="preserve">p</m:t>
            </m:r>
          </m:e>
          <m:sub>
            <m:r>
              <m:t xml:space="preserve">ℓ</m:t>
            </m:r>
            <m:r>
              <m:t xml:space="preserve">,</m:t>
            </m:r>
            <m:r>
              <m:t xml:space="preserve">s</m:t>
            </m:r>
            <m:r>
              <m:t xml:space="preserve">,</m:t>
            </m:r>
            <m:r>
              <m:t xml:space="preserve">i</m:t>
            </m:r>
          </m:sub>
        </m:sSub>
      </m:oMath>
      <w:r>
        <w:rPr>
          <w:rFonts w:ascii="Times New Roman" w:hAnsi="Times New Roman"/>
          <w:i w:val="0"/>
          <w:color w:val="202A32"/>
          <w:sz w:val="20"/>
        </w:rPr>
        <w:t xml:space="preserve"> denote the activation at spatial-patch position </w:t>
      </w:r>
      <m:oMath>
        <m:r>
          <m:t xml:space="preserve">i</m:t>
        </m:r>
      </m:oMath>
      <w:r>
        <w:rPr>
          <w:rFonts w:ascii="Times New Roman" w:hAnsi="Times New Roman"/>
          <w:i w:val="0"/>
          <w:color w:val="202A32"/>
          <w:sz w:val="20"/>
        </w:rPr>
        <w:t xml:space="preserve"> in layer </w:t>
      </w:r>
      <m:oMath>
        <m:r>
          <m:t xml:space="preserve">ℓ</m:t>
        </m:r>
      </m:oMath>
      <w:r>
        <w:rPr>
          <w:rFonts w:ascii="Times New Roman" w:hAnsi="Times New Roman"/>
          <w:i w:val="0"/>
          <w:color w:val="202A32"/>
          <w:sz w:val="20"/>
        </w:rPr>
        <w:t xml:space="preserve">. We use </w:t>
      </w:r>
      <m:oMath>
        <m:sSub>
          <m:e>
            <m:r>
              <m:t xml:space="preserve">g</m:t>
            </m:r>
          </m:e>
          <m:sub>
            <m:r>
              <m:t xml:space="preserve">s</m:t>
            </m:r>
            <m:r>
              <m:t xml:space="preserve">,</m:t>
            </m:r>
            <m:r>
              <m:t xml:space="preserve">i</m:t>
            </m:r>
          </m:sub>
        </m:sSub>
      </m:oMath>
      <w:r>
        <w:rPr>
          <w:rFonts w:ascii="Times New Roman" w:hAnsi="Times New Roman"/>
          <w:i w:val="0"/>
          <w:color w:val="202A32"/>
          <w:sz w:val="20"/>
        </w:rPr>
        <w:t xml:space="preserve"> for the gradient of this clean margin with respect to </w:t>
      </w:r>
      <m:oMath>
        <m:sSub>
          <m:e>
            <m:r>
              <m:t xml:space="preserve">p</m:t>
            </m:r>
          </m:e>
          <m:sub>
            <m:r>
              <m:t xml:space="preserve">ℓ</m:t>
            </m:r>
            <m:r>
              <m:t xml:space="preserve">,</m:t>
            </m:r>
            <m:r>
              <m:t xml:space="preserve">s</m:t>
            </m:r>
            <m:r>
              <m:t xml:space="preserve">,</m:t>
            </m:r>
            <m:r>
              <m:t xml:space="preserve">i</m:t>
            </m:r>
          </m:sub>
        </m:sSub>
      </m:oMath>
      <w:r>
        <w:rPr>
          <w:rFonts w:ascii="Times New Roman" w:hAnsi="Times New Roman"/>
          <w:i w:val="0"/>
          <w:color w:val="202A32"/>
          <w:sz w:val="20"/>
        </w:rPr>
        <w:t xml:space="preserve"> and define </w:t>
      </w:r>
      <m:oMath>
        <m:sSub>
          <m:e>
            <m:r>
              <m:t xml:space="preserve">M</m:t>
            </m:r>
          </m:e>
          <m:sub>
            <m:r>
              <m:t xml:space="preserve">ℓ</m:t>
            </m:r>
          </m:sub>
        </m:sSub>
      </m:oMath>
      <w:r>
        <w:rPr>
          <w:rFonts w:ascii="Times New Roman" w:hAnsi="Times New Roman"/>
          <w:i w:val="0"/>
          <w:color w:val="202A32"/>
          <w:sz w:val="20"/>
        </w:rP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72007463" w14:textId="77777777">
        <w:trPr>
          <w:cantSplit/>
          <w:jc w:val="center"/>
        </w:trPr>
        <w:tc>
          <w:tcPr>
            <w:tcW w:w="518" w:type="dxa"/>
            <w:tcMar>
              <w:top w:w="0" w:type="dxa"/>
              <w:left w:w="0" w:type="dxa"/>
              <w:bottom w:w="0" w:type="dxa"/>
              <w:right w:w="0" w:type="dxa"/>
            </w:tcMar>
            <w:vAlign w:val="center"/>
          </w:tcPr>
          <w:p w14:paraId="5AA945B9"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2AE4C34B"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2524DC1B"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21CB2B5" w14:textId="77777777" w:rsidR="001E5BD3" w:rsidRDefault="00000000">
            <w:pPr>
              <w:keepLines/>
              <w:spacing w:before="40" w:after="80" w:line="240" w:lineRule="auto"/>
              <w:jc w:val="right"/>
            </w:pPr>
            <w:r>
              <w:rPr>
                <w:sz w:val="18"/>
              </w:rPr>
              <w:t>(2)</w:t>
            </w:r>
          </w:p>
        </w:tc>
      </w:tr>
    </w:tbl>
    <w:p w14:paraId="167DE15E" w14:textId="77777777" w:rsidR="001E5BD3" w:rsidRDefault="00000000">
      <w:pPr>
        <w:spacing w:after="100" w:line="259" w:lineRule="auto"/>
        <w:keepLines/>
      </w:pPr>
      <w:r>
        <w:rPr>
          <w:rFonts w:ascii="Times New Roman" w:hAnsi="Times New Roman"/>
          <w:i w:val="0"/>
          <w:color w:val="202A32"/>
          <w:sz w:val="20"/>
        </w:rPr>
        <w:t>As defined in Section 3, N</w:t>
      </w:r>
      <w:r>
        <w:rPr>
          <w:rFonts w:ascii="Times New Roman" w:hAnsi="Times New Roman"/>
          <w:i w:val="0"/>
          <w:color w:val="202A32"/>
          <w:sz w:val="20"/>
          <w:vertAlign w:val="subscript"/>
        </w:rPr>
        <w:t>img</w:t>
      </w:r>
      <w:r>
        <w:rPr>
          <w:rFonts w:ascii="Times New Roman" w:hAnsi="Times New Roman"/>
          <w:i w:val="0"/>
          <w:color w:val="202A32"/>
          <w:sz w:val="20"/>
        </w:rPr>
        <w:t xml:space="preserve"> denotes the number of image samples. For a unit feature direction </w:t>
      </w:r>
      <m:oMath>
        <m:r>
          <m:t xml:space="preserve">v</m:t>
        </m:r>
      </m:oMath>
      <w:r>
        <w:rPr>
          <w:rFonts w:ascii="Times New Roman" w:hAnsi="Times New Roman"/>
          <w:i w:val="0"/>
          <w:color w:val="202A32"/>
          <w:sz w:val="20"/>
        </w:rPr>
        <w:t xml:space="preserve">, </w:t>
      </w:r>
      <m:oMath>
        <m:sSup>
          <m:e>
            <m:r>
              <m:t xml:space="preserve">v</m:t>
            </m:r>
          </m:e>
          <m:sup>
            <m:r>
              <m:t xml:space="preserve">T</m:t>
            </m:r>
          </m:sup>
        </m:sSup>
        <m:r>
          <m:t xml:space="preserve"> </m:t>
        </m:r>
        <m:sSub>
          <m:e>
            <m:r>
              <m:t xml:space="preserve">M</m:t>
            </m:r>
          </m:e>
          <m:sub>
            <m:r>
              <m:t xml:space="preserve">ℓ</m:t>
            </m:r>
          </m:sub>
        </m:sSub>
        <m:r>
          <m:t xml:space="preserve"> </m:t>
        </m:r>
        <m:r>
          <m:t xml:space="preserve">v</m:t>
        </m:r>
        <m:r>
          <m:t xml:space="preserve">=</m:t>
        </m:r>
        <m:sSup>
          <m:e>
            <m:r>
              <m:t xml:space="preserve">(</m:t>
            </m:r>
            <m:sSub>
              <m:e>
                <m:r>
                  <m:t xml:space="preserve">N</m:t>
                </m:r>
              </m:e>
              <m:sub>
                <m:r>
                  <m:t xml:space="preserve">{</m:t>
                </m:r>
                <m:r>
                  <m:t xml:space="preserve">img</m:t>
                </m:r>
                <m:r>
                  <m:t xml:space="preserve">}</m:t>
                </m:r>
              </m:sub>
            </m:sSub>
            <m:sSub>
              <m:e>
                <m:r>
                  <m:t xml:space="preserve">n</m:t>
                </m:r>
              </m:e>
              <m:sub>
                <m:r>
                  <m:t xml:space="preserve">p</m:t>
                </m:r>
              </m:sub>
            </m:sSub>
            <m:r>
              <m:t xml:space="preserve">)</m:t>
            </m:r>
          </m:e>
          <m:sup>
            <m:r>
              <m:t xml:space="preserve">-</m:t>
            </m:r>
            <m:r>
              <m:t xml:space="preserve">1</m:t>
            </m:r>
          </m:sup>
        </m:sSup>
        <m:sSub>
          <m:e>
            <m:r>
              <m:t xml:space="preserve">Σ</m:t>
            </m:r>
          </m:e>
          <m:sub>
            <m:r>
              <m:t xml:space="preserve">s</m:t>
            </m:r>
            <m:r>
              <m:t xml:space="preserve">,</m:t>
            </m:r>
            <m:r>
              <m:t xml:space="preserve">i</m:t>
            </m:r>
          </m:sub>
        </m:sSub>
        <m:sSup>
          <m:e>
            <m:r>
              <m:t xml:space="preserve">(</m:t>
            </m:r>
            <m:sSubSup>
              <m:e>
                <m:r>
                  <m:t xml:space="preserve">g</m:t>
                </m:r>
              </m:e>
              <m:sub>
                <m:r>
                  <m:t xml:space="preserve">s</m:t>
                </m:r>
                <m:r>
                  <m:t xml:space="preserve">,</m:t>
                </m:r>
                <m:r>
                  <m:t xml:space="preserve">i</m:t>
                </m:r>
              </m:sub>
              <m:sup>
                <m:r>
                  <m:t xml:space="preserve">T</m:t>
                </m:r>
              </m:sup>
            </m:sSubSup>
            <m:r>
              <m:t xml:space="preserve"> </m:t>
            </m:r>
            <m:r>
              <m:t xml:space="preserve">v</m:t>
            </m:r>
            <m:r>
              <m:t xml:space="preserve">)</m:t>
            </m:r>
          </m:e>
          <m:sup>
            <m:r>
              <m:t xml:space="preserve">2</m:t>
            </m:r>
          </m:sup>
        </m:sSup>
      </m:oMath>
      <w:r>
        <w:rPr>
          <w:rFonts w:ascii="Times New Roman" w:hAnsi="Times New Roman"/>
          <w:i w:val="0"/>
          <w:color w:val="202A32"/>
          <w:sz w:val="20"/>
        </w:rPr>
        <w:t xml:space="preserve"> is the average squared directional derivative of the clean classification margin across images and patch positions. Activation covariance measures feature variation, whereas </w:t>
      </w:r>
      <m:oMath>
        <m:sSub>
          <m:e>
            <m:r>
              <m:t xml:space="preserve">M</m:t>
            </m:r>
          </m:e>
          <m:sub>
            <m:r>
              <m:t xml:space="preserve">ℓ</m:t>
            </m:r>
          </m:sub>
        </m:sSub>
      </m:oMath>
      <w:r>
        <w:rPr>
          <w:rFonts w:ascii="Times New Roman" w:hAnsi="Times New Roman"/>
          <w:i w:val="0"/>
          <w:color w:val="202A32"/>
          <w:sz w:val="20"/>
        </w:rPr>
        <w:t xml:space="preserve"> measures local functional sensitivity. The full downstream Jacobian </w:t>
      </w:r>
      <m:oMath>
        <m:sSub>
          <m:e>
            <m:r>
              <m:t xml:space="preserve">J</m:t>
            </m:r>
          </m:e>
          <m:sub>
            <m:r>
              <m:t xml:space="preserve">ℓ</m:t>
            </m:r>
            <m:r>
              <m:t xml:space="preserve">→</m:t>
            </m:r>
            <m:r>
              <m:t xml:space="preserve"> </m:t>
            </m:r>
            <m:r>
              <m:t xml:space="preserve">L</m:t>
            </m:r>
          </m:sub>
        </m:sSub>
      </m:oMath>
      <w:r>
        <w:rPr>
          <w:rFonts w:ascii="Times New Roman" w:hAnsi="Times New Roman"/>
          <w:i w:val="0"/>
          <w:color w:val="202A32"/>
          <w:sz w:val="20"/>
        </w:rPr>
        <w:t>, introduced in Section 5.3, is a different object that maps perturbations across all patch positions to the pre-classifier readout.</w:t>
      </w:r>
    </w:p>
    <w:p>
      <w:pPr>
        <w:spacing w:after="100" w:line="259" w:lineRule="auto"/>
        <w:keepLines/>
        <w:keepNext/>
      </w:pPr>
      <w:r>
        <w:rPr>
          <w:rFonts w:ascii="Times New Roman" w:hAnsi="Times New Roman"/>
          <w:i w:val="0"/>
          <w:color w:val="202A32"/>
          <w:sz w:val="20"/>
        </w:rPr>
        <w:t xml:space="preserve">Figure 4 characterizes two complementary properties of </w:t>
      </w:r>
      <m:oMath>
        <m:sSub>
          <m:e>
            <m:r>
              <m:t xml:space="preserve">M</m:t>
            </m:r>
          </m:e>
          <m:sub>
            <m:r>
              <m:t xml:space="preserve">ℓ</m:t>
            </m:r>
          </m:sub>
        </m:sSub>
      </m:oMath>
      <w:r>
        <w:rPr>
          <w:rFonts w:ascii="Times New Roman" w:hAnsi="Times New Roman"/>
          <w:i w:val="0"/>
          <w:color w:val="202A32"/>
          <w:sz w:val="20"/>
        </w:rPr>
        <w:t>: (a) its directional sensitivity along the highest- and lowest-variance activation principal components, and (b) the depth-wise evolution of its threshold-defined near-null eigenvalue fraction.</w:t>
      </w:r>
    </w:p>
    <w:p w14:paraId="763BA019" w14:textId="77777777" w:rsidR="001E5BD3" w:rsidRDefault="00000000">
      <w:pPr>
        <w:keepNext/>
        <w:keepLines/>
        <w:spacing w:after="20"/>
        <w:jc w:val="center"/>
      </w:pPr>
      <w:r>
        <w:rPr>
          <w:noProof/>
        </w:rPr>
        <w:drawing>
          <wp:inline distT="0" distB="0" distL="0" distR="0" wp14:anchorId="09F57FFE" wp14:editId="2A3BF2F7">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11"/>
                    <a:stretch>
                      <a:fillRect/>
                    </a:stretch>
                  </pic:blipFill>
                  <pic:spPr>
                    <a:xfrm>
                      <a:off x="0" y="0"/>
                      <a:ext cx="6172200" cy="2074627"/>
                    </a:xfrm>
                    <a:prstGeom prst="rect">
                      <a:avLst/>
                    </a:prstGeom>
                  </pic:spPr>
                </pic:pic>
              </a:graphicData>
            </a:graphic>
          </wp:inline>
        </w:drawing>
      </w:r>
    </w:p>
    <w:p w14:paraId="6879CDD3" w14:textId="0508FFF1" w:rsidR="001E5BD3" w:rsidRPr="00C862DD" w:rsidRDefault="00000000">
      <w:pPr>
        <w:keepLines/>
        <w:spacing w:after="80"/>
        <w:jc w:val="center"/>
        <w:rPr>
          <w:i/>
        </w:rPr>
      </w:pPr>
      <w:r w:rsidRPr="00C862DD">
        <w:rPr>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sSubPr>
            <m:ctrlPr>
              <w:rPr>
                <w:rFonts w:ascii="Cambria Math" w:hAnsi="Cambria Math"/>
                <w:i/>
              </w:rPr>
            </m:ctrlPr>
          </m:sSubPr>
          <m:e>
            <m:r>
              <w:rPr>
                <w:rFonts w:ascii="Cambria Math" w:hAnsi="Cambria Math"/>
              </w:rPr>
              <m:t>M</m:t>
            </m:r>
          </m:e>
          <m:sub>
            <m:r>
              <m:rPr>
                <m:scr m:val="script"/>
              </m:rPr>
              <w:rPr>
                <w:rFonts w:ascii="Cambria Math" w:hAnsi="Cambria Math"/>
              </w:rPr>
              <m:t>l</m:t>
            </m:r>
          </m:sub>
        </m:sSub>
      </m:oMath>
      <w:r w:rsidRPr="00C862DD">
        <w:rPr>
          <w:i/>
          <w:color w:val="4C5963"/>
          <w:sz w:val="17"/>
        </w:rPr>
        <w:t xml:space="preserve"> eigenvalues at or below </w:t>
      </w:r>
      <m:oMath>
        <m:sSup>
          <m:sSupPr>
            <m:ctrlPr>
              <w:rPr>
                <w:rFonts w:ascii="Cambria Math" w:hAnsi="Cambria Math"/>
                <w:i/>
              </w:rPr>
            </m:ctrlPr>
          </m:sSupPr>
          <m:e>
            <m:r>
              <w:rPr>
                <w:rFonts w:ascii="Cambria Math" w:hAnsi="Cambria Math"/>
              </w:rPr>
              <m:t>10</m:t>
            </m:r>
          </m:e>
          <m:sup>
            <m:r>
              <w:rPr>
                <w:rFonts w:ascii="Cambria Math" w:hAnsi="Cambria Math"/>
              </w:rPr>
              <m:t>-3</m:t>
            </m:r>
          </m:sup>
        </m:sSup>
        <m:sSub>
          <m:sSubPr>
            <m:ctrlPr>
              <w:rPr>
                <w:rFonts w:ascii="Cambria Math" w:hAnsi="Cambria Math"/>
                <w:i/>
              </w:rPr>
            </m:ctrlPr>
          </m:sSubPr>
          <m:e>
            <m:r>
              <w:rPr>
                <w:rFonts w:ascii="Cambria Math" w:hAnsi="Cambria Math"/>
              </w:rPr>
              <m:t>λ</m:t>
            </m:r>
          </m:e>
          <m:sub>
            <m:r>
              <w:rPr>
                <w:rFonts w:ascii="Cambria Math" w:hAnsi="Cambria Math"/>
              </w:rPr>
              <m:t>max</m:t>
            </m:r>
          </m:sub>
        </m:sSub>
      </m:oMath>
      <w:r w:rsidRPr="00C862DD">
        <w:rPr>
          <w:i/>
          <w:color w:val="4C5963"/>
          <w:sz w:val="17"/>
        </w:rPr>
        <w:t xml:space="preserve"> across depth. Each architecture uses the same </w:t>
      </w:r>
      <m:oMath>
        <m:r>
          <w:rPr>
            <w:rFonts w:ascii="Cambria Math" w:hAnsi="Cambria Math"/>
          </w:rPr>
          <m:t>N=100</m:t>
        </m:r>
      </m:oMath>
      <w:r w:rsidRPr="00C862DD">
        <w:rPr>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14:paraId="23DA037A" w14:textId="77777777" w:rsidR="001E5BD3" w:rsidRDefault="00000000">
      <w:pPr>
        <w:spacing w:after="100" w:line="259" w:lineRule="auto"/>
      </w:pPr>
      <w:r>
        <w:t xml:space="preserve">At depth 8, the corrected PC1-to-lowest-variance-PC sensitivity ratios are 0.089 for DeiT-Tiny, 0.041 for DeiT-Small, 65.2 for ViT-B/16 AugReg, and 0.199 for DINOv2 ViT-S/14. PC1 is less sensitive than the selected lowest-variance direction in three models but more sensitive in ViT-B. The ViT-B lowest-variance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covariance eigenvalue, so its large ratio describes sensitivity along the selected sample eigenvector rather than a stable ranking of the full low-variance subspace. Activation variance therefore does not provide a model-independent proxy for margin sensitivity.</w:t>
      </w:r>
    </w:p>
    <w:p w14:paraId="7DC42167" w14:textId="77777777" w:rsidR="001E5BD3" w:rsidRDefault="00000000">
      <w:pPr>
        <w:spacing w:after="100" w:line="259" w:lineRule="auto"/>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declines from depth 5 to depth 10 in all four architectures: 0.541 to 0.125 for DeiT-Tiny, 0.467 to 0.114 for DeiT-Small, 0.383 to 0.140 for ViT-B, and 0.453 to 0.323 for DINOv2. At the operational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near-null fraction rises from 0.52% to 31.77% in DeiT-Tiny, 0.26% to 57.03% in DeiT-Small, and 0.26% to 49.61% in ViT-B. DINOv2 changes only from 0.26% to 1.56% at this cutoff. Its depth-10 fraction is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showing that this threshold summary is particularly cutoff-sensitive for DINOv2. The effective-rank decline is shared across models, while threshold-defined near-null expansion is architecture-dependent. These depth-wise associations are consistent with increasing late-layer fungibility in several models but do not establish an exact nonlinear invariance subspace or a causal explanation.</w:t>
      </w:r>
    </w:p>
    <w:p w14:paraId="6842748F" w14:textId="77777777" w:rsidR="001E5BD3" w:rsidRDefault="00000000">
      <w:pPr>
        <w:spacing w:after="100" w:line="259" w:lineRule="auto"/>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587E93CC" w14:textId="77777777" w:rsidR="001E5BD3" w:rsidRDefault="00000000">
      <w:pPr>
        <w:pStyle w:val="Heading2"/>
      </w:pPr>
      <w:r>
        <w:rPr>
          <w:rFonts w:ascii="Times New Roman" w:hAnsi="Times New Roman"/>
        </w:rPr>
        <w:t>5.2 Value-Path Coherence and Cancellation</w:t>
      </w:r>
    </w:p>
    <w:p w14:paraId="0AF8F100" w14:textId="77777777" w:rsidR="001E5BD3" w:rsidRDefault="00000000">
      <w:pPr>
        <w:spacing w:after="100" w:line="259" w:lineRule="auto"/>
      </w:pPr>
      <w:r xmlns:mo="http://schemas.microsoft.com/office/mac/office/2008/main" xmlns:mv="urn:schemas-microsoft-com:mac:vml">
        <w:rPr>
          <w:rFonts w:ascii="Times New Roman" w:hAnsi="Times New Roman"/>
          <w:i w:val="0"/>
          <w:color w:val="202A32"/>
          <w:sz w:val="20"/>
        </w:rP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xmlns:mo="http://schemas.microsoft.com/office/mac/office/2008/main" xmlns:mv="urn:schemas-microsoft-com:mac:vml">
        <m:r>
          <m:t xml:space="preserve">Q</m:t>
        </m:r>
      </m:oMath>
      <w:r xmlns:mo="http://schemas.microsoft.com/office/mac/office/2008/main" xmlns:mv="urn:schemas-microsoft-com:mac:vml">
        <w:rPr>
          <w:rFonts w:ascii="Times New Roman" w:hAnsi="Times New Roman"/>
          <w:i w:val="0"/>
          <w:color w:val="202A32"/>
          <w:sz w:val="20"/>
        </w:rPr>
        <w:t xml:space="preserve">, </w:t>
      </w:r>
      <m:oMath xmlns:mo="http://schemas.microsoft.com/office/mac/office/2008/main" xmlns:mv="urn:schemas-microsoft-com:mac:vml">
        <m:r>
          <m:t xml:space="preserve">K</m:t>
        </m:r>
      </m:oMath>
      <w:r xmlns:mo="http://schemas.microsoft.com/office/mac/office/2008/main" xmlns:mv="urn:schemas-microsoft-com:mac:vml">
        <w:rPr>
          <w:rFonts w:ascii="Times New Roman" w:hAnsi="Times New Roman"/>
          <w:i w:val="0"/>
          <w:color w:val="202A32"/>
          <w:sz w:val="20"/>
        </w:rPr>
        <w:t xml:space="preserve">, </w:t>
      </w:r>
      <m:oMath xmlns:mo="http://schemas.microsoft.com/office/mac/office/2008/main" xmlns:mv="urn:schemas-microsoft-com:mac:vml">
        <m:r>
          <m:t xml:space="preserve">V</m:t>
        </m:r>
      </m:oMath>
      <w:r xmlns:mo="http://schemas.microsoft.com/office/mac/office/2008/main" xmlns:mv="urn:schemas-microsoft-com:mac:vml">
        <w:rPr>
          <w:rFonts w:ascii="Times New Roman" w:hAnsi="Times New Roman"/>
          <w:i w:val="0"/>
          <w:color w:val="202A32"/>
          <w:sz w:val="20"/>
        </w:rPr>
        <w:t xml:space="preserve">, and the residual stream and recomputes attention. The frozen-attention condition holds clean </w:t>
      </w:r>
      <m:oMath xmlns:mo="http://schemas.microsoft.com/office/mac/office/2008/main" xmlns:mv="urn:schemas-microsoft-com:mac:vml">
        <m:r>
          <m:t xml:space="preserve">Q</m:t>
        </m:r>
      </m:oMath>
      <w:r xmlns:mo="http://schemas.microsoft.com/office/mac/office/2008/main" xmlns:mv="urn:schemas-microsoft-com:mac:vml">
        <w:rPr>
          <w:rFonts w:ascii="Times New Roman" w:hAnsi="Times New Roman"/>
          <w:i w:val="0"/>
          <w:color w:val="202A32"/>
          <w:sz w:val="20"/>
        </w:rPr>
        <w:t xml:space="preserve">, </w:t>
      </w:r>
      <m:oMath xmlns:mo="http://schemas.microsoft.com/office/mac/office/2008/main" xmlns:mv="urn:schemas-microsoft-com:mac:vml">
        <m:r>
          <m:t xml:space="preserve">K</m:t>
        </m:r>
      </m:oMath>
      <w:r xmlns:mo="http://schemas.microsoft.com/office/mac/office/2008/main" xmlns:mv="urn:schemas-microsoft-com:mac:vml">
        <w:rPr>
          <w:rFonts w:ascii="Times New Roman" w:hAnsi="Times New Roman"/>
          <w:i w:val="0"/>
          <w:color w:val="202A32"/>
          <w:sz w:val="20"/>
        </w:rPr>
        <w:t xml:space="preserve">, and attention fixed while perturbing </w:t>
      </w:r>
      <m:oMath xmlns:mo="http://schemas.microsoft.com/office/mac/office/2008/main" xmlns:mv="urn:schemas-microsoft-com:mac:vml">
        <m:r>
          <m:t xml:space="preserve">V</m:t>
        </m:r>
      </m:oMath>
      <w:r xmlns:mo="http://schemas.microsoft.com/office/mac/office/2008/main" xmlns:mv="urn:schemas-microsoft-com:mac:vml">
        <w:rPr>
          <w:rFonts w:ascii="Times New Roman" w:hAnsi="Times New Roman"/>
          <w:i w:val="0"/>
          <w:color w:val="202A32"/>
          <w:sz w:val="20"/>
        </w:rPr>
        <w:t xml:space="preserve"> and the residual, so its difference from the full condition is not a pure Value-only causal effect or an additive attribution.</w:t>
      </w:r>
    </w:p>
    <w:p w14:paraId="0B423218" w14:textId="77777777" w:rsidR="001E5BD3" w:rsidRDefault="00000000">
      <w:pPr>
        <w:spacing w:after="100" w:line="259" w:lineRule="auto"/>
      </w:pPr>
      <w:r xmlns:mo="http://schemas.microsoft.com/office/mac/office/2008/main" xmlns:mv="urn:schemas-microsoft-com:mac:vml">
        <w:rPr>
          <w:rFonts w:ascii="Times New Roman" w:hAnsi="Times New Roman"/>
          <w:i w:val="0"/>
          <w:color w:val="202A32"/>
          <w:sz w:val="20"/>
        </w:rPr>
        <w:t xml:space="preserve">The primary projection-path audit remains limited to DeiT-Small and ViT-B/16 AugReg and is reported separately in Supplementary Figure S12. With the residual stream clean, the V-only immediate-readout norm is 97.4% and 99.4% of the corresponding </w:t>
      </w:r>
      <m:oMath xmlns:mo="http://schemas.microsoft.com/office/mac/office/2008/main" xmlns:mv="urn:schemas-microsoft-com:mac:vml">
        <m:r>
          <m:t xml:space="preserve">K</m:t>
        </m:r>
        <m:r>
          <m:t xml:space="preserve">+</m:t>
        </m:r>
        <m:r>
          <m:t xml:space="preserve">V</m:t>
        </m:r>
      </m:oMath>
      <w:r xmlns:mo="http://schemas.microsoft.com/office/mac/office/2008/main" xmlns:mv="urn:schemas-microsoft-com:mac:vml">
        <w:rPr>
          <w:rFonts w:ascii="Times New Roman" w:hAnsi="Times New Roman"/>
          <w:i w:val="0"/>
          <w:color w:val="202A32"/>
          <w:sz w:val="20"/>
        </w:rPr>
        <w:t xml:space="preserve"> norm, respectively; here </w:t>
      </w:r>
      <m:oMath xmlns:mo="http://schemas.microsoft.com/office/mac/office/2008/main" xmlns:mv="urn:schemas-microsoft-com:mac:vml">
        <m:r>
          <m:t xml:space="preserve">K</m:t>
        </m:r>
        <m:r>
          <m:t xml:space="preserve">+</m:t>
        </m:r>
        <m:r>
          <m:t xml:space="preserve">V</m:t>
        </m:r>
      </m:oMath>
      <w:r xmlns:mo="http://schemas.microsoft.com/office/mac/office/2008/main" xmlns:mv="urn:schemas-microsoft-com:mac:vml">
        <w:rPr>
          <w:rFonts w:ascii="Times New Roman" w:hAnsi="Times New Roman"/>
          <w:i w:val="0"/>
          <w:color w:val="202A32"/>
          <w:sz w:val="20"/>
        </w:rPr>
        <w:t xml:space="preserve"> is the denominator, distinct from the full-perturbation denominator above. A separate signed-logit contrast ratio—coherent-minus-random-sign margin-drop contrast under frozen-attention V-only with perturbed residual, divided by the corresponding full-block contrast—is 70.8% for DeiT-Small and 102.2% for ViT-B/16 AugReg.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14:paraId="058872D4" w14:textId="77777777" w:rsidR="001E5BD3" w:rsidRDefault="00000000">
      <w:pPr>
        <w:keepNext/>
        <w:keepLines/>
        <w:spacing w:after="20"/>
        <w:jc w:val="center"/>
      </w:pPr>
      <w:r>
        <w:rPr>
          <w:noProof/>
        </w:rPr>
        <w:lastRenderedPageBreak/>
        <w:drawing>
          <wp:inline distT="0" distB="0" distL="0" distR="0" wp14:anchorId="58E4B057" wp14:editId="584DE5CD">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2"/>
                    <a:stretch>
                      <a:fillRect/>
                    </a:stretch>
                  </pic:blipFill>
                  <pic:spPr>
                    <a:xfrm>
                      <a:off x="0" y="0"/>
                      <a:ext cx="6172200" cy="4375764"/>
                    </a:xfrm>
                    <a:prstGeom prst="rect">
                      <a:avLst/>
                    </a:prstGeom>
                  </pic:spPr>
                </pic:pic>
              </a:graphicData>
            </a:graphic>
          </wp:inline>
        </w:drawing>
      </w:r>
    </w:p>
    <w:p w14:paraId="5EA9D3A7" w14:textId="77777777" w:rsidR="001E5BD3" w:rsidRDefault="00000000">
      <w:pPr>
        <w:keepLines/>
        <w:spacing w:after="80"/>
        <w:jc w:val="center"/>
      </w:pPr>
      <w:r xmlns:mo="http://schemas.microsoft.com/office/mac/office/2008/main" xmlns:mv="urn:schemas-microsoft-com:mac:vml">
        <w:rPr>
          <w:rFonts w:ascii="Times New Roman" w:hAnsi="Times New Roman"/>
          <w:i/>
          <w:color w:val="4C5963"/>
          <w:sz w:val="17"/>
        </w:rPr>
        <w:t xml:space="preserve">Figure 5. Mean per-image Euclidean </w:t>
      </w:r>
      <m:oMath xmlns:mo="http://schemas.microsoft.com/office/mac/office/2008/main" xmlns:mv="urn:schemas-microsoft-com:mac:vml">
        <m:sSub>
          <m:e>
            <m:r>
              <m:t xml:space="preserve">L</m:t>
            </m:r>
          </m:e>
          <m:sub>
            <m:r>
              <m:t xml:space="preserve">2</m:t>
            </m:r>
          </m:sub>
        </m:sSub>
      </m:oMath>
      <w:r xmlns:mo="http://schemas.microsoft.com/office/mac/office/2008/main" xmlns:mv="urn:schemas-microsoft-com:mac:vml">
        <w:rPr>
          <w:rFonts w:ascii="Times New Roman" w:hAnsi="Times New Roman"/>
          <w:i/>
          <w:color w:val="4C5963"/>
          <w:sz w:val="17"/>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xmlns:mo="http://schemas.microsoft.com/office/mac/office/2008/main" xmlns:mv="urn:schemas-microsoft-com:mac:vml">
        <m:r>
          <m:t xml:space="preserve">Q</m:t>
        </m:r>
        <m:r>
          <m:t xml:space="preserve">,</m:t>
        </m:r>
        <m:r>
          <m:t xml:space="preserve">K</m:t>
        </m:r>
        <m:r>
          <m:t xml:space="preserve">,</m:t>
        </m:r>
        <m:r>
          <m:t xml:space="preserve">V</m:t>
        </m:r>
      </m:oMath>
      <w:r xmlns:mo="http://schemas.microsoft.com/office/mac/office/2008/main" xmlns:mv="urn:schemas-microsoft-com:mac:vml">
        <w:rPr>
          <w:rFonts w:ascii="Times New Roman" w:hAnsi="Times New Roman"/>
          <w:i/>
          <w:color w:val="4C5963"/>
          <w:sz w:val="17"/>
        </w:rPr>
        <w:t xml:space="preserve"> and the residual and recomputes attention; frozen attention keeps clean </w:t>
      </w:r>
      <m:oMath xmlns:mo="http://schemas.microsoft.com/office/mac/office/2008/main" xmlns:mv="urn:schemas-microsoft-com:mac:vml">
        <m:r>
          <m:t xml:space="preserve">Q</m:t>
        </m:r>
        <m:r>
          <m:t xml:space="preserve">,</m:t>
        </m:r>
        <m:r>
          <m:t xml:space="preserve">K</m:t>
        </m:r>
        <m:r>
          <m:t xml:space="preserve">,</m:t>
        </m:r>
        <m:r>
          <m:t xml:space="preserve">A</m:t>
        </m:r>
      </m:oMath>
      <w:r xmlns:mo="http://schemas.microsoft.com/office/mac/office/2008/main" xmlns:mv="urn:schemas-microsoft-com:mac:vml">
        <w:rPr>
          <w:rFonts w:ascii="Times New Roman" w:hAnsi="Times New Roman"/>
          <w:i/>
          <w:color w:val="4C5963"/>
          <w:sz w:val="17"/>
        </w:rPr>
        <w:t xml:space="preserve"> and perturbs </w:t>
      </w:r>
      <m:oMath xmlns:mo="http://schemas.microsoft.com/office/mac/office/2008/main" xmlns:mv="urn:schemas-microsoft-com:mac:vml">
        <m:r>
          <m:t xml:space="preserve">V</m:t>
        </m:r>
      </m:oMath>
      <w:r xmlns:mo="http://schemas.microsoft.com/office/mac/office/2008/main" xmlns:mv="urn:schemas-microsoft-com:mac:vml">
        <w:rPr>
          <w:rFonts w:ascii="Times New Roman" w:hAnsi="Times New Roman"/>
          <w:i/>
          <w:color w:val="4C5963"/>
          <w:sz w:val="17"/>
        </w:rPr>
        <w:t xml:space="preserve"> and the residual. Bars are means over </w:t>
      </w:r>
      <m:oMath xmlns:mo="http://schemas.microsoft.com/office/mac/office/2008/main" xmlns:mv="urn:schemas-microsoft-com:mac:vml">
        <m:r>
          <m:t xml:space="preserve">N</m:t>
        </m:r>
        <m:r>
          <m:t xml:space="preserve">=</m:t>
        </m:r>
        <m:r>
          <m:t xml:space="preserve">100</m:t>
        </m:r>
      </m:oMath>
      <w:r xmlns:mo="http://schemas.microsoft.com/office/mac/office/2008/main" xmlns:mv="urn:schemas-microsoft-com:mac:vml">
        <w:rPr>
          <w:rFonts w:ascii="Times New Roman" w:hAnsi="Times New Roman"/>
          <w:i/>
          <w:color w:val="4C5963"/>
          <w:sz w:val="17"/>
        </w:rPr>
        <w:t xml:space="preserve"> outcome images. Panels (c,d) are reduced replications, not full Q/K/V decompositions. DINOv2’s immediate-readout vector concatenates the CLS and mean-patch representations; the other models use the CLS representation.</w:t>
      </w:r>
    </w:p>
    <w:p w14:paraId="3CFA8174" w14:textId="77777777" w:rsidR="001E5BD3" w:rsidRDefault="00000000">
      <w:pPr>
        <w:spacing w:after="100" w:line="259" w:lineRule="auto"/>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57EB5A5C" w14:textId="77777777">
        <w:trPr>
          <w:cantSplit/>
          <w:jc w:val="center"/>
        </w:trPr>
        <w:tc>
          <w:tcPr>
            <w:tcW w:w="518" w:type="dxa"/>
            <w:tcMar>
              <w:top w:w="0" w:type="dxa"/>
              <w:left w:w="0" w:type="dxa"/>
              <w:bottom w:w="0" w:type="dxa"/>
              <w:right w:w="0" w:type="dxa"/>
            </w:tcMar>
            <w:vAlign w:val="center"/>
          </w:tcPr>
          <w:p w14:paraId="71450FE9"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01805682"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33836C41" w14:textId="77777777" w:rsidR="001E5BD3"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53DCC7D7" w14:textId="77777777" w:rsidR="001E5BD3" w:rsidRDefault="00000000">
            <w:pPr>
              <w:keepLines/>
              <w:spacing w:before="40" w:after="80" w:line="240" w:lineRule="auto"/>
              <w:jc w:val="right"/>
            </w:pPr>
            <w:r>
              <w:rPr>
                <w:sz w:val="18"/>
              </w:rPr>
              <w:t>(3)</w:t>
            </w:r>
          </w:p>
        </w:tc>
      </w:tr>
    </w:tbl>
    <w:p w14:paraId="7AF65615" w14:textId="77777777" w:rsidR="001E5BD3" w:rsidRDefault="00000000">
      <w:pPr>
        <w:spacing w:after="100" w:line="259" w:lineRule="auto"/>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57515B97" w14:textId="77777777" w:rsidR="001E5BD3" w:rsidRDefault="00000000">
      <w:pPr>
        <w:pStyle w:val="Heading2"/>
      </w:pPr>
      <w:r>
        <w:rPr>
          <w:rFonts w:ascii="Times New Roman" w:hAnsi="Times New Roman"/>
        </w:rPr>
        <w:lastRenderedPageBreak/>
        <w:t>5.3 End-to-End Functional Transmission</w:t>
      </w:r>
    </w:p>
    <w:p w14:paraId="67338259" w14:textId="77777777" w:rsidR="001E5BD3" w:rsidRDefault="00000000">
      <w:pPr>
        <w:spacing w:after="100" w:line="259" w:lineRule="auto"/>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530789F6" w14:textId="77777777">
        <w:trPr>
          <w:cantSplit/>
          <w:jc w:val="center"/>
        </w:trPr>
        <w:tc>
          <w:tcPr>
            <w:tcW w:w="518" w:type="dxa"/>
            <w:tcMar>
              <w:top w:w="0" w:type="dxa"/>
              <w:left w:w="0" w:type="dxa"/>
              <w:bottom w:w="0" w:type="dxa"/>
              <w:right w:w="0" w:type="dxa"/>
            </w:tcMar>
            <w:vAlign w:val="center"/>
          </w:tcPr>
          <w:p w14:paraId="3E1C9003"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68CD8A58"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30414835" w14:textId="77777777" w:rsidR="001E5BD3"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537BE4DB" w14:textId="77777777" w:rsidR="001E5BD3" w:rsidRDefault="00000000">
            <w:pPr>
              <w:keepLines/>
              <w:spacing w:before="40" w:after="80" w:line="240" w:lineRule="auto"/>
              <w:jc w:val="right"/>
            </w:pPr>
            <w:r>
              <w:rPr>
                <w:sz w:val="18"/>
              </w:rPr>
              <w:t>(4)</w:t>
            </w:r>
          </w:p>
        </w:tc>
      </w:tr>
    </w:tbl>
    <w:p w14:paraId="63448B7D" w14:textId="77777777" w:rsidR="001E5BD3" w:rsidRDefault="00000000">
      <w:pPr>
        <w:spacing w:after="100" w:line="259" w:lineRule="auto"/>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57A8348B" w14:textId="77777777" w:rsidR="001E5BD3" w:rsidRDefault="00000000">
      <w:pPr>
        <w:spacing w:after="100" w:line="259" w:lineRule="auto"/>
      </w:pPr>
      <w:r>
        <w:t>In the tested joint-stream conditions, changing either factor changes downstream damage: sensitive feature directions produce larger changes mainly under coherent token patterns, while near-null directions are comparatively tolerated. The depth grid covers DeiT-Small and ViT-B/16 AugReg; DeiT-Tiny and DINOv2 provide Block-8 replications. The direction-by-pattern regression is saturated, with no residual degrees of freedom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oMath>
      <w:r>
        <w:t xml:space="preserve">, </w:t>
      </w:r>
      <m:oMath>
        <m:r>
          <w:rPr>
            <w:rFonts w:ascii="Cambria Math" w:hAnsi="Cambria Math"/>
          </w:rPr>
          <m:t>F=0</m:t>
        </m:r>
      </m:oMath>
      <w:r>
        <w:t xml:space="preserve">, </w:t>
      </w:r>
      <m:oMath>
        <m:r>
          <w:rPr>
            <w:rFonts w:ascii="Cambria Math" w:hAnsi="Cambria Math"/>
          </w:rPr>
          <m:t>p=1</m:t>
        </m:r>
      </m:oMath>
      <w:r>
        <w:t xml:space="preserve">); these condition orderings are descriptive rather than an inferential test of interaction. The feature metric used to select directions is the joint-stream audit’s per-image mean patch-margin-gradient metric, distinct from both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Section 5.1 and the downstream readout Jacobian below.</w:t>
      </w:r>
    </w:p>
    <w:p w14:paraId="6AF4952E" w14:textId="77777777" w:rsidR="001E5BD3" w:rsidRDefault="00000000">
      <w:pPr>
        <w:spacing w:after="100" w:line="259" w:lineRule="auto"/>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08E08512" w14:textId="77777777">
        <w:trPr>
          <w:cantSplit/>
          <w:jc w:val="center"/>
        </w:trPr>
        <w:tc>
          <w:tcPr>
            <w:tcW w:w="518" w:type="dxa"/>
            <w:tcMar>
              <w:top w:w="0" w:type="dxa"/>
              <w:left w:w="0" w:type="dxa"/>
              <w:bottom w:w="0" w:type="dxa"/>
              <w:right w:w="0" w:type="dxa"/>
            </w:tcMar>
            <w:vAlign w:val="center"/>
          </w:tcPr>
          <w:p w14:paraId="440BFA00"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1A82A83F"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217D2EFD" w14:textId="77777777" w:rsidR="001E5BD3"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5A8058EE" w14:textId="77777777" w:rsidR="001E5BD3" w:rsidRDefault="00000000">
            <w:pPr>
              <w:keepLines/>
              <w:spacing w:before="40" w:after="80" w:line="240" w:lineRule="auto"/>
              <w:jc w:val="right"/>
            </w:pPr>
            <w:r>
              <w:rPr>
                <w:sz w:val="18"/>
              </w:rPr>
              <w:t>(5)</w:t>
            </w:r>
          </w:p>
        </w:tc>
      </w:tr>
    </w:tbl>
    <w:p w14:paraId="285DB884" w14:textId="77777777" w:rsidR="001E5BD3" w:rsidRDefault="00000000">
      <w:pPr>
        <w:spacing w:after="100" w:line="259" w:lineRule="auto"/>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2E7C638A" w14:textId="77777777" w:rsidR="001E5BD3" w:rsidRDefault="00000000">
      <w:pPr>
        <w:spacing w:after="100" w:line="259" w:lineRule="auto"/>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6(a,b)).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The higher aggregate correlations therefore indicate stronger predictive association for this prescribed mixture, not general superiority over arbitrary perturbations or independent image batches.</w:t>
      </w:r>
    </w:p>
    <w:p w14:paraId="750378D3" w14:textId="77777777" w:rsidR="001E5BD3" w:rsidRDefault="00000000">
      <w:pPr>
        <w:spacing w:after="100" w:line="259" w:lineRule="auto"/>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6(c)). These ratios compare two finite-radius outcomes and are distinct from the prediction correlations above. In the original DeiT-Small Block-8 analysis, the mean principal angle from Block 8 to Block 9 was 49.0°.</w:t>
      </w:r>
    </w:p>
    <w:p w14:paraId="213F32BC" w14:textId="77777777" w:rsidR="001E5BD3" w:rsidRDefault="00000000">
      <w:pPr>
        <w:keepNext/>
        <w:keepLines/>
        <w:spacing w:after="20"/>
        <w:jc w:val="center"/>
      </w:pPr>
      <w:r>
        <w:rPr>
          <w:noProof/>
        </w:rPr>
        <w:lastRenderedPageBreak/>
        <w:drawing>
          <wp:inline distT="0" distB="0" distL="0" distR="0" wp14:anchorId="3F75CE67" wp14:editId="257C1299">
            <wp:extent cx="6172200" cy="31248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3"/>
                    <a:stretch>
                      <a:fillRect/>
                    </a:stretch>
                  </pic:blipFill>
                  <pic:spPr>
                    <a:xfrm>
                      <a:off x="0" y="0"/>
                      <a:ext cx="6172200" cy="3124829"/>
                    </a:xfrm>
                    <a:prstGeom prst="rect">
                      <a:avLst/>
                    </a:prstGeom>
                  </pic:spPr>
                </pic:pic>
              </a:graphicData>
            </a:graphic>
          </wp:inline>
        </w:drawing>
      </w:r>
    </w:p>
    <w:p w14:paraId="108A2859" w14:textId="77777777" w:rsidR="001E5BD3" w:rsidRDefault="00000000">
      <w:pPr>
        <w:keepLines/>
        <w:spacing w:after="80"/>
        <w:jc w:val="center"/>
      </w:pPr>
      <w:r>
        <w:rPr>
          <w:i/>
          <w:color w:val="4C5963"/>
          <w:sz w:val="17"/>
        </w:rPr>
        <w:t xml:space="preserve">Figure 6. (a,b) Pearson and Spearman correlations of predicted and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for single-block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rPr>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averages over the reference batch, whereas </w:t>
      </w:r>
      <m:oMath>
        <m:r>
          <w:rPr>
            <w:rFonts w:ascii="Cambria Math" w:hAnsi="Cambria Math"/>
          </w:rPr>
          <m:t>J</m:t>
        </m:r>
      </m:oMath>
      <w:r>
        <w:rPr>
          <w:i/>
          <w:color w:val="4C5963"/>
          <w:sz w:val="17"/>
        </w:rPr>
        <w:t xml:space="preserve"> is linearized at its first image. (c) Ratio of mean finite-radius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under the multi-block top mode to that under the multi-block near-null mode at </w:t>
      </w:r>
      <m:oMath>
        <m:r>
          <w:rPr>
            <w:rFonts w:ascii="Cambria Math" w:hAnsi="Cambria Math"/>
          </w:rPr>
          <m:t>s=0.4</m:t>
        </m:r>
      </m:oMath>
      <w:r>
        <w:rPr>
          <w:i/>
          <w:color w:val="4C5963"/>
          <w:sz w:val="17"/>
        </w:rPr>
        <w:t>. DINOv2 uses its official CLS-plus-mean-patch readout.</w:t>
      </w:r>
    </w:p>
    <w:p w14:paraId="1F3A8DD7" w14:textId="77777777" w:rsidR="001E5BD3" w:rsidRDefault="00000000">
      <w:pPr>
        <w:spacing w:after="100" w:line="259" w:lineRule="auto"/>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14:paraId="24602ABA" w14:textId="77777777" w:rsidR="001E5BD3" w:rsidRDefault="00000000">
      <w:pPr>
        <w:pStyle w:val="Heading1"/>
      </w:pPr>
      <w:r>
        <w:rPr>
          <w:rFonts w:ascii="Times New Roman" w:hAnsi="Times New Roman"/>
        </w:rPr>
        <w:t>6. Operator-Aware Token Compression</w:t>
      </w:r>
    </w:p>
    <w:p w14:paraId="1853EF33" w14:textId="77777777" w:rsidR="001E5BD3" w:rsidRDefault="00000000">
      <w:pPr>
        <w:pStyle w:val="Heading2"/>
      </w:pPr>
      <w:r>
        <w:rPr>
          <w:rFonts w:ascii="Times New Roman" w:hAnsi="Times New Roman"/>
        </w:rPr>
        <w:t>6.1 Carrier Grouping and Optimization</w:t>
      </w:r>
    </w:p>
    <w:p w14:paraId="670C31E5" w14:textId="77777777" w:rsidR="001E5BD3" w:rsidRDefault="00000000">
      <w:pPr>
        <w:spacing w:after="100" w:line="259" w:lineRule="auto"/>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00FE3777" w14:textId="77777777">
        <w:trPr>
          <w:cantSplit/>
          <w:jc w:val="center"/>
        </w:trPr>
        <w:tc>
          <w:tcPr>
            <w:tcW w:w="518" w:type="dxa"/>
            <w:tcMar>
              <w:top w:w="0" w:type="dxa"/>
              <w:left w:w="0" w:type="dxa"/>
              <w:bottom w:w="0" w:type="dxa"/>
              <w:right w:w="0" w:type="dxa"/>
            </w:tcMar>
            <w:vAlign w:val="center"/>
          </w:tcPr>
          <w:p w14:paraId="59E30B23"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762F1B99" w14:textId="77777777" w:rsidR="001E5BD3"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0842AD47" w14:textId="77777777" w:rsidR="001E5BD3" w:rsidRDefault="00000000">
            <w:pPr>
              <w:keepLines/>
              <w:spacing w:before="40" w:after="80" w:line="240" w:lineRule="auto"/>
              <w:jc w:val="right"/>
            </w:pPr>
            <w:r>
              <w:rPr>
                <w:sz w:val="18"/>
              </w:rPr>
              <w:t>(6)</w:t>
            </w:r>
          </w:p>
        </w:tc>
      </w:tr>
    </w:tbl>
    <w:p w14:paraId="33A28C53" w14:textId="77777777" w:rsidR="001E5BD3" w:rsidRDefault="00000000">
      <w:pPr>
        <w:spacing w:after="100" w:line="259" w:lineRule="auto"/>
      </w:pPr>
      <w:r>
        <w:t xml:space="preserve">The residual matrix E=P−SC is the difference between the original and reconstructed patch features. </w:t>
      </w: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0D9A560F" w14:textId="77777777">
        <w:trPr>
          <w:cantSplit/>
          <w:jc w:val="center"/>
        </w:trPr>
        <w:tc>
          <w:tcPr>
            <w:tcW w:w="518" w:type="dxa"/>
            <w:tcMar>
              <w:top w:w="0" w:type="dxa"/>
              <w:left w:w="0" w:type="dxa"/>
              <w:bottom w:w="0" w:type="dxa"/>
              <w:right w:w="0" w:type="dxa"/>
            </w:tcMar>
            <w:vAlign w:val="center"/>
          </w:tcPr>
          <w:p w14:paraId="7DEE198D"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325733EB" w14:textId="77777777" w:rsidR="001E5BD3"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566F79A3" w14:textId="77777777" w:rsidR="001E5BD3" w:rsidRDefault="00000000">
            <w:pPr>
              <w:keepLines/>
              <w:spacing w:before="40" w:after="80" w:line="240" w:lineRule="auto"/>
              <w:jc w:val="right"/>
            </w:pPr>
            <w:r>
              <w:rPr>
                <w:sz w:val="18"/>
              </w:rPr>
              <w:t>(7)</w:t>
            </w:r>
          </w:p>
        </w:tc>
      </w:tr>
    </w:tbl>
    <w:p w14:paraId="74E429E1" w14:textId="77777777" w:rsidR="001E5BD3" w:rsidRDefault="00000000">
      <w:pPr>
        <w:spacing w:after="100" w:line="259" w:lineRule="auto"/>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3B63665F" w14:textId="77777777">
        <w:trPr>
          <w:cantSplit/>
          <w:jc w:val="center"/>
        </w:trPr>
        <w:tc>
          <w:tcPr>
            <w:tcW w:w="518" w:type="dxa"/>
            <w:tcMar>
              <w:top w:w="0" w:type="dxa"/>
              <w:left w:w="0" w:type="dxa"/>
              <w:bottom w:w="0" w:type="dxa"/>
              <w:right w:w="0" w:type="dxa"/>
            </w:tcMar>
            <w:vAlign w:val="center"/>
          </w:tcPr>
          <w:p w14:paraId="702791EC"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39160E3C"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1E2CE53F" w14:textId="77777777" w:rsidR="001E5BD3" w:rsidRDefault="00000000">
            <w:pPr>
              <w:keepLines/>
              <w:spacing w:before="40" w:after="80" w:line="240" w:lineRule="auto"/>
              <w:jc w:val="right"/>
            </w:pPr>
            <w:r>
              <w:rPr>
                <w:sz w:val="18"/>
              </w:rPr>
              <w:t>(8)</w:t>
            </w:r>
          </w:p>
        </w:tc>
      </w:tr>
    </w:tbl>
    <w:p w14:paraId="6F5B2519" w14:textId="77777777" w:rsidR="001E5BD3" w:rsidRDefault="00000000">
      <w:pPr>
        <w:spacing w:after="100" w:line="259" w:lineRule="auto"/>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not a feature-activation covariance. It is distinct from the centered calibration-activation covariance that defines PCA directions.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46995164" w14:textId="77777777">
        <w:trPr>
          <w:cantSplit/>
          <w:jc w:val="center"/>
        </w:trPr>
        <w:tc>
          <w:tcPr>
            <w:tcW w:w="518" w:type="dxa"/>
            <w:tcMar>
              <w:top w:w="0" w:type="dxa"/>
              <w:left w:w="0" w:type="dxa"/>
              <w:bottom w:w="0" w:type="dxa"/>
              <w:right w:w="0" w:type="dxa"/>
            </w:tcMar>
            <w:vAlign w:val="center"/>
          </w:tcPr>
          <w:p w14:paraId="16AB2114"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3E20AC72" w14:textId="77777777" w:rsidR="001E5BD3"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6846364" w14:textId="77777777" w:rsidR="001E5BD3"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1FE59BDE" w14:textId="77777777" w:rsidR="001E5BD3" w:rsidRDefault="00000000">
            <w:pPr>
              <w:keepLines/>
              <w:spacing w:before="40" w:after="80" w:line="240" w:lineRule="auto"/>
              <w:jc w:val="right"/>
            </w:pPr>
            <w:r>
              <w:rPr>
                <w:sz w:val="18"/>
              </w:rPr>
              <w:t>(9)</w:t>
            </w:r>
          </w:p>
        </w:tc>
      </w:tr>
    </w:tbl>
    <w:p w14:paraId="02D43695" w14:textId="77777777" w:rsidR="001E5BD3" w:rsidRDefault="00000000">
      <w:pPr>
        <w:spacing w:after="100" w:line="259" w:lineRule="auto"/>
      </w:pPr>
      <w:r>
        <w:lastRenderedPageBreak/>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223EB006" w14:textId="77777777" w:rsidR="001E5BD3" w:rsidRDefault="00000000">
      <w:pPr>
        <w:spacing w:after="100" w:line="259" w:lineRule="auto"/>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1E5BD3" w14:paraId="2AC0CC1E" w14:textId="77777777">
        <w:trPr>
          <w:cantSplit/>
          <w:jc w:val="center"/>
        </w:trPr>
        <w:tc>
          <w:tcPr>
            <w:tcW w:w="518" w:type="dxa"/>
            <w:tcMar>
              <w:top w:w="0" w:type="dxa"/>
              <w:left w:w="0" w:type="dxa"/>
              <w:bottom w:w="0" w:type="dxa"/>
              <w:right w:w="0" w:type="dxa"/>
            </w:tcMar>
            <w:vAlign w:val="center"/>
          </w:tcPr>
          <w:p w14:paraId="59F38B01" w14:textId="77777777" w:rsidR="001E5BD3" w:rsidRDefault="001E5BD3">
            <w:pPr>
              <w:keepLines/>
              <w:spacing w:before="40" w:after="80" w:line="240" w:lineRule="auto"/>
            </w:pPr>
          </w:p>
        </w:tc>
        <w:tc>
          <w:tcPr>
            <w:tcW w:w="8957" w:type="dxa"/>
            <w:tcMar>
              <w:top w:w="0" w:type="dxa"/>
              <w:left w:w="0" w:type="dxa"/>
              <w:bottom w:w="0" w:type="dxa"/>
              <w:right w:w="0" w:type="dxa"/>
            </w:tcMar>
            <w:vAlign w:val="center"/>
          </w:tcPr>
          <w:p w14:paraId="6F289860" w14:textId="77777777" w:rsidR="001E5BD3"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036A941D" w14:textId="77777777" w:rsidR="001E5BD3" w:rsidRDefault="00000000">
            <w:pPr>
              <w:keepLines/>
              <w:spacing w:before="40" w:after="80" w:line="240" w:lineRule="auto"/>
              <w:jc w:val="right"/>
            </w:pPr>
            <w:r>
              <w:rPr>
                <w:sz w:val="18"/>
              </w:rPr>
              <w:t>(10)</w:t>
            </w:r>
          </w:p>
        </w:tc>
      </w:tr>
    </w:tbl>
    <w:p w14:paraId="41635B7D" w14:textId="77777777" w:rsidR="001E5BD3" w:rsidRDefault="00000000">
      <w:pPr>
        <w:spacing w:after="100" w:line="259" w:lineRule="auto"/>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1BB993EB" w14:textId="77777777" w:rsidR="001E5BD3" w:rsidRDefault="00000000">
      <w:pPr>
        <w:pStyle w:val="Heading2"/>
      </w:pPr>
      <w:r>
        <w:rPr>
          <w:rFonts w:ascii="Times New Roman" w:hAnsi="Times New Roman"/>
        </w:rPr>
        <w:t>6.2 Confirmatory Compression Results</w:t>
      </w:r>
    </w:p>
    <w:p w14:paraId="396C591E" w14:textId="77777777" w:rsidR="001E5BD3" w:rsidRDefault="00000000">
      <w:pPr>
        <w:spacing w:after="100" w:line="259" w:lineRule="auto"/>
      </w:pPr>
      <w:r>
        <w:t>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Figure 7 presents the full accuracy-token curves.</w:t>
      </w:r>
    </w:p>
    <w:p w14:paraId="0CA396F6" w14:textId="77777777" w:rsidR="001E5BD3" w:rsidRDefault="00000000">
      <w:pPr>
        <w:spacing w:after="100" w:line="259" w:lineRule="auto"/>
      </w:pPr>
      <w:r>
        <w:t>TABLE II</w:t>
      </w:r>
    </w:p>
    <w:p w14:paraId="7AE324A5" w14:textId="77777777" w:rsidR="001E5BD3" w:rsidRDefault="00000000">
      <w:pPr>
        <w:spacing w:after="100" w:line="259" w:lineRule="auto"/>
      </w:pPr>
      <w:r>
        <w:t>STRICT CONFIRMATORY TOP-1 ACCURACY AT THE MOST AGGRESSIVE TESTED BUDGET</w:t>
      </w:r>
    </w:p>
    <w:tbl>
      <w:tblPr>
        <w:tblStyle w:val="TableGrid"/>
        <w:tblW w:w="0" w:type="auto"/>
        <w:tblLook w:val="04A0" w:firstRow="1" w:lastRow="0" w:firstColumn="1" w:lastColumn="0" w:noHBand="0" w:noVBand="1"/>
      </w:tblPr>
      <w:tblGrid>
        <w:gridCol w:w="1249"/>
        <w:gridCol w:w="1249"/>
        <w:gridCol w:w="1249"/>
        <w:gridCol w:w="1249"/>
        <w:gridCol w:w="1249"/>
        <w:gridCol w:w="1249"/>
        <w:gridCol w:w="1249"/>
        <w:gridCol w:w="1249"/>
      </w:tblGrid>
      <w:tr w:rsidR="001E5BD3" w14:paraId="66158F6F" w14:textId="77777777">
        <w:trPr>
          <w:tblHeader/>
        </w:trPr>
        <w:tc>
          <w:tcPr>
            <w:tcW w:w="1249" w:type="dxa"/>
            <w:shd w:val="clear" w:color="auto" w:fill="DCEBF2"/>
            <w:tcMar>
              <w:top w:w="55" w:type="dxa"/>
              <w:left w:w="65" w:type="dxa"/>
              <w:bottom w:w="55" w:type="dxa"/>
              <w:right w:w="65" w:type="dxa"/>
            </w:tcMar>
            <w:vAlign w:val="center"/>
          </w:tcPr>
          <w:p w14:paraId="7701C081" w14:textId="77777777" w:rsidR="001E5BD3" w:rsidRDefault="00000000">
            <w:pPr>
              <w:jc w:val="center"/>
            </w:pPr>
            <w:r>
              <w:rPr>
                <w:b/>
                <w:color w:val="17232D"/>
                <w:sz w:val="15"/>
              </w:rPr>
              <w:t>Architecture</w:t>
            </w:r>
          </w:p>
        </w:tc>
        <w:tc>
          <w:tcPr>
            <w:tcW w:w="1249" w:type="dxa"/>
            <w:shd w:val="clear" w:color="auto" w:fill="DCEBF2"/>
            <w:tcMar>
              <w:top w:w="55" w:type="dxa"/>
              <w:left w:w="65" w:type="dxa"/>
              <w:bottom w:w="55" w:type="dxa"/>
              <w:right w:w="65" w:type="dxa"/>
            </w:tcMar>
            <w:vAlign w:val="center"/>
          </w:tcPr>
          <w:p w14:paraId="19430ABA" w14:textId="77777777" w:rsidR="001E5BD3" w:rsidRDefault="00000000">
            <w:pPr>
              <w:jc w:val="center"/>
            </w:pPr>
            <w:r>
              <w:rPr>
                <w:b/>
                <w:color w:val="17232D"/>
                <w:sz w:val="15"/>
              </w:rPr>
              <w:t>Budget</w:t>
            </w:r>
          </w:p>
        </w:tc>
        <w:tc>
          <w:tcPr>
            <w:tcW w:w="1249" w:type="dxa"/>
            <w:shd w:val="clear" w:color="auto" w:fill="DCEBF2"/>
            <w:tcMar>
              <w:top w:w="55" w:type="dxa"/>
              <w:left w:w="65" w:type="dxa"/>
              <w:bottom w:w="55" w:type="dxa"/>
              <w:right w:w="65" w:type="dxa"/>
            </w:tcMar>
            <w:vAlign w:val="center"/>
          </w:tcPr>
          <w:p w14:paraId="3BFF50C5" w14:textId="77777777" w:rsidR="001E5BD3" w:rsidRDefault="00000000">
            <w:pPr>
              <w:jc w:val="center"/>
            </w:pPr>
            <w:r>
              <w:rPr>
                <w:b/>
                <w:color w:val="17232D"/>
                <w:sz w:val="15"/>
              </w:rPr>
              <w:t>Best pruning baseline</w:t>
            </w:r>
          </w:p>
        </w:tc>
        <w:tc>
          <w:tcPr>
            <w:tcW w:w="1249" w:type="dxa"/>
            <w:shd w:val="clear" w:color="auto" w:fill="DCEBF2"/>
            <w:tcMar>
              <w:top w:w="55" w:type="dxa"/>
              <w:left w:w="65" w:type="dxa"/>
              <w:bottom w:w="55" w:type="dxa"/>
              <w:right w:w="65" w:type="dxa"/>
            </w:tcMar>
            <w:vAlign w:val="center"/>
          </w:tcPr>
          <w:p w14:paraId="4CCA6F2E" w14:textId="77777777" w:rsidR="001E5BD3" w:rsidRDefault="00000000">
            <w:pPr>
              <w:jc w:val="center"/>
            </w:pPr>
            <w:r>
              <w:rPr>
                <w:b/>
                <w:color w:val="17232D"/>
                <w:sz w:val="15"/>
              </w:rPr>
              <w:t>Group Mean</w:t>
            </w:r>
          </w:p>
        </w:tc>
        <w:tc>
          <w:tcPr>
            <w:tcW w:w="1249" w:type="dxa"/>
            <w:shd w:val="clear" w:color="auto" w:fill="DCEBF2"/>
            <w:tcMar>
              <w:top w:w="55" w:type="dxa"/>
              <w:left w:w="65" w:type="dxa"/>
              <w:bottom w:w="55" w:type="dxa"/>
              <w:right w:w="65" w:type="dxa"/>
            </w:tcMar>
            <w:vAlign w:val="center"/>
          </w:tcPr>
          <w:p w14:paraId="0D181AD8" w14:textId="77777777" w:rsidR="001E5BD3" w:rsidRDefault="00000000">
            <w:pPr>
              <w:jc w:val="center"/>
            </w:pPr>
            <w:r>
              <w:rPr>
                <w:b/>
                <w:color w:val="17232D"/>
                <w:sz w:val="15"/>
              </w:rPr>
              <w:t>ToMe</w:t>
            </w:r>
          </w:p>
        </w:tc>
        <w:tc>
          <w:tcPr>
            <w:tcW w:w="1249" w:type="dxa"/>
            <w:shd w:val="clear" w:color="auto" w:fill="DCEBF2"/>
            <w:tcMar>
              <w:top w:w="55" w:type="dxa"/>
              <w:left w:w="65" w:type="dxa"/>
              <w:bottom w:w="55" w:type="dxa"/>
              <w:right w:w="65" w:type="dxa"/>
            </w:tcMar>
            <w:vAlign w:val="center"/>
          </w:tcPr>
          <w:p w14:paraId="70CA8FDB" w14:textId="77777777" w:rsidR="001E5BD3" w:rsidRDefault="00000000">
            <w:pPr>
              <w:jc w:val="center"/>
            </w:pPr>
            <w:r>
              <w:rPr>
                <w:b/>
                <w:color w:val="17232D"/>
                <w:sz w:val="15"/>
              </w:rPr>
              <w:t>Full-J oracle</w:t>
            </w:r>
          </w:p>
        </w:tc>
        <w:tc>
          <w:tcPr>
            <w:tcW w:w="1249" w:type="dxa"/>
            <w:shd w:val="clear" w:color="auto" w:fill="DCEBF2"/>
            <w:tcMar>
              <w:top w:w="55" w:type="dxa"/>
              <w:left w:w="65" w:type="dxa"/>
              <w:bottom w:w="55" w:type="dxa"/>
              <w:right w:w="65" w:type="dxa"/>
            </w:tcMar>
            <w:vAlign w:val="center"/>
          </w:tcPr>
          <w:p w14:paraId="25FDB806" w14:textId="77777777" w:rsidR="001E5BD3" w:rsidRDefault="00000000">
            <w:pPr>
              <w:jc w:val="center"/>
            </w:pPr>
            <w:r>
              <w:rPr>
                <w:b/>
                <w:color w:val="17232D"/>
                <w:sz w:val="15"/>
              </w:rPr>
              <w:t>Rank-16</w:t>
            </w:r>
          </w:p>
        </w:tc>
        <w:tc>
          <w:tcPr>
            <w:tcW w:w="1249" w:type="dxa"/>
            <w:shd w:val="clear" w:color="auto" w:fill="DCEBF2"/>
            <w:tcMar>
              <w:top w:w="55" w:type="dxa"/>
              <w:left w:w="65" w:type="dxa"/>
              <w:bottom w:w="55" w:type="dxa"/>
              <w:right w:w="65" w:type="dxa"/>
            </w:tcMar>
            <w:vAlign w:val="center"/>
          </w:tcPr>
          <w:p w14:paraId="11899493" w14:textId="77777777" w:rsidR="001E5BD3" w:rsidRDefault="00000000">
            <w:pPr>
              <w:jc w:val="center"/>
            </w:pPr>
            <w:r>
              <w:rPr>
                <w:b/>
                <w:color w:val="17232D"/>
                <w:sz w:val="15"/>
              </w:rPr>
              <w:t>Rank-32</w:t>
            </w:r>
          </w:p>
        </w:tc>
      </w:tr>
      <w:tr w:rsidR="001E5BD3" w14:paraId="741D659A" w14:textId="77777777">
        <w:tc>
          <w:tcPr>
            <w:tcW w:w="1249" w:type="dxa"/>
            <w:tcMar>
              <w:top w:w="55" w:type="dxa"/>
              <w:left w:w="65" w:type="dxa"/>
              <w:bottom w:w="55" w:type="dxa"/>
              <w:right w:w="65" w:type="dxa"/>
            </w:tcMar>
            <w:vAlign w:val="center"/>
          </w:tcPr>
          <w:p w14:paraId="642C92D4" w14:textId="77777777" w:rsidR="001E5BD3" w:rsidRDefault="00000000">
            <w:r>
              <w:rPr>
                <w:sz w:val="15"/>
              </w:rPr>
              <w:t>DeiT-Tiny</w:t>
            </w:r>
          </w:p>
        </w:tc>
        <w:tc>
          <w:tcPr>
            <w:tcW w:w="1249" w:type="dxa"/>
            <w:tcMar>
              <w:top w:w="55" w:type="dxa"/>
              <w:left w:w="65" w:type="dxa"/>
              <w:bottom w:w="55" w:type="dxa"/>
              <w:right w:w="65" w:type="dxa"/>
            </w:tcMar>
            <w:vAlign w:val="center"/>
          </w:tcPr>
          <w:p w14:paraId="1D09B25F" w14:textId="77777777" w:rsidR="001E5BD3" w:rsidRDefault="00000000">
            <w:pPr>
              <w:jc w:val="center"/>
            </w:pPr>
            <w:r>
              <w:rPr>
                <w:sz w:val="15"/>
              </w:rPr>
              <w:t>32</w:t>
            </w:r>
          </w:p>
        </w:tc>
        <w:tc>
          <w:tcPr>
            <w:tcW w:w="1249" w:type="dxa"/>
            <w:tcMar>
              <w:top w:w="55" w:type="dxa"/>
              <w:left w:w="65" w:type="dxa"/>
              <w:bottom w:w="55" w:type="dxa"/>
              <w:right w:w="65" w:type="dxa"/>
            </w:tcMar>
            <w:vAlign w:val="center"/>
          </w:tcPr>
          <w:p w14:paraId="180CBACF" w14:textId="77777777" w:rsidR="001E5BD3" w:rsidRDefault="00000000">
            <w:pPr>
              <w:jc w:val="center"/>
            </w:pPr>
            <w:r>
              <w:rPr>
                <w:sz w:val="15"/>
              </w:rPr>
              <w:t>Random, 58.6%</w:t>
            </w:r>
          </w:p>
        </w:tc>
        <w:tc>
          <w:tcPr>
            <w:tcW w:w="1249" w:type="dxa"/>
            <w:tcMar>
              <w:top w:w="55" w:type="dxa"/>
              <w:left w:w="65" w:type="dxa"/>
              <w:bottom w:w="55" w:type="dxa"/>
              <w:right w:w="65" w:type="dxa"/>
            </w:tcMar>
            <w:vAlign w:val="center"/>
          </w:tcPr>
          <w:p w14:paraId="3B6757F0" w14:textId="77777777" w:rsidR="001E5BD3" w:rsidRDefault="00000000">
            <w:pPr>
              <w:jc w:val="center"/>
            </w:pPr>
            <w:r>
              <w:rPr>
                <w:sz w:val="15"/>
              </w:rPr>
              <w:t>66.5%</w:t>
            </w:r>
          </w:p>
        </w:tc>
        <w:tc>
          <w:tcPr>
            <w:tcW w:w="1249" w:type="dxa"/>
            <w:tcMar>
              <w:top w:w="55" w:type="dxa"/>
              <w:left w:w="65" w:type="dxa"/>
              <w:bottom w:w="55" w:type="dxa"/>
              <w:right w:w="65" w:type="dxa"/>
            </w:tcMar>
            <w:vAlign w:val="center"/>
          </w:tcPr>
          <w:p w14:paraId="06A569A2" w14:textId="77777777" w:rsidR="001E5BD3" w:rsidRDefault="00000000">
            <w:pPr>
              <w:jc w:val="center"/>
            </w:pPr>
            <w:r>
              <w:rPr>
                <w:sz w:val="15"/>
              </w:rPr>
              <w:t>65.8%</w:t>
            </w:r>
          </w:p>
        </w:tc>
        <w:tc>
          <w:tcPr>
            <w:tcW w:w="1249" w:type="dxa"/>
            <w:tcMar>
              <w:top w:w="55" w:type="dxa"/>
              <w:left w:w="65" w:type="dxa"/>
              <w:bottom w:w="55" w:type="dxa"/>
              <w:right w:w="65" w:type="dxa"/>
            </w:tcMar>
            <w:vAlign w:val="center"/>
          </w:tcPr>
          <w:p w14:paraId="12D21E5B" w14:textId="77777777" w:rsidR="001E5BD3" w:rsidRDefault="00000000">
            <w:pPr>
              <w:jc w:val="center"/>
            </w:pPr>
            <w:r>
              <w:rPr>
                <w:sz w:val="15"/>
              </w:rPr>
              <w:t>67.1%</w:t>
            </w:r>
          </w:p>
        </w:tc>
        <w:tc>
          <w:tcPr>
            <w:tcW w:w="1249" w:type="dxa"/>
            <w:tcMar>
              <w:top w:w="55" w:type="dxa"/>
              <w:left w:w="65" w:type="dxa"/>
              <w:bottom w:w="55" w:type="dxa"/>
              <w:right w:w="65" w:type="dxa"/>
            </w:tcMar>
            <w:vAlign w:val="center"/>
          </w:tcPr>
          <w:p w14:paraId="21E34CDF" w14:textId="77777777" w:rsidR="001E5BD3" w:rsidRDefault="00000000">
            <w:pPr>
              <w:jc w:val="center"/>
            </w:pPr>
            <w:r>
              <w:rPr>
                <w:sz w:val="15"/>
              </w:rPr>
              <w:t>67.1%</w:t>
            </w:r>
          </w:p>
        </w:tc>
        <w:tc>
          <w:tcPr>
            <w:tcW w:w="1249" w:type="dxa"/>
            <w:tcMar>
              <w:top w:w="55" w:type="dxa"/>
              <w:left w:w="65" w:type="dxa"/>
              <w:bottom w:w="55" w:type="dxa"/>
              <w:right w:w="65" w:type="dxa"/>
            </w:tcMar>
            <w:vAlign w:val="center"/>
          </w:tcPr>
          <w:p w14:paraId="2808C940" w14:textId="77777777" w:rsidR="001E5BD3" w:rsidRDefault="00000000">
            <w:pPr>
              <w:jc w:val="center"/>
            </w:pPr>
            <w:r>
              <w:rPr>
                <w:sz w:val="15"/>
              </w:rPr>
              <w:t>67.9%</w:t>
            </w:r>
          </w:p>
        </w:tc>
      </w:tr>
      <w:tr w:rsidR="001E5BD3" w14:paraId="67174729" w14:textId="77777777">
        <w:tc>
          <w:tcPr>
            <w:tcW w:w="1249" w:type="dxa"/>
            <w:tcMar>
              <w:top w:w="55" w:type="dxa"/>
              <w:left w:w="65" w:type="dxa"/>
              <w:bottom w:w="55" w:type="dxa"/>
              <w:right w:w="65" w:type="dxa"/>
            </w:tcMar>
            <w:vAlign w:val="center"/>
          </w:tcPr>
          <w:p w14:paraId="26CFBE7B" w14:textId="77777777" w:rsidR="001E5BD3" w:rsidRDefault="00000000">
            <w:r>
              <w:rPr>
                <w:sz w:val="15"/>
              </w:rPr>
              <w:t>DeiT-Small</w:t>
            </w:r>
          </w:p>
        </w:tc>
        <w:tc>
          <w:tcPr>
            <w:tcW w:w="1249" w:type="dxa"/>
            <w:tcMar>
              <w:top w:w="55" w:type="dxa"/>
              <w:left w:w="65" w:type="dxa"/>
              <w:bottom w:w="55" w:type="dxa"/>
              <w:right w:w="65" w:type="dxa"/>
            </w:tcMar>
            <w:vAlign w:val="center"/>
          </w:tcPr>
          <w:p w14:paraId="0ACB4024" w14:textId="77777777" w:rsidR="001E5BD3" w:rsidRDefault="00000000">
            <w:pPr>
              <w:jc w:val="center"/>
            </w:pPr>
            <w:r>
              <w:rPr>
                <w:sz w:val="15"/>
              </w:rPr>
              <w:t>32</w:t>
            </w:r>
          </w:p>
        </w:tc>
        <w:tc>
          <w:tcPr>
            <w:tcW w:w="1249" w:type="dxa"/>
            <w:tcMar>
              <w:top w:w="55" w:type="dxa"/>
              <w:left w:w="65" w:type="dxa"/>
              <w:bottom w:w="55" w:type="dxa"/>
              <w:right w:w="65" w:type="dxa"/>
            </w:tcMar>
            <w:vAlign w:val="center"/>
          </w:tcPr>
          <w:p w14:paraId="3268552F" w14:textId="77777777" w:rsidR="001E5BD3" w:rsidRDefault="00000000">
            <w:pPr>
              <w:jc w:val="center"/>
            </w:pPr>
            <w:r>
              <w:rPr>
                <w:sz w:val="15"/>
              </w:rPr>
              <w:t>Attention, 71.6%</w:t>
            </w:r>
          </w:p>
        </w:tc>
        <w:tc>
          <w:tcPr>
            <w:tcW w:w="1249" w:type="dxa"/>
            <w:tcMar>
              <w:top w:w="55" w:type="dxa"/>
              <w:left w:w="65" w:type="dxa"/>
              <w:bottom w:w="55" w:type="dxa"/>
              <w:right w:w="65" w:type="dxa"/>
            </w:tcMar>
            <w:vAlign w:val="center"/>
          </w:tcPr>
          <w:p w14:paraId="6798B713" w14:textId="77777777" w:rsidR="001E5BD3" w:rsidRDefault="00000000">
            <w:pPr>
              <w:jc w:val="center"/>
            </w:pPr>
            <w:r>
              <w:rPr>
                <w:sz w:val="15"/>
              </w:rPr>
              <w:t>76.4%</w:t>
            </w:r>
          </w:p>
        </w:tc>
        <w:tc>
          <w:tcPr>
            <w:tcW w:w="1249" w:type="dxa"/>
            <w:tcMar>
              <w:top w:w="55" w:type="dxa"/>
              <w:left w:w="65" w:type="dxa"/>
              <w:bottom w:w="55" w:type="dxa"/>
              <w:right w:w="65" w:type="dxa"/>
            </w:tcMar>
            <w:vAlign w:val="center"/>
          </w:tcPr>
          <w:p w14:paraId="68B44D49" w14:textId="77777777" w:rsidR="001E5BD3" w:rsidRDefault="00000000">
            <w:pPr>
              <w:jc w:val="center"/>
            </w:pPr>
            <w:r>
              <w:rPr>
                <w:sz w:val="15"/>
              </w:rPr>
              <w:t>76.4%</w:t>
            </w:r>
          </w:p>
        </w:tc>
        <w:tc>
          <w:tcPr>
            <w:tcW w:w="1249" w:type="dxa"/>
            <w:tcMar>
              <w:top w:w="55" w:type="dxa"/>
              <w:left w:w="65" w:type="dxa"/>
              <w:bottom w:w="55" w:type="dxa"/>
              <w:right w:w="65" w:type="dxa"/>
            </w:tcMar>
            <w:vAlign w:val="center"/>
          </w:tcPr>
          <w:p w14:paraId="6805CD3F" w14:textId="77777777" w:rsidR="001E5BD3" w:rsidRDefault="00000000">
            <w:pPr>
              <w:jc w:val="center"/>
            </w:pPr>
            <w:r>
              <w:rPr>
                <w:sz w:val="15"/>
              </w:rPr>
              <w:t>75.8%</w:t>
            </w:r>
          </w:p>
        </w:tc>
        <w:tc>
          <w:tcPr>
            <w:tcW w:w="1249" w:type="dxa"/>
            <w:tcMar>
              <w:top w:w="55" w:type="dxa"/>
              <w:left w:w="65" w:type="dxa"/>
              <w:bottom w:w="55" w:type="dxa"/>
              <w:right w:w="65" w:type="dxa"/>
            </w:tcMar>
            <w:vAlign w:val="center"/>
          </w:tcPr>
          <w:p w14:paraId="419FE106" w14:textId="77777777" w:rsidR="001E5BD3" w:rsidRDefault="00000000">
            <w:pPr>
              <w:jc w:val="center"/>
            </w:pPr>
            <w:r>
              <w:rPr>
                <w:sz w:val="15"/>
              </w:rPr>
              <w:t>76.5%</w:t>
            </w:r>
          </w:p>
        </w:tc>
        <w:tc>
          <w:tcPr>
            <w:tcW w:w="1249" w:type="dxa"/>
            <w:tcMar>
              <w:top w:w="55" w:type="dxa"/>
              <w:left w:w="65" w:type="dxa"/>
              <w:bottom w:w="55" w:type="dxa"/>
              <w:right w:w="65" w:type="dxa"/>
            </w:tcMar>
            <w:vAlign w:val="center"/>
          </w:tcPr>
          <w:p w14:paraId="2D8875AD" w14:textId="77777777" w:rsidR="001E5BD3" w:rsidRDefault="00000000">
            <w:pPr>
              <w:jc w:val="center"/>
            </w:pPr>
            <w:r>
              <w:rPr>
                <w:sz w:val="15"/>
              </w:rPr>
              <w:t>76.5%</w:t>
            </w:r>
          </w:p>
        </w:tc>
      </w:tr>
      <w:tr w:rsidR="001E5BD3" w14:paraId="373C7AA3" w14:textId="77777777">
        <w:tc>
          <w:tcPr>
            <w:tcW w:w="1249" w:type="dxa"/>
            <w:tcMar>
              <w:top w:w="55" w:type="dxa"/>
              <w:left w:w="65" w:type="dxa"/>
              <w:bottom w:w="55" w:type="dxa"/>
              <w:right w:w="65" w:type="dxa"/>
            </w:tcMar>
            <w:vAlign w:val="center"/>
          </w:tcPr>
          <w:p w14:paraId="0311DD85" w14:textId="77777777" w:rsidR="001E5BD3" w:rsidRDefault="00000000">
            <w:r>
              <w:rPr>
                <w:sz w:val="15"/>
              </w:rPr>
              <w:t>ViT-B/16 AugReg</w:t>
            </w:r>
          </w:p>
        </w:tc>
        <w:tc>
          <w:tcPr>
            <w:tcW w:w="1249" w:type="dxa"/>
            <w:tcMar>
              <w:top w:w="55" w:type="dxa"/>
              <w:left w:w="65" w:type="dxa"/>
              <w:bottom w:w="55" w:type="dxa"/>
              <w:right w:w="65" w:type="dxa"/>
            </w:tcMar>
            <w:vAlign w:val="center"/>
          </w:tcPr>
          <w:p w14:paraId="5F6BE0D3" w14:textId="77777777" w:rsidR="001E5BD3" w:rsidRDefault="00000000">
            <w:pPr>
              <w:jc w:val="center"/>
            </w:pPr>
            <w:r>
              <w:rPr>
                <w:sz w:val="15"/>
              </w:rPr>
              <w:t>32</w:t>
            </w:r>
          </w:p>
        </w:tc>
        <w:tc>
          <w:tcPr>
            <w:tcW w:w="1249" w:type="dxa"/>
            <w:tcMar>
              <w:top w:w="55" w:type="dxa"/>
              <w:left w:w="65" w:type="dxa"/>
              <w:bottom w:w="55" w:type="dxa"/>
              <w:right w:w="65" w:type="dxa"/>
            </w:tcMar>
            <w:vAlign w:val="center"/>
          </w:tcPr>
          <w:p w14:paraId="489CF09F" w14:textId="77777777" w:rsidR="001E5BD3" w:rsidRDefault="00000000">
            <w:pPr>
              <w:jc w:val="center"/>
            </w:pPr>
            <w:r>
              <w:rPr>
                <w:sz w:val="15"/>
              </w:rPr>
              <w:t>Random, 69.2%</w:t>
            </w:r>
          </w:p>
        </w:tc>
        <w:tc>
          <w:tcPr>
            <w:tcW w:w="1249" w:type="dxa"/>
            <w:tcMar>
              <w:top w:w="55" w:type="dxa"/>
              <w:left w:w="65" w:type="dxa"/>
              <w:bottom w:w="55" w:type="dxa"/>
              <w:right w:w="65" w:type="dxa"/>
            </w:tcMar>
            <w:vAlign w:val="center"/>
          </w:tcPr>
          <w:p w14:paraId="47C7D8CE" w14:textId="77777777" w:rsidR="001E5BD3" w:rsidRDefault="00000000">
            <w:pPr>
              <w:jc w:val="center"/>
            </w:pPr>
            <w:r>
              <w:rPr>
                <w:sz w:val="15"/>
              </w:rPr>
              <w:t>73.2%</w:t>
            </w:r>
          </w:p>
        </w:tc>
        <w:tc>
          <w:tcPr>
            <w:tcW w:w="1249" w:type="dxa"/>
            <w:tcMar>
              <w:top w:w="55" w:type="dxa"/>
              <w:left w:w="65" w:type="dxa"/>
              <w:bottom w:w="55" w:type="dxa"/>
              <w:right w:w="65" w:type="dxa"/>
            </w:tcMar>
            <w:vAlign w:val="center"/>
          </w:tcPr>
          <w:p w14:paraId="58D536E5" w14:textId="77777777" w:rsidR="001E5BD3" w:rsidRDefault="00000000">
            <w:pPr>
              <w:jc w:val="center"/>
            </w:pPr>
            <w:r>
              <w:rPr>
                <w:sz w:val="15"/>
              </w:rPr>
              <w:t>73.0%</w:t>
            </w:r>
          </w:p>
        </w:tc>
        <w:tc>
          <w:tcPr>
            <w:tcW w:w="1249" w:type="dxa"/>
            <w:tcMar>
              <w:top w:w="55" w:type="dxa"/>
              <w:left w:w="65" w:type="dxa"/>
              <w:bottom w:w="55" w:type="dxa"/>
              <w:right w:w="65" w:type="dxa"/>
            </w:tcMar>
            <w:vAlign w:val="center"/>
          </w:tcPr>
          <w:p w14:paraId="06A7C3CA" w14:textId="77777777" w:rsidR="001E5BD3" w:rsidRDefault="00000000">
            <w:pPr>
              <w:jc w:val="center"/>
            </w:pPr>
            <w:r>
              <w:rPr>
                <w:sz w:val="15"/>
              </w:rPr>
              <w:t>74.4%</w:t>
            </w:r>
          </w:p>
        </w:tc>
        <w:tc>
          <w:tcPr>
            <w:tcW w:w="1249" w:type="dxa"/>
            <w:tcMar>
              <w:top w:w="55" w:type="dxa"/>
              <w:left w:w="65" w:type="dxa"/>
              <w:bottom w:w="55" w:type="dxa"/>
              <w:right w:w="65" w:type="dxa"/>
            </w:tcMar>
            <w:vAlign w:val="center"/>
          </w:tcPr>
          <w:p w14:paraId="6D0ED2A1" w14:textId="77777777" w:rsidR="001E5BD3" w:rsidRDefault="00000000">
            <w:pPr>
              <w:jc w:val="center"/>
            </w:pPr>
            <w:r>
              <w:rPr>
                <w:sz w:val="15"/>
              </w:rPr>
              <w:t>73.7%</w:t>
            </w:r>
          </w:p>
        </w:tc>
        <w:tc>
          <w:tcPr>
            <w:tcW w:w="1249" w:type="dxa"/>
            <w:tcMar>
              <w:top w:w="55" w:type="dxa"/>
              <w:left w:w="65" w:type="dxa"/>
              <w:bottom w:w="55" w:type="dxa"/>
              <w:right w:w="65" w:type="dxa"/>
            </w:tcMar>
            <w:vAlign w:val="center"/>
          </w:tcPr>
          <w:p w14:paraId="6CB357CE" w14:textId="77777777" w:rsidR="001E5BD3" w:rsidRDefault="00000000">
            <w:pPr>
              <w:jc w:val="center"/>
            </w:pPr>
            <w:r>
              <w:rPr>
                <w:sz w:val="15"/>
              </w:rPr>
              <w:t>74.2%</w:t>
            </w:r>
          </w:p>
        </w:tc>
      </w:tr>
      <w:tr w:rsidR="001E5BD3" w14:paraId="49917570" w14:textId="77777777">
        <w:tc>
          <w:tcPr>
            <w:tcW w:w="1249" w:type="dxa"/>
            <w:tcMar>
              <w:top w:w="55" w:type="dxa"/>
              <w:left w:w="65" w:type="dxa"/>
              <w:bottom w:w="55" w:type="dxa"/>
              <w:right w:w="65" w:type="dxa"/>
            </w:tcMar>
            <w:vAlign w:val="center"/>
          </w:tcPr>
          <w:p w14:paraId="2639A259" w14:textId="77777777" w:rsidR="001E5BD3" w:rsidRDefault="00000000">
            <w:r>
              <w:rPr>
                <w:sz w:val="15"/>
              </w:rPr>
              <w:t>DINOv2 ViT-S/14</w:t>
            </w:r>
          </w:p>
        </w:tc>
        <w:tc>
          <w:tcPr>
            <w:tcW w:w="1249" w:type="dxa"/>
            <w:tcMar>
              <w:top w:w="55" w:type="dxa"/>
              <w:left w:w="65" w:type="dxa"/>
              <w:bottom w:w="55" w:type="dxa"/>
              <w:right w:w="65" w:type="dxa"/>
            </w:tcMar>
            <w:vAlign w:val="center"/>
          </w:tcPr>
          <w:p w14:paraId="0C15EFBA" w14:textId="77777777" w:rsidR="001E5BD3" w:rsidRDefault="00000000">
            <w:pPr>
              <w:jc w:val="center"/>
            </w:pPr>
            <w:r>
              <w:rPr>
                <w:sz w:val="15"/>
              </w:rPr>
              <w:t>42</w:t>
            </w:r>
          </w:p>
        </w:tc>
        <w:tc>
          <w:tcPr>
            <w:tcW w:w="1249" w:type="dxa"/>
            <w:tcMar>
              <w:top w:w="55" w:type="dxa"/>
              <w:left w:w="65" w:type="dxa"/>
              <w:bottom w:w="55" w:type="dxa"/>
              <w:right w:w="65" w:type="dxa"/>
            </w:tcMar>
            <w:vAlign w:val="center"/>
          </w:tcPr>
          <w:p w14:paraId="409A594F" w14:textId="77777777" w:rsidR="001E5BD3" w:rsidRDefault="00000000">
            <w:pPr>
              <w:jc w:val="center"/>
            </w:pPr>
            <w:r>
              <w:rPr>
                <w:sz w:val="15"/>
              </w:rPr>
              <w:t>Random, 61.5%</w:t>
            </w:r>
          </w:p>
        </w:tc>
        <w:tc>
          <w:tcPr>
            <w:tcW w:w="1249" w:type="dxa"/>
            <w:tcMar>
              <w:top w:w="55" w:type="dxa"/>
              <w:left w:w="65" w:type="dxa"/>
              <w:bottom w:w="55" w:type="dxa"/>
              <w:right w:w="65" w:type="dxa"/>
            </w:tcMar>
            <w:vAlign w:val="center"/>
          </w:tcPr>
          <w:p w14:paraId="7C610203" w14:textId="77777777" w:rsidR="001E5BD3" w:rsidRDefault="00000000">
            <w:pPr>
              <w:jc w:val="center"/>
            </w:pPr>
            <w:r>
              <w:rPr>
                <w:sz w:val="15"/>
              </w:rPr>
              <w:t>72.2%</w:t>
            </w:r>
          </w:p>
        </w:tc>
        <w:tc>
          <w:tcPr>
            <w:tcW w:w="1249" w:type="dxa"/>
            <w:tcMar>
              <w:top w:w="55" w:type="dxa"/>
              <w:left w:w="65" w:type="dxa"/>
              <w:bottom w:w="55" w:type="dxa"/>
              <w:right w:w="65" w:type="dxa"/>
            </w:tcMar>
            <w:vAlign w:val="center"/>
          </w:tcPr>
          <w:p w14:paraId="309736E2" w14:textId="77777777" w:rsidR="001E5BD3" w:rsidRDefault="00000000">
            <w:pPr>
              <w:jc w:val="center"/>
            </w:pPr>
            <w:r>
              <w:rPr>
                <w:sz w:val="15"/>
              </w:rPr>
              <w:t>69.4%</w:t>
            </w:r>
          </w:p>
        </w:tc>
        <w:tc>
          <w:tcPr>
            <w:tcW w:w="1249" w:type="dxa"/>
            <w:tcMar>
              <w:top w:w="55" w:type="dxa"/>
              <w:left w:w="65" w:type="dxa"/>
              <w:bottom w:w="55" w:type="dxa"/>
              <w:right w:w="65" w:type="dxa"/>
            </w:tcMar>
            <w:vAlign w:val="center"/>
          </w:tcPr>
          <w:p w14:paraId="34215771" w14:textId="77777777" w:rsidR="001E5BD3" w:rsidRDefault="00000000">
            <w:pPr>
              <w:jc w:val="center"/>
            </w:pPr>
            <w:r>
              <w:rPr>
                <w:sz w:val="15"/>
              </w:rPr>
              <w:t>73.5%</w:t>
            </w:r>
          </w:p>
        </w:tc>
        <w:tc>
          <w:tcPr>
            <w:tcW w:w="1249" w:type="dxa"/>
            <w:tcMar>
              <w:top w:w="55" w:type="dxa"/>
              <w:left w:w="65" w:type="dxa"/>
              <w:bottom w:w="55" w:type="dxa"/>
              <w:right w:w="65" w:type="dxa"/>
            </w:tcMar>
            <w:vAlign w:val="center"/>
          </w:tcPr>
          <w:p w14:paraId="7E244DA2" w14:textId="77777777" w:rsidR="001E5BD3" w:rsidRDefault="00000000">
            <w:pPr>
              <w:jc w:val="center"/>
            </w:pPr>
            <w:r>
              <w:rPr>
                <w:sz w:val="15"/>
              </w:rPr>
              <w:t>73.2%</w:t>
            </w:r>
          </w:p>
        </w:tc>
        <w:tc>
          <w:tcPr>
            <w:tcW w:w="1249" w:type="dxa"/>
            <w:tcMar>
              <w:top w:w="55" w:type="dxa"/>
              <w:left w:w="65" w:type="dxa"/>
              <w:bottom w:w="55" w:type="dxa"/>
              <w:right w:w="65" w:type="dxa"/>
            </w:tcMar>
            <w:vAlign w:val="center"/>
          </w:tcPr>
          <w:p w14:paraId="51C339E9" w14:textId="77777777" w:rsidR="001E5BD3" w:rsidRDefault="00000000">
            <w:pPr>
              <w:jc w:val="center"/>
            </w:pPr>
            <w:r>
              <w:rPr>
                <w:sz w:val="15"/>
              </w:rPr>
              <w:t>73.0%</w:t>
            </w:r>
          </w:p>
        </w:tc>
      </w:tr>
    </w:tbl>
    <w:p w14:paraId="6C5322B3" w14:textId="77777777" w:rsidR="001E5BD3" w:rsidRDefault="001E5BD3">
      <w:pPr>
        <w:spacing w:after="20"/>
      </w:pPr>
    </w:p>
    <w:p w14:paraId="4C672523" w14:textId="77777777" w:rsidR="001E5BD3" w:rsidRDefault="00000000">
      <w:pPr>
        <w:keepLines/>
        <w:spacing w:after="80"/>
        <w:jc w:val="center"/>
      </w:pPr>
      <w:r>
        <w:rPr>
          <w:i/>
          <w:color w:val="4C5963"/>
          <w:sz w:val="17"/>
        </w:rPr>
        <w:t>Table II. Top-1 accuracy on N=1,000 held-out images per architecture. The pruning entry is the strongest among Random, Norm, and Attention Pruning at the listed budget. The architecture-specific budgets are the lowest budgets evaluated in the strict confirmatory sweep.</w:t>
      </w:r>
    </w:p>
    <w:p w14:paraId="2C089026" w14:textId="77777777" w:rsidR="001E5BD3" w:rsidRDefault="00000000">
      <w:pPr>
        <w:spacing w:after="100" w:line="259" w:lineRule="auto"/>
      </w:pPr>
      <w:r>
        <w:t>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7 reports the measured accuracy-token curves, while Table II lists rank-16 and rank-32 Top-1 at each architecture's most aggressive tested budget.</w:t>
      </w:r>
    </w:p>
    <w:p w14:paraId="5F8ED2E0" w14:textId="77777777" w:rsidR="001E5BD3" w:rsidRDefault="00000000">
      <w:pPr>
        <w:keepNext/>
        <w:keepLines/>
        <w:spacing w:after="20"/>
        <w:jc w:val="center"/>
      </w:pPr>
      <w:r>
        <w:rPr>
          <w:noProof/>
        </w:rPr>
        <w:lastRenderedPageBreak/>
        <w:drawing>
          <wp:inline distT="0" distB="0" distL="0" distR="0" wp14:anchorId="23E22E82" wp14:editId="371EEA2C">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4"/>
                    <a:stretch>
                      <a:fillRect/>
                    </a:stretch>
                  </pic:blipFill>
                  <pic:spPr>
                    <a:xfrm>
                      <a:off x="0" y="0"/>
                      <a:ext cx="6172200" cy="3663846"/>
                    </a:xfrm>
                    <a:prstGeom prst="rect">
                      <a:avLst/>
                    </a:prstGeom>
                  </pic:spPr>
                </pic:pic>
              </a:graphicData>
            </a:graphic>
          </wp:inline>
        </w:drawing>
      </w:r>
    </w:p>
    <w:p w14:paraId="053CC9C0" w14:textId="77777777" w:rsidR="001E5BD3" w:rsidRDefault="00000000">
      <w:pPr>
        <w:keepLines/>
        <w:spacing w:after="80"/>
        <w:jc w:val="center"/>
      </w:pPr>
      <w:r>
        <w:rPr>
          <w:i/>
          <w:color w:val="4C5963"/>
          <w:sz w:val="17"/>
        </w:rPr>
        <w:t>Figure 7. Confirmatory Top-1 accuracy versus retained patch-token fraction for four architectures. Curves show pruning, Group Mean, ToMe, the full-J oracle, and rank-32; rank-16 Top-1 is listed in Table II at the most aggressive tested budget. Each architecture uses N=1,000 held-out images.</w:t>
      </w:r>
    </w:p>
    <w:p w14:paraId="08146D39" w14:textId="77777777" w:rsidR="001E5BD3" w:rsidRDefault="00000000">
      <w:pPr>
        <w:pStyle w:val="Heading1"/>
      </w:pPr>
      <w:r>
        <w:rPr>
          <w:rFonts w:ascii="Times New Roman" w:hAnsi="Times New Roman"/>
        </w:rPr>
        <w:t>7. Practical Carrier Evaluation</w:t>
      </w:r>
    </w:p>
    <w:p w14:paraId="12AEC61A" w14:textId="77777777" w:rsidR="001E5BD3" w:rsidRDefault="00000000">
      <w:pPr>
        <w:pStyle w:val="Heading2"/>
      </w:pPr>
      <w:r>
        <w:rPr>
          <w:rFonts w:ascii="Times New Roman" w:hAnsi="Times New Roman"/>
        </w:rPr>
        <w:t>7.1 Static Feature-PCA Corrections</w:t>
      </w:r>
    </w:p>
    <w:p w14:paraId="55F2953B" w14:textId="77777777" w:rsidR="001E5BD3" w:rsidRDefault="00000000">
      <w:pPr>
        <w:spacing w:after="100" w:line="259" w:lineRule="auto"/>
      </w:pPr>
      <w:r>
        <w:t>In the separate operator-space cohort, static Feature-PCA at q=16 recovers 54.91% of the restricted-oracle ‖J E‖ gain for DeiT-Small. In a separate q=16 ablation, shuffling PCA coordinates raises mean ‖J E‖ from 6.602 to 8.076 (Δ=1.474). Both are linearized operator-space results, not classifier-level recovery rates.</w:t>
      </w:r>
    </w:p>
    <w:p w14:paraId="5653E4B4" w14:textId="77777777" w:rsidR="001E5BD3" w:rsidRDefault="00000000">
      <w:pPr>
        <w:pStyle w:val="Heading2"/>
      </w:pPr>
      <w:r>
        <w:rPr>
          <w:rFonts w:ascii="Times New Roman" w:hAnsi="Times New Roman"/>
        </w:rPr>
        <w:t>7.2 Classification and Throughput Evaluation</w:t>
      </w:r>
    </w:p>
    <w:p w14:paraId="6B79B949" w14:textId="77777777" w:rsidR="001E5BD3" w:rsidRDefault="00000000">
      <w:pPr>
        <w:spacing w:after="100" w:line="259" w:lineRule="auto"/>
      </w:pPr>
      <w:r>
        <w:t>Static Feature-PCA does not consistently improve classifier accuracy over Hybrid Group Mean: both DeiT-Small budgets and the aggressive DINOv2 budget are at or below the baseline, while ViT-B/16 AugReg shows a modest positive case (Table III).</w:t>
      </w:r>
    </w:p>
    <w:p w14:paraId="37C614F0" w14:textId="77777777" w:rsidR="001E5BD3" w:rsidRDefault="00000000">
      <w:pPr>
        <w:spacing w:after="100" w:line="259" w:lineRule="auto"/>
      </w:pPr>
      <w:r>
        <w:t>TABLE III</w:t>
      </w:r>
    </w:p>
    <w:p w14:paraId="451E18EC" w14:textId="77777777" w:rsidR="001E5BD3" w:rsidRDefault="00000000">
      <w:pPr>
        <w:spacing w:after="100" w:line="259" w:lineRule="auto"/>
      </w:pPr>
      <w:r>
        <w:t>CLASSIFIER-CARRIER COUNTS AT REPORTED BUDGETS</w:t>
      </w:r>
    </w:p>
    <w:tbl>
      <w:tblPr>
        <w:tblStyle w:val="TableGrid"/>
        <w:tblW w:w="0" w:type="auto"/>
        <w:tblLook w:val="04A0" w:firstRow="1" w:lastRow="0" w:firstColumn="1" w:lastColumn="0" w:noHBand="0" w:noVBand="1"/>
      </w:tblPr>
      <w:tblGrid>
        <w:gridCol w:w="1999"/>
        <w:gridCol w:w="1999"/>
        <w:gridCol w:w="1999"/>
        <w:gridCol w:w="1999"/>
        <w:gridCol w:w="1999"/>
      </w:tblGrid>
      <w:tr w:rsidR="001E5BD3" w14:paraId="5DB2CDF6" w14:textId="77777777">
        <w:trPr>
          <w:tblHeader/>
        </w:trPr>
        <w:tc>
          <w:tcPr>
            <w:tcW w:w="1999" w:type="dxa"/>
            <w:shd w:val="clear" w:color="auto" w:fill="DCEBF2"/>
            <w:tcMar>
              <w:top w:w="55" w:type="dxa"/>
              <w:left w:w="65" w:type="dxa"/>
              <w:bottom w:w="55" w:type="dxa"/>
              <w:right w:w="65" w:type="dxa"/>
            </w:tcMar>
            <w:vAlign w:val="center"/>
          </w:tcPr>
          <w:p w14:paraId="2EAEF87E" w14:textId="77777777" w:rsidR="001E5BD3" w:rsidRDefault="00000000">
            <w:pPr>
              <w:jc w:val="center"/>
            </w:pPr>
            <w:r>
              <w:rPr>
                <w:b/>
                <w:color w:val="17232D"/>
                <w:sz w:val="16"/>
              </w:rPr>
              <w:t>Architecture</w:t>
            </w:r>
          </w:p>
        </w:tc>
        <w:tc>
          <w:tcPr>
            <w:tcW w:w="1999" w:type="dxa"/>
            <w:shd w:val="clear" w:color="auto" w:fill="DCEBF2"/>
            <w:tcMar>
              <w:top w:w="55" w:type="dxa"/>
              <w:left w:w="65" w:type="dxa"/>
              <w:bottom w:w="55" w:type="dxa"/>
              <w:right w:w="65" w:type="dxa"/>
            </w:tcMar>
            <w:vAlign w:val="center"/>
          </w:tcPr>
          <w:p w14:paraId="097FBCB0" w14:textId="77777777" w:rsidR="001E5BD3" w:rsidRDefault="00000000">
            <w:pPr>
              <w:jc w:val="center"/>
            </w:pPr>
            <w:r>
              <w:rPr>
                <w:b/>
                <w:color w:val="17232D"/>
                <w:sz w:val="16"/>
              </w:rPr>
              <w:t>Budget</w:t>
            </w:r>
          </w:p>
        </w:tc>
        <w:tc>
          <w:tcPr>
            <w:tcW w:w="1999" w:type="dxa"/>
            <w:shd w:val="clear" w:color="auto" w:fill="DCEBF2"/>
            <w:tcMar>
              <w:top w:w="55" w:type="dxa"/>
              <w:left w:w="65" w:type="dxa"/>
              <w:bottom w:w="55" w:type="dxa"/>
              <w:right w:w="65" w:type="dxa"/>
            </w:tcMar>
            <w:vAlign w:val="center"/>
          </w:tcPr>
          <w:p w14:paraId="04766749" w14:textId="77777777" w:rsidR="001E5BD3" w:rsidRDefault="00000000">
            <w:pPr>
              <w:jc w:val="center"/>
            </w:pPr>
            <w:r>
              <w:rPr>
                <w:b/>
                <w:color w:val="17232D"/>
                <w:sz w:val="16"/>
              </w:rPr>
              <w:t>Hybrid Group Mean</w:t>
            </w:r>
          </w:p>
        </w:tc>
        <w:tc>
          <w:tcPr>
            <w:tcW w:w="1999" w:type="dxa"/>
            <w:shd w:val="clear" w:color="auto" w:fill="DCEBF2"/>
            <w:tcMar>
              <w:top w:w="55" w:type="dxa"/>
              <w:left w:w="65" w:type="dxa"/>
              <w:bottom w:w="55" w:type="dxa"/>
              <w:right w:w="65" w:type="dxa"/>
            </w:tcMar>
            <w:vAlign w:val="center"/>
          </w:tcPr>
          <w:p w14:paraId="4D65099A" w14:textId="77777777" w:rsidR="001E5BD3" w:rsidRDefault="00000000">
            <w:pPr>
              <w:jc w:val="center"/>
            </w:pPr>
            <w:r>
              <w:rPr>
                <w:b/>
                <w:color w:val="17232D"/>
                <w:sz w:val="16"/>
              </w:rPr>
              <w:t>Static Feature-PCA, q=16</w:t>
            </w:r>
          </w:p>
        </w:tc>
        <w:tc>
          <w:tcPr>
            <w:tcW w:w="1999" w:type="dxa"/>
            <w:shd w:val="clear" w:color="auto" w:fill="DCEBF2"/>
            <w:tcMar>
              <w:top w:w="55" w:type="dxa"/>
              <w:left w:w="65" w:type="dxa"/>
              <w:bottom w:w="55" w:type="dxa"/>
              <w:right w:w="65" w:type="dxa"/>
            </w:tcMar>
            <w:vAlign w:val="center"/>
          </w:tcPr>
          <w:p w14:paraId="382E279F" w14:textId="77777777" w:rsidR="001E5BD3" w:rsidRDefault="00000000">
            <w:pPr>
              <w:jc w:val="center"/>
            </w:pPr>
            <w:r>
              <w:rPr>
                <w:b/>
                <w:color w:val="17232D"/>
                <w:sz w:val="16"/>
              </w:rPr>
              <w:t>Static Feature-PCA, q=32</w:t>
            </w:r>
          </w:p>
        </w:tc>
      </w:tr>
      <w:tr w:rsidR="001E5BD3" w14:paraId="1CC6B95B" w14:textId="77777777">
        <w:tc>
          <w:tcPr>
            <w:tcW w:w="1999" w:type="dxa"/>
            <w:tcMar>
              <w:top w:w="55" w:type="dxa"/>
              <w:left w:w="65" w:type="dxa"/>
              <w:bottom w:w="55" w:type="dxa"/>
              <w:right w:w="65" w:type="dxa"/>
            </w:tcMar>
            <w:vAlign w:val="center"/>
          </w:tcPr>
          <w:p w14:paraId="2F942FFC" w14:textId="77777777" w:rsidR="001E5BD3" w:rsidRDefault="00000000">
            <w:r>
              <w:rPr>
                <w:sz w:val="16"/>
              </w:rPr>
              <w:t>DeiT-Small</w:t>
            </w:r>
          </w:p>
        </w:tc>
        <w:tc>
          <w:tcPr>
            <w:tcW w:w="1999" w:type="dxa"/>
            <w:tcMar>
              <w:top w:w="55" w:type="dxa"/>
              <w:left w:w="65" w:type="dxa"/>
              <w:bottom w:w="55" w:type="dxa"/>
              <w:right w:w="65" w:type="dxa"/>
            </w:tcMar>
            <w:vAlign w:val="center"/>
          </w:tcPr>
          <w:p w14:paraId="63019350" w14:textId="77777777" w:rsidR="001E5BD3" w:rsidRDefault="00000000">
            <w:pPr>
              <w:jc w:val="center"/>
            </w:pPr>
            <w:r>
              <w:rPr>
                <w:sz w:val="16"/>
              </w:rPr>
              <w:t>98</w:t>
            </w:r>
          </w:p>
        </w:tc>
        <w:tc>
          <w:tcPr>
            <w:tcW w:w="1999" w:type="dxa"/>
            <w:tcMar>
              <w:top w:w="55" w:type="dxa"/>
              <w:left w:w="65" w:type="dxa"/>
              <w:bottom w:w="55" w:type="dxa"/>
              <w:right w:w="65" w:type="dxa"/>
            </w:tcMar>
            <w:vAlign w:val="center"/>
          </w:tcPr>
          <w:p w14:paraId="4E7D49D1" w14:textId="77777777" w:rsidR="001E5BD3" w:rsidRDefault="00000000">
            <w:pPr>
              <w:jc w:val="center"/>
            </w:pPr>
            <w:r>
              <w:rPr>
                <w:sz w:val="16"/>
              </w:rPr>
              <w:t>764/1,000 (76.4%)</w:t>
            </w:r>
          </w:p>
        </w:tc>
        <w:tc>
          <w:tcPr>
            <w:tcW w:w="1999" w:type="dxa"/>
            <w:tcMar>
              <w:top w:w="55" w:type="dxa"/>
              <w:left w:w="65" w:type="dxa"/>
              <w:bottom w:w="55" w:type="dxa"/>
              <w:right w:w="65" w:type="dxa"/>
            </w:tcMar>
            <w:vAlign w:val="center"/>
          </w:tcPr>
          <w:p w14:paraId="3785A407" w14:textId="77777777" w:rsidR="001E5BD3" w:rsidRDefault="00000000">
            <w:pPr>
              <w:jc w:val="center"/>
            </w:pPr>
            <w:r>
              <w:rPr>
                <w:sz w:val="16"/>
              </w:rPr>
              <w:t>763/1,000 (76.3%; −0.1 pp)</w:t>
            </w:r>
          </w:p>
        </w:tc>
        <w:tc>
          <w:tcPr>
            <w:tcW w:w="1999" w:type="dxa"/>
            <w:tcMar>
              <w:top w:w="55" w:type="dxa"/>
              <w:left w:w="65" w:type="dxa"/>
              <w:bottom w:w="55" w:type="dxa"/>
              <w:right w:w="65" w:type="dxa"/>
            </w:tcMar>
            <w:vAlign w:val="center"/>
          </w:tcPr>
          <w:p w14:paraId="1CF276DD" w14:textId="77777777" w:rsidR="001E5BD3" w:rsidRDefault="00000000">
            <w:pPr>
              <w:jc w:val="center"/>
            </w:pPr>
            <w:r>
              <w:rPr>
                <w:sz w:val="16"/>
              </w:rPr>
              <w:t>760/1,000 (76.0%; −0.4 pp)</w:t>
            </w:r>
          </w:p>
        </w:tc>
      </w:tr>
      <w:tr w:rsidR="001E5BD3" w14:paraId="28B7B610" w14:textId="77777777">
        <w:tc>
          <w:tcPr>
            <w:tcW w:w="1999" w:type="dxa"/>
            <w:tcMar>
              <w:top w:w="55" w:type="dxa"/>
              <w:left w:w="65" w:type="dxa"/>
              <w:bottom w:w="55" w:type="dxa"/>
              <w:right w:w="65" w:type="dxa"/>
            </w:tcMar>
            <w:vAlign w:val="center"/>
          </w:tcPr>
          <w:p w14:paraId="0EC18CF6" w14:textId="77777777" w:rsidR="001E5BD3" w:rsidRDefault="00000000">
            <w:r>
              <w:rPr>
                <w:sz w:val="16"/>
              </w:rPr>
              <w:t>DeiT-Small</w:t>
            </w:r>
          </w:p>
        </w:tc>
        <w:tc>
          <w:tcPr>
            <w:tcW w:w="1999" w:type="dxa"/>
            <w:tcMar>
              <w:top w:w="55" w:type="dxa"/>
              <w:left w:w="65" w:type="dxa"/>
              <w:bottom w:w="55" w:type="dxa"/>
              <w:right w:w="65" w:type="dxa"/>
            </w:tcMar>
            <w:vAlign w:val="center"/>
          </w:tcPr>
          <w:p w14:paraId="324975FC" w14:textId="77777777" w:rsidR="001E5BD3" w:rsidRDefault="00000000">
            <w:pPr>
              <w:jc w:val="center"/>
            </w:pPr>
            <w:r>
              <w:rPr>
                <w:sz w:val="16"/>
              </w:rPr>
              <w:t>49</w:t>
            </w:r>
          </w:p>
        </w:tc>
        <w:tc>
          <w:tcPr>
            <w:tcW w:w="1999" w:type="dxa"/>
            <w:tcMar>
              <w:top w:w="55" w:type="dxa"/>
              <w:left w:w="65" w:type="dxa"/>
              <w:bottom w:w="55" w:type="dxa"/>
              <w:right w:w="65" w:type="dxa"/>
            </w:tcMar>
            <w:vAlign w:val="center"/>
          </w:tcPr>
          <w:p w14:paraId="47401C5D" w14:textId="77777777" w:rsidR="001E5BD3" w:rsidRDefault="00000000">
            <w:pPr>
              <w:jc w:val="center"/>
            </w:pPr>
            <w:r>
              <w:rPr>
                <w:sz w:val="16"/>
              </w:rPr>
              <w:t>755/1,000 (75.5%)</w:t>
            </w:r>
          </w:p>
        </w:tc>
        <w:tc>
          <w:tcPr>
            <w:tcW w:w="1999" w:type="dxa"/>
            <w:tcMar>
              <w:top w:w="55" w:type="dxa"/>
              <w:left w:w="65" w:type="dxa"/>
              <w:bottom w:w="55" w:type="dxa"/>
              <w:right w:w="65" w:type="dxa"/>
            </w:tcMar>
            <w:vAlign w:val="center"/>
          </w:tcPr>
          <w:p w14:paraId="018CF122" w14:textId="77777777" w:rsidR="001E5BD3" w:rsidRDefault="00000000">
            <w:pPr>
              <w:jc w:val="center"/>
            </w:pPr>
            <w:r>
              <w:rPr>
                <w:sz w:val="16"/>
              </w:rPr>
              <w:t>740/1,000 (74.0%; −1.5 pp)</w:t>
            </w:r>
          </w:p>
        </w:tc>
        <w:tc>
          <w:tcPr>
            <w:tcW w:w="1999" w:type="dxa"/>
            <w:tcMar>
              <w:top w:w="55" w:type="dxa"/>
              <w:left w:w="65" w:type="dxa"/>
              <w:bottom w:w="55" w:type="dxa"/>
              <w:right w:w="65" w:type="dxa"/>
            </w:tcMar>
            <w:vAlign w:val="center"/>
          </w:tcPr>
          <w:p w14:paraId="170B548F" w14:textId="77777777" w:rsidR="001E5BD3" w:rsidRDefault="00000000">
            <w:pPr>
              <w:jc w:val="center"/>
            </w:pPr>
            <w:r>
              <w:rPr>
                <w:sz w:val="16"/>
              </w:rPr>
              <w:t>740/1,000 (74.0%; −1.5 pp)</w:t>
            </w:r>
          </w:p>
        </w:tc>
      </w:tr>
      <w:tr w:rsidR="001E5BD3" w14:paraId="4F1B8048" w14:textId="77777777">
        <w:tc>
          <w:tcPr>
            <w:tcW w:w="1999" w:type="dxa"/>
            <w:tcMar>
              <w:top w:w="55" w:type="dxa"/>
              <w:left w:w="65" w:type="dxa"/>
              <w:bottom w:w="55" w:type="dxa"/>
              <w:right w:w="65" w:type="dxa"/>
            </w:tcMar>
            <w:vAlign w:val="center"/>
          </w:tcPr>
          <w:p w14:paraId="2AD04710" w14:textId="77777777" w:rsidR="001E5BD3" w:rsidRDefault="00000000">
            <w:r>
              <w:rPr>
                <w:sz w:val="16"/>
              </w:rPr>
              <w:t>DINOv2 ViT-S/14</w:t>
            </w:r>
          </w:p>
        </w:tc>
        <w:tc>
          <w:tcPr>
            <w:tcW w:w="1999" w:type="dxa"/>
            <w:tcMar>
              <w:top w:w="55" w:type="dxa"/>
              <w:left w:w="65" w:type="dxa"/>
              <w:bottom w:w="55" w:type="dxa"/>
              <w:right w:w="65" w:type="dxa"/>
            </w:tcMar>
            <w:vAlign w:val="center"/>
          </w:tcPr>
          <w:p w14:paraId="1342F856" w14:textId="77777777" w:rsidR="001E5BD3" w:rsidRDefault="00000000">
            <w:pPr>
              <w:jc w:val="center"/>
            </w:pPr>
            <w:r>
              <w:rPr>
                <w:sz w:val="16"/>
              </w:rPr>
              <w:t>42</w:t>
            </w:r>
          </w:p>
        </w:tc>
        <w:tc>
          <w:tcPr>
            <w:tcW w:w="1999" w:type="dxa"/>
            <w:tcMar>
              <w:top w:w="55" w:type="dxa"/>
              <w:left w:w="65" w:type="dxa"/>
              <w:bottom w:w="55" w:type="dxa"/>
              <w:right w:w="65" w:type="dxa"/>
            </w:tcMar>
            <w:vAlign w:val="center"/>
          </w:tcPr>
          <w:p w14:paraId="0B3DA9F7" w14:textId="77777777" w:rsidR="001E5BD3" w:rsidRDefault="00000000">
            <w:pPr>
              <w:jc w:val="center"/>
            </w:pPr>
            <w:r>
              <w:rPr>
                <w:sz w:val="16"/>
              </w:rPr>
              <w:t>613/1,000 (61.3%)</w:t>
            </w:r>
          </w:p>
        </w:tc>
        <w:tc>
          <w:tcPr>
            <w:tcW w:w="1999" w:type="dxa"/>
            <w:tcMar>
              <w:top w:w="55" w:type="dxa"/>
              <w:left w:w="65" w:type="dxa"/>
              <w:bottom w:w="55" w:type="dxa"/>
              <w:right w:w="65" w:type="dxa"/>
            </w:tcMar>
            <w:vAlign w:val="center"/>
          </w:tcPr>
          <w:p w14:paraId="57AE12BA" w14:textId="77777777" w:rsidR="001E5BD3" w:rsidRDefault="00000000">
            <w:pPr>
              <w:jc w:val="center"/>
            </w:pPr>
            <w:r>
              <w:rPr>
                <w:sz w:val="16"/>
              </w:rPr>
              <w:t>568/1,000 (56.8%; −4.5 pp)</w:t>
            </w:r>
          </w:p>
        </w:tc>
        <w:tc>
          <w:tcPr>
            <w:tcW w:w="1999" w:type="dxa"/>
            <w:tcMar>
              <w:top w:w="55" w:type="dxa"/>
              <w:left w:w="65" w:type="dxa"/>
              <w:bottom w:w="55" w:type="dxa"/>
              <w:right w:w="65" w:type="dxa"/>
            </w:tcMar>
            <w:vAlign w:val="center"/>
          </w:tcPr>
          <w:p w14:paraId="4C114F49" w14:textId="77777777" w:rsidR="001E5BD3" w:rsidRDefault="00000000">
            <w:pPr>
              <w:jc w:val="center"/>
            </w:pPr>
            <w:r>
              <w:rPr>
                <w:sz w:val="16"/>
              </w:rPr>
              <w:t>570/1,000 (57.0%; −4.3 pp)</w:t>
            </w:r>
          </w:p>
        </w:tc>
      </w:tr>
      <w:tr w:rsidR="001E5BD3" w14:paraId="6C580BFE" w14:textId="77777777">
        <w:tc>
          <w:tcPr>
            <w:tcW w:w="1999" w:type="dxa"/>
            <w:tcMar>
              <w:top w:w="55" w:type="dxa"/>
              <w:left w:w="65" w:type="dxa"/>
              <w:bottom w:w="55" w:type="dxa"/>
              <w:right w:w="65" w:type="dxa"/>
            </w:tcMar>
            <w:vAlign w:val="center"/>
          </w:tcPr>
          <w:p w14:paraId="6D151F0C" w14:textId="77777777" w:rsidR="001E5BD3" w:rsidRDefault="00000000">
            <w:r>
              <w:rPr>
                <w:sz w:val="16"/>
              </w:rPr>
              <w:t>ViT-B/16 AugReg</w:t>
            </w:r>
          </w:p>
        </w:tc>
        <w:tc>
          <w:tcPr>
            <w:tcW w:w="1999" w:type="dxa"/>
            <w:tcMar>
              <w:top w:w="55" w:type="dxa"/>
              <w:left w:w="65" w:type="dxa"/>
              <w:bottom w:w="55" w:type="dxa"/>
              <w:right w:w="65" w:type="dxa"/>
            </w:tcMar>
            <w:vAlign w:val="center"/>
          </w:tcPr>
          <w:p w14:paraId="5E5507D8" w14:textId="77777777" w:rsidR="001E5BD3" w:rsidRDefault="00000000">
            <w:pPr>
              <w:jc w:val="center"/>
            </w:pPr>
            <w:r>
              <w:rPr>
                <w:sz w:val="16"/>
              </w:rPr>
              <w:t>49</w:t>
            </w:r>
          </w:p>
        </w:tc>
        <w:tc>
          <w:tcPr>
            <w:tcW w:w="1999" w:type="dxa"/>
            <w:tcMar>
              <w:top w:w="55" w:type="dxa"/>
              <w:left w:w="65" w:type="dxa"/>
              <w:bottom w:w="55" w:type="dxa"/>
              <w:right w:w="65" w:type="dxa"/>
            </w:tcMar>
            <w:vAlign w:val="center"/>
          </w:tcPr>
          <w:p w14:paraId="7F1AC64D" w14:textId="77777777" w:rsidR="001E5BD3" w:rsidRDefault="00000000">
            <w:pPr>
              <w:jc w:val="center"/>
            </w:pPr>
            <w:r>
              <w:rPr>
                <w:sz w:val="16"/>
              </w:rPr>
              <w:t>712/1,000 (71.2%)</w:t>
            </w:r>
          </w:p>
        </w:tc>
        <w:tc>
          <w:tcPr>
            <w:tcW w:w="1999" w:type="dxa"/>
            <w:tcMar>
              <w:top w:w="55" w:type="dxa"/>
              <w:left w:w="65" w:type="dxa"/>
              <w:bottom w:w="55" w:type="dxa"/>
              <w:right w:w="65" w:type="dxa"/>
            </w:tcMar>
            <w:vAlign w:val="center"/>
          </w:tcPr>
          <w:p w14:paraId="41367A33" w14:textId="77777777" w:rsidR="001E5BD3" w:rsidRDefault="00000000">
            <w:pPr>
              <w:jc w:val="center"/>
            </w:pPr>
            <w:r>
              <w:rPr>
                <w:sz w:val="16"/>
              </w:rPr>
              <w:t>719/1,000 (71.9%; +0.7 pp)</w:t>
            </w:r>
          </w:p>
        </w:tc>
        <w:tc>
          <w:tcPr>
            <w:tcW w:w="1999" w:type="dxa"/>
            <w:tcMar>
              <w:top w:w="55" w:type="dxa"/>
              <w:left w:w="65" w:type="dxa"/>
              <w:bottom w:w="55" w:type="dxa"/>
              <w:right w:w="65" w:type="dxa"/>
            </w:tcMar>
            <w:vAlign w:val="center"/>
          </w:tcPr>
          <w:p w14:paraId="61FAC4AD" w14:textId="77777777" w:rsidR="001E5BD3" w:rsidRDefault="00000000">
            <w:pPr>
              <w:jc w:val="center"/>
            </w:pPr>
            <w:r>
              <w:rPr>
                <w:sz w:val="16"/>
              </w:rPr>
              <w:t>716/1,000 (71.6%; +0.4 pp)</w:t>
            </w:r>
          </w:p>
        </w:tc>
      </w:tr>
    </w:tbl>
    <w:p w14:paraId="08D105BD" w14:textId="77777777" w:rsidR="001E5BD3" w:rsidRDefault="001E5BD3">
      <w:pPr>
        <w:spacing w:after="20"/>
      </w:pPr>
    </w:p>
    <w:p w14:paraId="55D5DDE1" w14:textId="77777777" w:rsidR="001E5BD3" w:rsidRDefault="00000000">
      <w:pPr>
        <w:keepLines/>
        <w:spacing w:after="80"/>
        <w:jc w:val="center"/>
      </w:pPr>
      <w:r>
        <w:rPr>
          <w:i/>
          <w:color w:val="4C5963"/>
          <w:sz w:val="17"/>
        </w:rPr>
        <w:t>Table III. Correct predictions out of 1,000 held-out images and Top-1 accuracy for the held-out classifier-carrier study. Parenthetical differences are percentage-point (pp) changes from Hybrid Group Mean at the same architecture and budget. The classifier cohort is distinct from the operator-space study.</w:t>
      </w:r>
    </w:p>
    <w:p w14:paraId="08ADDFC0" w14:textId="77777777" w:rsidR="001E5BD3" w:rsidRDefault="00000000">
      <w:pPr>
        <w:spacing w:after="100" w:line="259" w:lineRule="auto"/>
      </w:pPr>
      <w:r xmlns:mo="http://schemas.microsoft.com/office/mac/office/2008/main" xmlns:mv="urn:schemas-microsoft-com:mac:vml">
        <w:rPr>
          <w:rFonts w:ascii="Times New Roman" w:hAnsi="Times New Roman"/>
          <w:i w:val="0"/>
          <w:color w:val="202A32"/>
          <w:sz w:val="20"/>
        </w:rPr>
        <w:t>The measured held-out classifier-carrier accuracy–throughput boundary at batch size 64 is shown in Supplementary Figure S13.</w:t>
      </w:r>
    </w:p>
    <w:p w14:paraId="4FE3BE7B" w14:textId="77777777" w:rsidR="001E5BD3" w:rsidRDefault="00000000">
      <w:pPr>
        <w:spacing w:after="100" w:line="259" w:lineRule="auto"/>
      </w:pPr>
      <w:r>
        <w:t>Calibration-frozen selective risk gating also lacks a consistent classifier benefit: at DeiT-Small budget 98 it reaches 75.8% versus 76.4% for Hybrid Group Mean, and at DINOv2 budget 42 it reaches 58.5% versus 61.3%. The exploratory operator-space gate has area under the receiver operating characteristic curve (AUROC) 0.784. On the measured accuracy-throughput frontier, Clean is non-dominated in several regimes, Group Mean is a practical batched baseline, and q=16 adds a narrow ViT-B/16 AugReg point at some batch sizes; q=32 and selective q=16 do not establish a general frontier improvement. These timings cover the full model call rather than isolated operator overhead.</w:t>
      </w:r>
    </w:p>
    <w:p w14:paraId="6F0F59FC" w14:textId="77777777" w:rsidR="001E5BD3" w:rsidRDefault="00000000">
      <w:pPr>
        <w:spacing w:after="100" w:line="259" w:lineRule="auto"/>
      </w:pPr>
      <w:r>
        <w:t>Additional exploratory correction variants are summarized in Supplementary Section S8; they do not change the distinction between operator-space performance and classifier or deployment benefit.</w:t>
      </w:r>
    </w:p>
    <w:p w14:paraId="3AFC0891" w14:textId="77777777" w:rsidR="001E5BD3" w:rsidRDefault="00000000">
      <w:pPr>
        <w:pStyle w:val="Heading1"/>
      </w:pPr>
      <w:r>
        <w:rPr>
          <w:rFonts w:ascii="Times New Roman" w:hAnsi="Times New Roman"/>
        </w:rPr>
        <w:t>8. Limitations</w:t>
      </w:r>
    </w:p>
    <w:p w14:paraId="71E16B6E" w14:textId="77777777" w:rsidR="001E5BD3" w:rsidRDefault="00000000">
      <w:pPr>
        <w:spacing w:after="100" w:line="259" w:lineRule="auto"/>
      </w:pPr>
      <w:r>
        <w:t>Mechanistic evidence comes from the finite cohorts in Table I and four pretrained vision-transformer families evaluated on one ImageNet validation subset; broader model and task coverage remains untested. The margin-gradient and readout-Jacobian analyses characterize local, first-order behavior, and a threshold-defined near-null fraction does not establish exact nonlinear invariance. The full-J compression objective is an offline oracle requiring per-image Jacobian construction. Classifier-carrier results show that reducing linearized error alone is not sufficient for a deployment gain; measured full-model runtime is specific to the tested hardware, batch sizes, and implementations and does not isolate operator overhead.</w:t>
      </w:r>
    </w:p>
    <w:p w14:paraId="6FE3431C" w14:textId="77777777" w:rsidR="001E5BD3" w:rsidRDefault="00000000">
      <w:pPr>
        <w:pStyle w:val="Heading1"/>
      </w:pPr>
      <w:r>
        <w:rPr>
          <w:rFonts w:ascii="Times New Roman" w:hAnsi="Times New Roman"/>
        </w:rPr>
        <w:t>9. Conclusion</w:t>
      </w:r>
    </w:p>
    <w:p w14:paraId="7C927597" w14:textId="77777777" w:rsidR="001E5BD3" w:rsidRDefault="00000000">
      <w:pPr>
        <w:spacing w:after="100" w:line="259" w:lineRule="auto"/>
      </w:pPr>
      <w:r>
        <w:t xml:space="preserve">Across four tested ViT families, late-layer patch content is conditionally replaceable under feature-geometry and token-position-diversity constraints. The mechanism studies associate this tolerance with architecture-dependent functional sensitivity and coherent Value-path accumulation and cancellation. Normalized effective rank declines with depth in all four models, while near-null expansion at the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threshold is strong in three and small in DINOv2. For the tested four-family mixture of 100 perturbation vectors per model, end-to-end Jacobian predictions are more strongly associated with measured damage than single-block predictions. At the most aggressive tested budgets, operator-aware compression improves on the strongest pruning baseline by 4.2–12.0 percentage points and shifts the accuracy-token frontier in three of four architectures, while ToMe remains competitive and rank-16/32 outcomes vary by architecture and budget. The per-</w:t>
      </w:r>
      <w:r>
        <w:lastRenderedPageBreak/>
        <w:t>image Jacobian remains an offline oracle, and the practical carrier results do not establish a general deployment gain. Together, these findings link fixed-slot patch-content fungibility to downstream functional geometry and attention-mediated cancellation and show how these mechanisms can guide operator-aware token compression.</w:t>
      </w:r>
    </w:p>
    <w:p w14:paraId="19B61BC4" w14:textId="77777777" w:rsidR="001E5BD3" w:rsidRDefault="00000000">
      <w:pPr>
        <w:pStyle w:val="Heading1"/>
      </w:pPr>
      <w:r>
        <w:rPr>
          <w:rFonts w:ascii="Times New Roman" w:hAnsi="Times New Roman"/>
        </w:rPr>
        <w:t>Reproducibility and Evidence</w:t>
      </w:r>
    </w:p>
    <w:p w14:paraId="7A53F60E" w14:textId="77777777" w:rsidR="001E5BD3"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02137EB6" w14:textId="77777777" w:rsidR="001E5BD3" w:rsidRDefault="00000000">
      <w:pPr>
        <w:pStyle w:val="Heading1"/>
      </w:pPr>
      <w:r>
        <w:t>References</w:t>
      </w:r>
    </w:p>
    <w:p w14:paraId="40F0B6E7" w14:textId="77777777" w:rsidR="001E5BD3"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6DA58AE4" w14:textId="77777777" w:rsidR="001E5BD3"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02CE4EE8" w14:textId="77777777" w:rsidR="001E5BD3" w:rsidRDefault="00000000">
      <w:pPr>
        <w:spacing w:after="80" w:line="240" w:lineRule="auto"/>
        <w:ind w:left="403" w:hanging="403"/>
      </w:pPr>
      <w:r>
        <w:rPr>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14:paraId="3FB5DA58" w14:textId="77777777" w:rsidR="001E5BD3"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3E86476D" w14:textId="77777777" w:rsidR="001E5BD3"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06EE8D4" w14:textId="77777777" w:rsidR="001E5BD3"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79E6EABF" w14:textId="77777777" w:rsidR="001E5BD3"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2AC8AA82" w14:textId="77777777" w:rsidR="001E5BD3"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F420049" w14:textId="77777777" w:rsidR="001E5BD3"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5211E029" w14:textId="77777777" w:rsidR="001E5BD3"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12D1779D" w14:textId="77777777" w:rsidR="001E5BD3"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08E67909" w14:textId="77777777" w:rsidR="001E5BD3"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0CBE0E30" w14:textId="77777777" w:rsidR="001E5BD3"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7232F896" w14:textId="77777777" w:rsidR="001E5BD3" w:rsidRDefault="00000000">
      <w:pPr>
        <w:spacing w:after="80" w:line="240" w:lineRule="auto"/>
        <w:ind w:left="403" w:hanging="403"/>
      </w:pPr>
      <w:r>
        <w:rPr>
          <w:color w:val="26343D"/>
          <w:sz w:val="17"/>
        </w:rPr>
        <w:t>[14] H. Yin, A. Vahdat, J. M. Alvarez, A. Mallya, J. Kautz, P. Molchanov, “A-ViT: Adaptive Tokens for Efficient Vision Transformer,” in Proc. IEEE/CVF Conf. Comput. Vis. Pattern Recognit., pp. 10809–10818, 2022. DOI: 10.1109/CVPR52688.2022.01054.</w:t>
      </w:r>
    </w:p>
    <w:p w14:paraId="287798B1" w14:textId="77777777" w:rsidR="001E5BD3" w:rsidRDefault="00000000">
      <w:pPr>
        <w:spacing w:after="80" w:line="240" w:lineRule="auto"/>
        <w:ind w:left="403" w:hanging="403"/>
      </w:pPr>
      <w:r>
        <w:rPr>
          <w:color w:val="26343D"/>
          <w:sz w:val="17"/>
        </w:rPr>
        <w:t>[15] L. Meng, H. Li, B.-C. Chen, S. Lan, Z. Wu, Y.-G. Jiang, et al., “AdaViT: Adaptive Vision Transformers for Efficient Image Recognition,” in Proc. IEEE/CVF Conf. Comput. Vis. Pattern Recognit., pp. 12309–12318, 2022. DOI: 10.1109/CVPR52688.2022.01199.</w:t>
      </w:r>
    </w:p>
    <w:p w14:paraId="0F297E11" w14:textId="77777777" w:rsidR="001E5BD3" w:rsidRDefault="00000000">
      <w:pPr>
        <w:spacing w:after="80" w:line="240" w:lineRule="auto"/>
        <w:ind w:left="403" w:hanging="403"/>
      </w:pPr>
      <w:r>
        <w:rPr>
          <w:color w:val="26343D"/>
          <w:sz w:val="17"/>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45D61BC1" w14:textId="77777777" w:rsidR="001E5BD3" w:rsidRDefault="00000000">
      <w:pPr>
        <w:spacing w:after="80" w:line="240" w:lineRule="auto"/>
        <w:ind w:left="403" w:hanging="403"/>
      </w:pPr>
      <w:r>
        <w:rPr>
          <w:color w:val="26343D"/>
          <w:sz w:val="17"/>
        </w:rPr>
        <w:t>[17] D. Marin, J.-H. R. Chang, A. Ranjan, A. Prabhu, M. Rastegari, O. Tuzel, “Token Pooling in Vision Transformers for Image Classification,” in Proc. IEEE/CVF Winter Conf. Appl. Comput. Vis., pp. 12–21, 2023. DOI: 10.1109/WACV56688.2023.00010.</w:t>
      </w:r>
    </w:p>
    <w:p w14:paraId="41F3A330" w14:textId="77777777" w:rsidR="001E5BD3"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10.1007/978-3-031-20083-0_24.</w:t>
      </w:r>
    </w:p>
    <w:p w14:paraId="3AC84DBE" w14:textId="77777777" w:rsidR="001E5BD3" w:rsidRDefault="00000000">
      <w:pPr>
        <w:spacing w:after="80" w:line="240" w:lineRule="auto"/>
        <w:ind w:left="403" w:hanging="403"/>
      </w:pPr>
      <w:r>
        <w:rPr>
          <w:color w:val="26343D"/>
          <w:sz w:val="17"/>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315B3BAE" w14:textId="77777777" w:rsidR="001E5BD3"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140D4AE5" w14:textId="77777777" w:rsidR="001E5BD3" w:rsidRDefault="00000000">
      <w:pPr>
        <w:spacing w:after="80" w:line="240" w:lineRule="auto"/>
        <w:ind w:left="403" w:hanging="403"/>
      </w:pPr>
      <w:r>
        <w:rPr>
          <w:color w:val="26343D"/>
          <w:sz w:val="17"/>
        </w:rPr>
        <w:t>[21] L. Yu, W. Xiang, “X-Pruner: eXplainable Pruning for Vision Transformers,” in Proc. IEEE/CVF Conf. Comput. Vis. Pattern Recognit., pp. 24355–24363, 2023. DOI: 10.1109/CVPR52729.2023.02333.</w:t>
      </w:r>
    </w:p>
    <w:p w14:paraId="5CFEEE02" w14:textId="77777777" w:rsidR="001E5BD3" w:rsidRDefault="00000000">
      <w:pPr>
        <w:spacing w:after="80" w:line="240" w:lineRule="auto"/>
        <w:ind w:left="403" w:hanging="403"/>
      </w:pPr>
      <w:r>
        <w:rPr>
          <w:color w:val="26343D"/>
          <w:sz w:val="17"/>
        </w:rPr>
        <w:lastRenderedPageBreak/>
        <w:t>[22] H. Yang, H. Yin, M. Shen, P. Molchanov, H. Li, J. Kautz, “Global Vision Transformer Pruning With Hessian-Aware Saliency,” in Proc. IEEE/CVF Conf. Comput. Vis. Pattern Recognit., pp. 18547–18557, 2023. DOI: 10.1109/CVPR52729.2023.01779.</w:t>
      </w:r>
    </w:p>
    <w:p w14:paraId="3AFDB31F" w14:textId="77777777" w:rsidR="001E5BD3"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31CD716C" w14:textId="77777777" w:rsidR="001E5BD3"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318508D0" w14:textId="77777777" w:rsidR="001E5BD3" w:rsidRDefault="00000000">
      <w:pPr>
        <w:spacing w:after="80" w:line="240" w:lineRule="auto"/>
        <w:ind w:left="403" w:hanging="403"/>
      </w:pPr>
      <w:r>
        <w:rPr>
          <w:color w:val="26343D"/>
          <w:sz w:val="17"/>
        </w:rPr>
        <w:t>[25] Y. Xu, Z. Zhang, M. Zhang, K. Sheng, K. Li, W. Dong, et al., “Evo-ViT: Slow-Fast Token Evolution for Dynamic Vision Transformer,” in Proc. AAAI Conf. Artif. Intell., vol. 36, no. 3, pp. 2964–2972, 2022. DOI: 10.1609/aaai.v36i3.20202.</w:t>
      </w:r>
    </w:p>
    <w:p w14:paraId="57AFDF77" w14:textId="77777777" w:rsidR="001E5BD3"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https://proceedings.neurips.cc/paper/2021/hash/2d969e2cee8cfa07ce7ca0bb13c7a36d-Abstract.html.</w:t>
      </w:r>
    </w:p>
    <w:p w14:paraId="111CB226" w14:textId="77777777" w:rsidR="001E5BD3" w:rsidRDefault="00000000">
      <w:pPr>
        <w:spacing w:after="80" w:line="240" w:lineRule="auto"/>
        <w:ind w:left="403" w:hanging="403"/>
      </w:pPr>
      <w:r>
        <w:rPr>
          <w:color w:val="26343D"/>
          <w:sz w:val="17"/>
        </w:rPr>
        <w:t>[27] Z. Kong, P. Dong, X. Ma, X. Meng, W. Niu, M. Sun, et al., “SPViT: Enabling Faster Vision Transformers via Latency-Aware Soft Token Pruning,” in Computer Vision – ECCV 2022, vol. 13671, pp. 620–640, 2022. DOI: 10.1007/978-3-031-20083-0_37.</w:t>
      </w:r>
    </w:p>
    <w:p w14:paraId="14EB0E16" w14:textId="77777777" w:rsidR="001E5BD3"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188810E6" w14:textId="77777777" w:rsidR="001E5BD3"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36FD1628" w14:textId="77777777" w:rsidR="001E5BD3" w:rsidRDefault="00000000">
      <w:pPr>
        <w:spacing w:after="80" w:line="240" w:lineRule="auto"/>
        <w:ind w:left="403" w:hanging="403"/>
      </w:pPr>
      <w:r>
        <w:rPr>
          <w:color w:val="26343D"/>
          <w:sz w:val="17"/>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2647C4C4" w14:textId="77777777" w:rsidR="001E5BD3" w:rsidRDefault="00000000">
      <w:pPr>
        <w:spacing w:after="80" w:line="240" w:lineRule="auto"/>
        <w:ind w:left="403" w:hanging="403"/>
      </w:pPr>
      <w:r>
        <w:rPr>
          <w:color w:val="26343D"/>
          <w:sz w:val="17"/>
        </w:rPr>
        <w:t>[31] X. Chen, Z. Liu, H. Tang, L. Yi, H. Zhao, S. Han, “SparseViT: Revisiting Activation Sparsity for Efficient High-Resolution Vision Transformer,” in Proc. IEEE/CVF Conf. Comput. Vis. Pattern Recognit., pp. 2061–2070, 2023. DOI: 10.1109/CVPR52729.2023.00205.</w:t>
      </w:r>
    </w:p>
    <w:p w14:paraId="2A544A94" w14:textId="77777777" w:rsidR="001E5BD3" w:rsidRDefault="00000000">
      <w:pPr>
        <w:spacing w:after="80" w:line="240" w:lineRule="auto"/>
        <w:ind w:left="403" w:hanging="403"/>
      </w:pPr>
      <w:r>
        <w:rPr>
          <w:color w:val="26343D"/>
          <w:sz w:val="17"/>
        </w:rPr>
        <w:t>[32] C. Zheng, Z. Li, K. Zhang, Z. Yang, W. Tan, J. Xiao, et al., “SAViT: Structure-Aware Vision Transformer Pruning via Collaborative Optimization,” in Advances in Neural Information Processing Systems, vol. 35, pp. 9010–9023, 2022. DOI: 10.52202/068431-0655.</w:t>
      </w:r>
    </w:p>
    <w:p w14:paraId="7EBDCC28" w14:textId="77777777" w:rsidR="001E5BD3"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https://proceedings.neurips.cc/paper/1989/hash/6c9882bbac1c7093bd25041881277658-Abstract.html.</w:t>
      </w:r>
    </w:p>
    <w:p w14:paraId="524E03CE" w14:textId="77777777" w:rsidR="001E5BD3"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15F4D79F" w14:textId="77777777" w:rsidR="001E5BD3"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https://proceedings.neurips.cc/paper/2015/hash/ae0eb3eed39d2bcef4622b2499a05fe6-Abstract.html.</w:t>
      </w:r>
    </w:p>
    <w:p w14:paraId="6D00A3CF" w14:textId="77777777" w:rsidR="001E5BD3"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4C992D1E" w14:textId="77777777" w:rsidR="001E5BD3"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https://openreview.net/forum?id=rJl-b3RcF7.</w:t>
      </w:r>
    </w:p>
    <w:p w14:paraId="2B64A78C" w14:textId="77777777" w:rsidR="001E5BD3" w:rsidRDefault="00000000">
      <w:pPr>
        <w:spacing w:after="80" w:line="240" w:lineRule="auto"/>
        <w:ind w:left="403" w:hanging="403"/>
      </w:pPr>
      <w:r>
        <w:rPr>
          <w:color w:val="26343D"/>
          <w:sz w:val="17"/>
        </w:rPr>
        <w:t>[38] V. Sanh, T. Wolf, A. M. Rush, “Movement Pruning: Adaptive Sparsity by Fine-Tuning,” in Advances in Neural Information Processing Systems, vol. 33, pp. 20378–20389, 2020. Available: https://proceedings.neurips.cc/paper/2020/hash/eae15aabaa768ae4a5993a8a4f4fa6e4-Abstract.html.</w:t>
      </w:r>
    </w:p>
    <w:p w14:paraId="4F7C82EB" w14:textId="77777777" w:rsidR="001E5BD3" w:rsidRDefault="00000000">
      <w:pPr>
        <w:spacing w:after="80" w:line="240" w:lineRule="auto"/>
        <w:ind w:left="403" w:hanging="403"/>
      </w:pPr>
      <w:r>
        <w:rPr>
          <w:color w:val="26343D"/>
          <w:sz w:val="17"/>
        </w:rPr>
        <w:t>[39] E. Frantar, D. Alistarh, “SparseGPT: Massive Language Models Can Be Accurately Pruned in One-Shot,” in Proc. 40th Int. Conf. Mach. Learn., vol. 202, pp. 10323–10337, 2023. Available: https://proceedings.mlr.press/v202/frantar23a.html.</w:t>
      </w:r>
    </w:p>
    <w:p w14:paraId="76B76223" w14:textId="77777777" w:rsidR="001E5BD3"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743CC0B6" w14:textId="77777777" w:rsidR="001E5BD3"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59BA0AD0" w14:textId="77777777" w:rsidR="001E5BD3" w:rsidRDefault="00000000">
      <w:pPr>
        <w:spacing w:after="80" w:line="240" w:lineRule="auto"/>
        <w:ind w:left="403" w:hanging="403"/>
      </w:pPr>
      <w:r>
        <w:rPr>
          <w:color w:val="26343D"/>
          <w:sz w:val="17"/>
        </w:rPr>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513DC1C7" w14:textId="77777777" w:rsidR="001E5BD3" w:rsidRDefault="00000000">
      <w:pPr>
        <w:spacing w:after="80" w:line="240" w:lineRule="auto"/>
        <w:ind w:left="403" w:hanging="403"/>
      </w:pPr>
      <w:r>
        <w:rPr>
          <w:color w:val="26343D"/>
          <w:sz w:val="17"/>
        </w:rPr>
        <w:t>[43] S. Jain, B. C. Wallace, “Attention Is Not Explanation,” in Proceedings of the 2019 Conference of the North American Chapter of the Association for Computational Linguistics: Human Language Technologies, pp. 3543–3556, 2019. DOI: 10.18653/v1/N19-1357.</w:t>
      </w:r>
    </w:p>
    <w:p w14:paraId="493FBE91" w14:textId="77777777" w:rsidR="001E5BD3"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10.18653/v1/P19-1282.</w:t>
      </w:r>
    </w:p>
    <w:p w14:paraId="2D7EA143" w14:textId="77777777" w:rsidR="001E5BD3"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10.18653/v1/D19-1002.</w:t>
      </w:r>
    </w:p>
    <w:p w14:paraId="6DFD3FFC" w14:textId="77777777" w:rsidR="001E5BD3"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10.18653/v1/2020.acl-main.385.</w:t>
      </w:r>
    </w:p>
    <w:p w14:paraId="278C8CAD" w14:textId="77777777" w:rsidR="001E5BD3"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55FD9280" w14:textId="77777777" w:rsidR="001E5BD3" w:rsidRDefault="00000000">
      <w:pPr>
        <w:spacing w:after="80" w:line="240" w:lineRule="auto"/>
        <w:ind w:left="403" w:hanging="403"/>
      </w:pPr>
      <w:r>
        <w:rPr>
          <w:color w:val="26343D"/>
          <w:sz w:val="17"/>
        </w:rPr>
        <w:lastRenderedPageBreak/>
        <w:t>[48] J. Adebayo, J. Gilmer, M. Muelly, I. Goodfellow, M. Hardt, B. Kim, “Sanity Checks for Saliency Maps,” in Advances in Neural Information Processing Systems, vol. 31, pp. 9505–9515, 2018. Available: https://proceedings.neurips.cc/paper/2018/hash/294a8ed24b1ad22ec2e7efea049b8737-Abstract.html.</w:t>
      </w:r>
    </w:p>
    <w:p w14:paraId="7BEA278A" w14:textId="77777777" w:rsidR="001E5BD3"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60FBE0AD" w14:textId="77777777" w:rsidR="001E5BD3"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39E73D51" w14:textId="77777777" w:rsidR="001E5BD3"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sectPr w:rsidR="001E5BD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6362357">
    <w:abstractNumId w:val="8"/>
  </w:num>
  <w:num w:numId="2" w16cid:durableId="175267175">
    <w:abstractNumId w:val="6"/>
  </w:num>
  <w:num w:numId="3" w16cid:durableId="245116796">
    <w:abstractNumId w:val="5"/>
  </w:num>
  <w:num w:numId="4" w16cid:durableId="1601176928">
    <w:abstractNumId w:val="4"/>
  </w:num>
  <w:num w:numId="5" w16cid:durableId="1723865080">
    <w:abstractNumId w:val="7"/>
  </w:num>
  <w:num w:numId="6" w16cid:durableId="1194226735">
    <w:abstractNumId w:val="3"/>
  </w:num>
  <w:num w:numId="7" w16cid:durableId="738215785">
    <w:abstractNumId w:val="2"/>
  </w:num>
  <w:num w:numId="8" w16cid:durableId="301427539">
    <w:abstractNumId w:val="1"/>
  </w:num>
  <w:num w:numId="9" w16cid:durableId="450173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D3"/>
    <w:rsid w:val="0029639D"/>
    <w:rsid w:val="00326F90"/>
    <w:rsid w:val="003553C2"/>
    <w:rsid w:val="00AA1D8D"/>
    <w:rsid w:val="00B47730"/>
    <w:rsid w:val="00C862DD"/>
    <w:rsid w:val="00CB0664"/>
    <w:rsid w:val="00F64DB8"/>
    <w:rsid w:val="00FC693F"/>
    <w:rsid w:val="00FF6A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8200DE"/>
  <w14:defaultImageDpi w14:val="300"/>
  <w15:docId w15:val="{756D1D3D-62DB-4FDB-BB94-5D7D877AB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8430</Words>
  <Characters>48051</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3</cp:revision>
  <dcterms:created xsi:type="dcterms:W3CDTF">2013-12-23T23:15:00Z</dcterms:created>
  <dcterms:modified xsi:type="dcterms:W3CDTF">2026-10-09T08:49:00Z</dcterms:modified>
  <cp:category/>
</cp:coreProperties>
</file>