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Supplementary Material</w:t>
      </w:r>
    </w:p>
    <w:p>
      <w:pPr>
        <w:pStyle w:val="Heading1"/>
        <w:keepNext/>
      </w:pPr>
      <w:r>
        <w:rPr>
          <w:rFonts w:ascii="Times New Roman" w:hAnsi="Times New Roman"/>
          <w:b/>
          <w:color w:val="000000"/>
          <w:sz w:val="28"/>
        </w:rPr>
        <w:t>Patch-Content Fungibility: Geometry, Functional Transmission, and Operator-Aware Token Compression</w:t>
      </w:r>
    </w:p>
    <w:p>
      <w:pPr>
        <w:spacing w:after="100" w:line="259" w:lineRule="auto"/>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pPr>
      <w:r>
        <w:rPr>
          <w:rFonts w:ascii="Times New Roman" w:hAnsi="Times New Roman"/>
          <w:b/>
          <w:color w:val="000000"/>
          <w:sz w:val="28"/>
        </w:rPr>
        <w:t>S1. Evidence map and study design</w:t>
      </w:r>
    </w:p>
    <w:p>
      <w:pPr>
        <w:spacing w:after="100" w:line="259" w:lineRule="auto"/>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Core conditions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Contribution</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Depth-dependent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Geometric compatibility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Token-position diversity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Cohorts listed in Table I</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Operator-aware compression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Characterizes robustness and application limits.</w:t>
            </w:r>
          </w:p>
        </w:tc>
      </w:tr>
    </w:tbl>
    <w:p>
      <w:pPr>
        <w:spacing w:after="20"/>
      </w:pPr>
    </w:p>
    <w:p>
      <w:pPr>
        <w:spacing w:after="100" w:line="259" w:lineRule="auto"/>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pPr>
      <w:r>
        <w:rPr>
          <w:rFonts w:ascii="Times New Roman" w:hAnsi="Times New Roman"/>
          <w:b/>
          <w:color w:val="000000"/>
          <w:sz w:val="28"/>
        </w:rPr>
        <w:t>S2. Depth transition and held-out generalization</w:t>
      </w:r>
    </w:p>
    <w:p>
      <w:pPr>
        <w:spacing w:after="100" w:line="259" w:lineRule="auto"/>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The exact transition is architecture-dependent, as shown by the cross-architecture replication, where the strongest window occurs at Block 7 for ViT-B and Block 9 for DINOv2.</w:t>
      </w:r>
    </w:p>
    <w:p>
      <w:pPr>
        <w:spacing w:after="100" w:line="259" w:lineRule="auto"/>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pPr>
      <w:r>
        <w:rPr>
          <w:rFonts w:ascii="Times New Roman" w:hAnsi="Times New Roman"/>
          <w:b/>
          <w:color w:val="000000"/>
          <w:sz w:val="28"/>
        </w:rPr>
        <w:t>S3. Prototype geometry controls</w:t>
      </w:r>
    </w:p>
    <w:p>
      <w:pPr>
        <w:spacing w:after="100" w:line="259" w:lineRule="auto"/>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pPr>
      <w:r>
        <w:rPr>
          <w:rFonts w:ascii="Times New Roman" w:hAnsi="Times New Roman"/>
          <w:b/>
          <w:color w:val="000000"/>
          <w:sz w:val="28"/>
        </w:rPr>
        <w:t>S4. Replacement fraction and the complete-stream boundary</w:t>
      </w:r>
    </w:p>
    <w:p>
      <w:pPr>
        <w:spacing w:after="100" w:line="259" w:lineRule="auto"/>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pStyle w:val="Heading1"/>
        <w:keepNext/>
      </w:pPr>
      <w:r>
        <w:rPr>
          <w:rFonts w:ascii="Times New Roman" w:hAnsi="Times New Roman"/>
          <w:b/>
          <w:color w:val="000000"/>
          <w:sz w:val="28"/>
        </w:rPr>
        <w:t>S5. Causal isolation of token-to-token diversity</w:t>
      </w:r>
    </w:p>
    <w:p>
      <w:pPr>
        <w:spacing w:after="100" w:line="259" w:lineRule="auto"/>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pPr>
      <w:r>
        <w:rPr>
          <w:rFonts w:ascii="Times New Roman" w:hAnsi="Times New Roman"/>
          <w:b/>
          <w:color w:val="000000"/>
          <w:sz w:val="28"/>
        </w:rPr>
        <w:t>S6. Low-dimensional variation and amplitude controls</w:t>
      </w:r>
    </w:p>
    <w:p>
      <w:pPr>
        <w:spacing w:after="100" w:line="259" w:lineRule="auto"/>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pPr>
      <w:r>
        <w:rPr>
          <w:rFonts w:ascii="Times New Roman" w:hAnsi="Times New Roman"/>
          <w:b/>
          <w:color w:val="000000"/>
          <w:sz w:val="28"/>
        </w:rPr>
        <w:t>S7. Cross-model forward-parity and readout controls</w:t>
      </w:r>
    </w:p>
    <w:p>
      <w:pPr>
        <w:spacing w:after="100" w:line="259" w:lineRule="auto"/>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distinction explains why direct corruption of the entire patch stream has a stronger observable effect in DINOv2 and is explicitly accounted for in Sections 6--8 of the main paper.</w:t>
      </w:r>
    </w:p>
    <w:p>
      <w:pPr>
        <w:pStyle w:val="Heading1"/>
        <w:keepNext/>
      </w:pPr>
      <w:r>
        <w:rPr>
          <w:rFonts w:ascii="Times New Roman" w:hAnsi="Times New Roman"/>
          <w:b/>
          <w:color w:val="000000"/>
          <w:sz w:val="28"/>
        </w:rPr>
        <w:t>S8. Compression boundary: exact collapse does not imply competitive compression</w:t>
      </w:r>
    </w:p>
    <w:p>
      <w:pPr>
        <w:spacing w:after="100" w:line="259" w:lineRule="auto"/>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pPr>
      <w:r>
        <w:rPr>
          <w:rFonts w:ascii="Times New Roman" w:hAnsi="Times New Roman"/>
          <w:b/>
          <w:color w:val="000000"/>
          <w:sz w:val="28"/>
        </w:rPr>
        <w:t>S9. Synthetic carrier banks at matched token budgets</w:t>
      </w:r>
    </w:p>
    <w:p>
      <w:pPr>
        <w:spacing w:after="100" w:line="259" w:lineRule="auto"/>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pPr>
      <w:r>
        <w:rPr>
          <w:rFonts w:ascii="Times New Roman" w:hAnsi="Times New Roman"/>
          <w:b/>
          <w:color w:val="000000"/>
          <w:sz w:val="28"/>
        </w:rPr>
        <w:t>S10. Statistical and reproducibility notes</w:t>
      </w:r>
    </w:p>
    <w:p>
      <w:pPr>
        <w:spacing w:after="100" w:line="259" w:lineRule="auto"/>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Analysis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Stochastic seeds and aggregation</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DeiT-Tiny/Small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DeiT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DeiT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dense-fraction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Fixed cohort; no seed-level averaging.</w:t>
            </w:r>
          </w:p>
        </w:tc>
      </w:tr>
    </w:tbl>
    <w:p>
      <w:pPr>
        <w:spacing w:after="20"/>
      </w:pPr>
    </w:p>
    <w:p>
      <w:pPr>
        <w:pStyle w:val="Heading1"/>
        <w:keepNext/>
      </w:pPr>
      <w:r>
        <w:rPr>
          <w:rFonts w:ascii="Times New Roman" w:hAnsi="Times New Roman"/>
          <w:b/>
          <w:color w:val="000000"/>
          <w:sz w:val="28"/>
        </w:rPr>
        <w:t>S11. Cross-architecture mechanistic evidence</w:t>
      </w:r>
    </w:p>
    <w:p>
      <w:pPr>
        <w:spacing w:after="100" w:line="259" w:lineRule="auto"/>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 patches</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Depth-10 near-null count, 10⁻⁴/10⁻²</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192, 196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2.58 × 10⁻³</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154</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0.0409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3.52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47 / 327</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768, 196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1.53 × 10⁻⁵</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41 / 641</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384, 256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9.75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249</w:t>
            </w:r>
          </w:p>
        </w:tc>
      </w:tr>
    </w:tbl>
    <w:p>
      <w:pPr>
        <w:spacing w:after="20"/>
      </w:pPr>
    </w:p>
    <w:p>
      <w:pPr>
        <w:spacing w:after="100" w:line="259" w:lineRule="auto"/>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Operator</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Pearson r (95% CI)</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Spearman ρ (95% CI)</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0.806 [0.773, 0.843]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0.720 [0.681, 0.757]</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[0.955, 0.974]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[0.951, 0.973]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0.753 [0.719, 0.790]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0.735 [0.696, 0.772]</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0.975 [0.966, 0.983]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0.945 [0.932, 0.958]</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0.757 [0.728, 0.786]</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0.725 [0.684, 0.766]</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0.954 [0.938, 0.970]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0.934 [0.911, 0.953]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0.883 [0.861, 0.903]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0.829 [0.781, 0.869]</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0.946 [0.941, 0.952]</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0.944 [0.932, 0.956]</w:t>
            </w:r>
          </w:p>
        </w:tc>
      </w:tr>
    </w:tbl>
    <w:p>
      <w:pPr>
        <w:spacing w:after="20"/>
      </w:pPr>
    </w:p>
    <w:p>
      <w:pPr>
        <w:spacing w:after="100" w:line="259" w:lineRule="auto"/>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pStyle w:val="Heading1"/>
        <w:keepNext/>
      </w:pPr>
      <w:r>
        <w:rPr>
          <w:rFonts w:ascii="Times New Roman" w:hAnsi="Times New Roman"/>
          <w:b/>
          <w:color w:val="000000"/>
          <w:sz w:val="28"/>
        </w:rPr>
        <w:t>S12. Primary Q/K/V projection-path comparison</w:t>
      </w:r>
    </w:p>
    <w:p>
      <w:pPr>
        <w:spacing w:after="100" w:line="259" w:lineRule="auto"/>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drawing>
          <wp:inline xmlns:a="http://schemas.openxmlformats.org/drawingml/2006/main" xmlns:pic="http://schemas.openxmlformats.org/drawingml/2006/picture">
            <wp:extent cx="6172200" cy="2459702"/>
            <wp:docPr id="12" name="Picture 12"/>
            <wp:cNvGraphicFramePr>
              <a:graphicFrameLocks noChangeAspect="1"/>
            </wp:cNvGraphicFramePr>
            <a:graphic>
              <a:graphicData uri="http://schemas.openxmlformats.org/drawingml/2006/picture">
                <pic:pic>
                  <pic:nvPicPr>
                    <pic:cNvPr id="0" name="figureS12_primary_qkv_decomposition.png"/>
                    <pic:cNvPicPr/>
                  </pic:nvPicPr>
                  <pic:blipFill>
                    <a:blip r:embed="rId20"/>
                    <a:stretch>
                      <a:fillRect/>
                    </a:stretch>
                  </pic:blipFill>
                  <pic:spPr>
                    <a:xfrm>
                      <a:off x="0" y="0"/>
                      <a:ext cx="6172200" cy="2459702"/>
                    </a:xfrm>
                    <a:prstGeom prst="rect"/>
                  </pic:spPr>
                </pic:pic>
              </a:graphicData>
            </a:graphic>
          </wp:inline>
        </w:drawing>
      </w:r>
    </w:p>
    <w:p>
      <w:pPr>
        <w:keepLines/>
        <w:spacing w:after="100" w:line="259" w:lineRule="auto"/>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pStyle w:val="Heading1"/>
        <w:keepNext/>
      </w:pPr>
      <w:r>
        <w:rPr>
          <w:rFonts w:ascii="Times New Roman" w:hAnsi="Times New Roman"/>
          <w:b/>
          <w:color w:val="000000"/>
          <w:sz w:val="28"/>
        </w:rPr>
        <w:t>S13. Measured classifier-carrier boundary</w:t>
      </w:r>
    </w:p>
    <w:p>
      <w:pPr>
        <w:keepNext/>
        <w:spacing w:after="100" w:line="259" w:lineRule="auto"/>
      </w:pPr>
      <w:r>
        <w:rPr>
          <w:rFonts w:ascii="Times New Roman" w:hAnsi="Times New Roman"/>
          <w:i w:val="0"/>
          <w:color w:val="202A32"/>
          <w:sz w:val="20"/>
        </w:rPr>
        <w:t>The held-out classifier-carrier study reports accuracy and measured full-model throughput at batch size 64. The q=16 variant contributes a narrow ViT-B/16 AugReg point to the tested frontier; the figure does not imply a general deployment gain.</w:t>
      </w:r>
    </w:p>
    <w:p>
      <w:pPr>
        <w:keepNext/>
        <w:keepLines/>
        <w:spacing w:after="20"/>
        <w:jc w:val="center"/>
      </w:pPr>
      <w:r>
        <w:drawing>
          <wp:inline xmlns:a="http://schemas.openxmlformats.org/drawingml/2006/main" xmlns:pic="http://schemas.openxmlformats.org/drawingml/2006/picture">
            <wp:extent cx="6172200" cy="3897608"/>
            <wp:docPr id="13" name="Picture 13"/>
            <wp:cNvGraphicFramePr>
              <a:graphicFrameLocks noChangeAspect="1"/>
            </wp:cNvGraphicFramePr>
            <a:graphic>
              <a:graphicData uri="http://schemas.openxmlformats.org/drawingml/2006/picture">
                <pic:pic>
                  <pic:nvPicPr>
                    <pic:cNvPr id="0" name="figureS13_real_carrier_boundary.png"/>
                    <pic:cNvPicPr/>
                  </pic:nvPicPr>
                  <pic:blipFill>
                    <a:blip r:embed="rId21"/>
                    <a:stretch>
                      <a:fillRect/>
                    </a:stretch>
                  </pic:blipFill>
                  <pic:spPr>
                    <a:xfrm>
                      <a:off x="0" y="0"/>
                      <a:ext cx="6172200" cy="3897608"/>
                    </a:xfrm>
                    <a:prstGeom prst="rect"/>
                  </pic:spPr>
                </pic:pic>
              </a:graphicData>
            </a:graphic>
          </wp:inline>
        </w:drawing>
      </w:r>
    </w:p>
    <w:p>
      <w:pPr>
        <w:keepLines/>
        <w:spacing w:after="100" w:line="259" w:lineRule="auto"/>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pStyle w:val="Heading1"/>
        <w:keepNext/>
      </w:pPr>
      <w:r>
        <w:rPr>
          <w:rFonts w:ascii="Times New Roman" w:hAnsi="Times New Roman"/>
          <w:b/>
          <w:color w:val="000000"/>
          <w:sz w:val="28"/>
        </w:rPr>
        <w:t>S14. Code and data availability</w:t>
      </w:r>
    </w:p>
    <w:p>
      <w:pPr>
        <w:spacing w:after="100" w:line="259" w:lineRule="auto"/>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