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We examine how patch-content replacement tolerance varies across transformer depths by replacing 25% of spatial patch activations with class-agnostic surrogates and evaluating classification accuracy on 1,000 images per architecture. As shown in Fig. 2, replacement is generally better tolerated at later layers, with the degree of preservation depending on both the model architecture and surrogate distribution. Centroid and Gaussian replacements consistently demonstrate the importance of preserving appropriate activation statistics, whereas zero replacement can cause substantially greater degradation. These findings indicate that late-layer patch-content fungibility is governed not merely by network depth, but also by the geometry of the replacement representations.</w:t>
      </w:r>
      <w:r w:rsidR="00F3275F">
        <w:t/>
      </w:r>
      <w:r>
        <w:t/>
      </w:r>
      <w:r w:rsidR="00F3275F">
        <w:t/>
      </w:r>
      <w:r>
        <w:t/>
      </w:r>
      <w:r w:rsidR="00F3275F">
        <w:t/>
      </w:r>
      <w:r>
        <w:t/>
      </w:r>
      <w:r w:rsidR="00F3275F">
        <w:t/>
      </w:r>
      <w:r>
        <w:t/>
      </w:r>
      <w:r w:rsidR="00F3275F">
        <w:t/>
      </w:r>
      <w:r>
        <w:t/>
      </w:r>
      <w:r w:rsidR="00F3275F">
        <w:t/>
      </w:r>
      <w:r>
        <w:t/>
      </w:r>
      <w:r w:rsidR="00F3275F">
        <w:t/>
      </w:r>
      <w:r>
        <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 The initial study measured depths 5, 7, 8, 9, and 10; depth 6 is a separately recorded follow</w:t>
      </w:r>
      <w:r w:rsidR="00F3275F">
        <w:rPr>
          <w:i/>
          <w:color w:val="4C5963"/>
          <w:sz w:val="17"/>
        </w:rPr>
        <w:t>-</w:t>
      </w:r>
      <w:r>
        <w:rPr>
          <w:i/>
          <w:color w:val="4C5963"/>
          <w:sz w:val="17"/>
        </w:rPr>
        <w:t>up. Each evaluation uses N=1,000 images per model.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t>Geometry and diversity constrain replacement. In a separate activation-replacement geometry-control experiment</w:t>
      </w:r>
      <w:r w:rsidR="00F3275F">
        <w:t/>
      </w:r>
      <w:r>
        <w:t xml:space="preserve"> (N=1,000 images per model; 50% replacement), coordinate permutation changes Top</w:t>
      </w:r>
      <w:r w:rsidR="00F3275F">
        <w:t>-</w:t>
      </w:r>
      <w:r>
        <w:t>1 accuracy from 66.3% to 52.2% on DeiT</w:t>
      </w:r>
      <w:r w:rsidR="00F3275F">
        <w:t>-</w:t>
      </w:r>
      <w:r>
        <w:t>Tiny and from 75.6% to 62.6% on DeiT</w:t>
      </w:r>
      <w:r w:rsidR="00F3275F">
        <w:t>-</w:t>
      </w:r>
      <w:r>
        <w:t>Small; sign inversion reduces it to 0.7% and 1.1%, respectively. These are classifier outcomes from the N=1,000 replacement study. A distinct N=100 DeiT</w:t>
      </w:r>
      <w:r w:rsidR="00F3275F">
        <w:t>-</w:t>
      </w:r>
      <w:r>
        <w:t>Small operator</w:t>
      </w:r>
      <w:r w:rsidR="00F3275F">
        <w:t>-</w:t>
      </w:r>
      <w:r>
        <w:t>space control finds that shuffling principal component analysis (PCA) coordinates increases mean ‖J E‖ by 1.474 (from 6.602 to 8.076); this is linearized operator</w:t>
      </w:r>
      <w:r w:rsidR="00F3275F">
        <w:t>-</w:t>
      </w:r>
      <w:r>
        <w:t>space evidence, not Top</w:t>
      </w:r>
      <w:r w:rsidR="00F3275F">
        <w:t>-</w:t>
      </w:r>
      <w:r>
        <w:t>1 accuracy. Fig. 3 compares the audited geometry and token</w:t>
      </w:r>
      <w:r w:rsidR="00F3275F">
        <w:t>-</w:t>
      </w:r>
      <w:r>
        <w:t>diversity controls.</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Fig. 3. (a) Cross-architecture geometry controls at 50% replacement for ViT</w:t>
      </w:r>
      <w:r w:rsidR="00F3275F">
        <w:rPr>
          <w:i/>
          <w:color w:val="4C5963"/>
          <w:sz w:val="17"/>
        </w:rPr>
        <w:t>-</w:t>
      </w:r>
      <w:r>
        <w:rPr>
          <w:i/>
          <w:color w:val="4C5963"/>
          <w:sz w:val="17"/>
        </w:rPr>
        <w:t>B/16 AugReg and DINOv2 ViT</w:t>
      </w:r>
      <w:r w:rsidR="00F3275F">
        <w:rPr>
          <w:i/>
          <w:color w:val="4C5963"/>
          <w:sz w:val="17"/>
        </w:rPr>
        <w:t>-</w:t>
      </w:r>
      <w:r>
        <w:rPr>
          <w:i/>
          <w:color w:val="4C5963"/>
          <w:sz w:val="17"/>
        </w:rPr>
        <w:t>S/14 compare a calibration centroid, a coordinate</w:t>
      </w:r>
      <w:r w:rsidR="00F3275F">
        <w:rPr>
          <w:i/>
          <w:color w:val="4C5963"/>
          <w:sz w:val="17"/>
        </w:rPr>
        <w:t>-</w:t>
      </w:r>
      <w:r>
        <w:rPr>
          <w:i/>
          <w:color w:val="4C5963"/>
          <w:sz w:val="17"/>
        </w:rPr>
        <w:t>shuffled centroid, and a sign</w:t>
      </w:r>
      <w:r w:rsidR="00F3275F">
        <w:rPr>
          <w:i/>
          <w:color w:val="4C5963"/>
          <w:sz w:val="17"/>
        </w:rPr>
        <w:t>-</w:t>
      </w:r>
      <w:r>
        <w:rPr>
          <w:i/>
          <w:color w:val="4C5963"/>
          <w:sz w:val="17"/>
        </w:rPr>
        <w:t>inverted centroid. (b) The grouped token-diversity sweep</w:t>
      </w:r>
      <w:r w:rsidR="00F3275F">
        <w:rPr>
          <w:i/>
          <w:color w:val="4C5963"/>
          <w:sz w:val="17"/>
        </w:rPr>
        <w:t/>
      </w:r>
      <w:r>
        <w:rPr>
          <w:i/>
          <w:color w:val="4C5963"/>
          <w:sz w:val="17"/>
        </w:rPr>
        <w:t xml:space="preserve"> on DeiT</w:t>
      </w:r>
      <w:r w:rsidR="00F3275F">
        <w:rPr>
          <w:i/>
          <w:color w:val="4C5963"/>
          <w:sz w:val="17"/>
        </w:rPr>
        <w:t>-</w:t>
      </w:r>
      <w:r>
        <w:rPr>
          <w:i/>
          <w:color w:val="4C5963"/>
          <w:sz w:val="17"/>
        </w:rPr>
        <w:t>Tiny and DeiT</w:t>
      </w:r>
      <w:r w:rsidR="00F3275F">
        <w:rPr>
          <w:i/>
          <w:color w:val="4C5963"/>
          <w:sz w:val="17"/>
        </w:rPr>
        <w:t>-</w:t>
      </w:r>
      <w:r>
        <w:rPr>
          <w:i/>
          <w:color w:val="4C5963"/>
          <w:sz w:val="17"/>
        </w:rPr>
        <w:t>Small varies K, the number of distinct replacement vectors across all 196 patch positions. Gray dashed lines mark each model’s clean Top</w:t>
      </w:r>
      <w:r w:rsidR="00F3275F">
        <w:rPr>
          <w:i/>
          <w:color w:val="4C5963"/>
          <w:sz w:val="17"/>
        </w:rPr>
        <w:t>-</w:t>
      </w:r>
      <w:r>
        <w:rPr>
          <w:i/>
          <w:color w:val="4C5963"/>
          <w:sz w:val="17"/>
        </w:rPr>
        <w:t>1 accuracy. Bars and line markers show means; dots show recorded runs; error bars show across</w:t>
      </w:r>
      <w:r w:rsidR="00F3275F">
        <w:rPr>
          <w:i/>
          <w:color w:val="4C5963"/>
          <w:sz w:val="17"/>
        </w:rPr>
        <w:t>-</w:t>
      </w:r>
      <w:r>
        <w:rPr>
          <w:i/>
          <w:color w:val="4C5963"/>
          <w:sz w:val="17"/>
        </w:rPr>
        <w:t>seed standard deviation where repeated seeds are available. Each model uses N=1,000 evaluation images and separate calibration data. These are distinct study cohorts, so conditions should be compared within each panel rather than treated as a matched</w:t>
      </w:r>
      <w:r w:rsidR="00F3275F">
        <w:rPr>
          <w:i/>
          <w:color w:val="4C5963"/>
          <w:sz w:val="17"/>
        </w:rPr>
        <w:t>-</w:t>
      </w:r>
      <w:r>
        <w:rPr>
          <w:i/>
          <w:color w:val="4C5963"/>
          <w:sz w:val="17"/>
        </w:rPr>
        <w:t>model contrast.</w:t>
      </w:r>
    </w:p>
    <w:p w14:paraId="17B24AD9" w14:textId="1B77D586" w:rsidR="00C01008" w:rsidRDefault="00000000" w:rsidP="00F3275F">
      <w:pPr>
        <w:spacing w:after="100" w:line="259" w:lineRule="auto"/>
        <w:jc w:val="both"/>
      </w:pPr>
      <w:r>
        <w:t>In a separate learned-direction replacement experiment, with 100% patch replacement, N=1,000 evaluation images and a disjoint N=1,000 calibration set per DeiT model, learned low-dimensional variation is more compatible than energy-matched random directions. This advantage depends on model and amplitude and does not establish rank-1 sufficiency. Complementary token-diversity experiments show that low-dimensional variation alone does not restore full performance; the tested setting requires higher-dimensional structure. Together, these interventions show that late-layer replaceability is structured by feature geometry and token diversity, rather than implying universal interchangeability or cost-free token deletion.</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