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Depth profiles differ across architectures: ViT-B's zero–centroid Top-1 contrast is largest at Block 7. In DINOv2, that contrast is larger at Block 10 than Block 9 (74.9 vs. 69.6 percentage points); centroid margin damage is also lower at Block 10 (0.141 vs. 0.565), indicating greater recovery toward the clean margin.</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readout difference may contribute to DINOv2's stronger observable response to direct corruption of the entire patch stream; the distinction is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Practical Carrier Evaluation and Accuracy–Throughput Boundary</w:t>
      </w:r>
    </w:p>
    <w:p>
      <w:pPr>
        <w:keepNext/>
        <w:spacing w:after="100" w:line="259" w:lineRule="auto"/>
      </w:pPr>
      <w:r>
        <w:rPr>
          <w:rFonts w:ascii="Times New Roman" w:hAnsi="Times New Roman"/>
          <w:i w:val="0"/>
          <w:color w:val="202A32"/>
          <w:sz w:val="20"/>
        </w:rPr>
        <w:t>The held-out classifier-carrier study measures nonlinear accuracy and full-model throughput using calibration-frozen carrier corrections. Its measured frontier contains one narrow ViT-B/16 AugReg q=16 operating point; the result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2"/>
        <w:keepNext/>
      </w:pPr>
      <w:r>
        <w:rPr>
          <w:rFonts w:ascii="Times New Roman" w:hAnsi="Times New Roman"/>
          <w:b/>
          <w:color w:val="000000"/>
          <w:sz w:val="23"/>
        </w:rPr>
        <w:t>S13.1 Calibration-Frozen Feature-PCA Approximation</w:t>
      </w:r>
    </w:p>
    <w:p>
      <w:pPr>
        <w:spacing w:after="100" w:line="259" w:lineRule="auto"/>
      </w:pPr>
      <w:r>
        <w:rPr>
          <w:rFonts w:ascii="Times New Roman" w:hAnsi="Times New Roman"/>
          <w:i w:val="0"/>
          <w:color w:val="202A32"/>
          <w:sz w:val="20"/>
        </w:rP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pPr>
        <w:spacing w:after="100" w:line="259" w:lineRule="auto"/>
      </w:pPr>
      <w:r>
        <w:rPr>
          <w:rFonts w:ascii="Times New Roman" w:hAnsi="Times New Roman"/>
          <w:i w:val="0"/>
          <w:color w:val="202A32"/>
          <w:sz w:val="20"/>
        </w:rPr>
        <w:t xml:space="preserve">For each q, restricted-oracle correction coefficients are estimated on calibration images using the fixed-spatial grouping at the configured calibration budget with </w:t>
      </w:r>
      <m:oMath>
        <m:r>
          <m:t xml:space="preserve">λ</m:t>
        </m:r>
        <m:r>
          <m:t xml:space="preserve">=</m:t>
        </m:r>
        <m:sSup>
          <m:e>
            <m:r>
              <m:t xml:space="preserve">10</m:t>
            </m:r>
          </m:e>
          <m:sup>
            <m:r>
              <m:t xml:space="preserve">-</m:t>
            </m:r>
            <m:r>
              <m:t xml:space="preserve">3</m:t>
            </m:r>
          </m:sup>
        </m:sSup>
      </m:oMath>
      <w:r>
        <w:rPr>
          <w:rFonts w:ascii="Times New Roman" w:hAnsi="Times New Roman"/>
          <w:i w:val="0"/>
          <w:color w:val="202A32"/>
          <w:sz w:val="20"/>
        </w:rP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e>
            <m:r>
              <m:t xml:space="preserve">run</m:t>
            </m:r>
          </m:e>
          <m:sub>
            <m:r>
              <m:t xml:space="preserve">r</m:t>
            </m:r>
          </m:sub>
        </m:sSub>
      </m:oMath>
      <m:oMath>
        <m:sSub>
          <m:e>
            <m:r>
              <m:t xml:space="preserve">eal</m:t>
            </m:r>
          </m:e>
          <m:sub>
            <m:r>
              <m:t xml:space="preserve">f</m:t>
            </m:r>
          </m:sub>
        </m:sSub>
      </m:oMath>
      <m:oMath>
        <m:sSub>
          <m:e>
            <m:r>
              <m:t xml:space="preserve">inal</m:t>
            </m:r>
          </m:e>
          <m:sub>
            <m:r>
              <m:t xml:space="preserve">a</m:t>
            </m:r>
          </m:sub>
        </m:sSub>
      </m:oMath>
      <w:r>
        <w:rPr>
          <w:rFonts w:ascii="Times New Roman" w:hAnsi="Times New Roman"/>
          <w:i w:val="0"/>
          <w:color w:val="202A32"/>
          <w:sz w:val="20"/>
        </w:rPr>
        <w:t xml:space="preserve">ccuracy.py and </w:t>
      </w:r>
      <m:oMath>
        <m:sSub>
          <m:e>
            <m:r>
              <m:t xml:space="preserve">patch</m:t>
            </m:r>
          </m:e>
          <m:sub>
            <m:r>
              <m:t xml:space="preserve">f</m:t>
            </m:r>
          </m:sub>
        </m:sSub>
      </m:oMath>
      <w:r>
        <w:rPr>
          <w:rFonts w:ascii="Times New Roman" w:hAnsi="Times New Roman"/>
          <w:i w:val="0"/>
          <w:color w:val="202A32"/>
          <w:sz w:val="20"/>
        </w:rPr>
        <w:t>ungibility/</w:t>
      </w:r>
      <m:oMath>
        <m:sSub>
          <m:e>
            <m:r>
              <m:t xml:space="preserve">implicit</m:t>
            </m:r>
          </m:e>
          <m:sub>
            <m:r>
              <m:t xml:space="preserve">c</m:t>
            </m:r>
          </m:sub>
        </m:sSub>
      </m:oMath>
      <m:oMath>
        <m:sSub>
          <m:e>
            <m:r>
              <m:t xml:space="preserve">arrier</m:t>
            </m:r>
          </m:e>
          <m:sub>
            <m:r>
              <m:t xml:space="preserve">o</m:t>
            </m:r>
          </m:sub>
        </m:sSub>
      </m:oMath>
      <w:r>
        <w:rPr>
          <w:rFonts w:ascii="Times New Roman" w:hAnsi="Times New Roman"/>
          <w:i w:val="0"/>
          <w:color w:val="202A32"/>
          <w:sz w:val="20"/>
        </w:rPr>
        <w:t>perator.py.</w:t>
      </w:r>
    </w:p>
    <w:p>
      <w:pPr>
        <w:spacing w:after="100" w:line="259" w:lineRule="auto"/>
      </w:pPr>
      <w:r>
        <w:rPr>
          <w:rFonts w:ascii="Times New Roman" w:hAnsi="Times New Roman"/>
          <w:i w:val="0"/>
          <w:color w:val="202A32"/>
          <w:sz w:val="20"/>
        </w:rP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pPr>
        <w:pStyle w:val="Heading2"/>
        <w:keepNext/>
      </w:pPr>
      <w:r>
        <w:rPr>
          <w:rFonts w:ascii="Times New Roman" w:hAnsi="Times New Roman"/>
          <w:b/>
          <w:color w:val="000000"/>
          <w:sz w:val="23"/>
        </w:rPr>
        <w:t>S13.2 Held-Out Classification and Throughput</w:t>
      </w:r>
    </w:p>
    <w:p>
      <w:pPr>
        <w:spacing w:after="100" w:line="259" w:lineRule="auto"/>
      </w:pPr>
      <w:r>
        <w:rPr>
          <w:rFonts w:ascii="Times New Roman" w:hAnsi="Times New Roman"/>
          <w:i w:val="0"/>
          <w:color w:val="202A32"/>
          <w:sz w:val="20"/>
        </w:rP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pPr>
        <w:spacing w:after="100" w:line="259" w:lineRule="auto"/>
      </w:pPr>
      <w:r>
        <w:rPr>
          <w:rFonts w:ascii="Times New Roman" w:hAnsi="Times New Roman"/>
          <w:i w:val="0"/>
          <w:color w:val="202A32"/>
          <w:sz w:val="20"/>
        </w:rPr>
        <w:t>Table S5 reports selected operating points from the evaluated budget grid, not the full grid. The complete real-classifier and measured-frontier results are archived in outputs/</w:t>
      </w:r>
      <m:oMath>
        <m:sSub>
          <m:e>
            <m:r>
              <m:t xml:space="preserve">fungibility</m:t>
            </m:r>
          </m:e>
          <m:sub>
            <m:r>
              <m:t xml:space="preserve">r</m:t>
            </m:r>
          </m:sub>
        </m:sSub>
      </m:oMath>
      <m:oMath>
        <m:sSub>
          <m:e>
            <m:r>
              <m:t xml:space="preserve">eal</m:t>
            </m:r>
          </m:e>
          <m:sub>
            <m:r>
              <m:t xml:space="preserve">f</m:t>
            </m:r>
          </m:sub>
        </m:sSub>
      </m:oMath>
      <w:r>
        <w:rPr>
          <w:rFonts w:ascii="Times New Roman" w:hAnsi="Times New Roman"/>
          <w:i w:val="0"/>
          <w:color w:val="202A32"/>
          <w:sz w:val="20"/>
        </w:rPr>
        <w:t>inal/</w:t>
      </w:r>
      <m:oMath>
        <m:sSub>
          <m:e>
            <m:r>
              <m:t xml:space="preserve">real</m:t>
            </m:r>
          </m:e>
          <m:sub>
            <m:r>
              <m:t xml:space="preserve">a</m:t>
            </m:r>
          </m:sub>
        </m:sSub>
      </m:oMath>
      <m:oMath>
        <m:sSub>
          <m:e>
            <m:r>
              <m:t xml:space="preserve">ccuracy</m:t>
            </m:r>
          </m:e>
          <m:sub>
            <m:r>
              <m:t xml:space="preserve">s</m:t>
            </m:r>
          </m:sub>
        </m:sSub>
      </m:oMath>
      <w:r>
        <w:rPr>
          <w:rFonts w:ascii="Times New Roman" w:hAnsi="Times New Roman"/>
          <w:i w:val="0"/>
          <w:color w:val="202A32"/>
          <w:sz w:val="20"/>
        </w:rPr>
        <w:t xml:space="preserve">ummary.csv, </w:t>
      </w:r>
      <m:oMath>
        <m:sSub>
          <m:e>
            <m:r>
              <m:t xml:space="preserve">real</m:t>
            </m:r>
          </m:e>
          <m:sub>
            <m:r>
              <m:t xml:space="preserve">a</m:t>
            </m:r>
          </m:sub>
        </m:sSub>
      </m:oMath>
      <m:oMath>
        <m:sSub>
          <m:e>
            <m:r>
              <m:t xml:space="preserve">ccuracy</m:t>
            </m:r>
          </m:e>
          <m:sub>
            <m:r>
              <m:t xml:space="preserve">p</m:t>
            </m:r>
          </m:sub>
        </m:sSub>
      </m:oMath>
      <m:oMath>
        <m:sSub>
          <m:e>
            <m:r>
              <m:t xml:space="preserve">er</m:t>
            </m:r>
          </m:e>
          <m:sub>
            <m:r>
              <m:t xml:space="preserve">i</m:t>
            </m:r>
          </m:sub>
        </m:sSub>
      </m:oMath>
      <w:r>
        <w:rPr>
          <w:rFonts w:ascii="Times New Roman" w:hAnsi="Times New Roman"/>
          <w:i w:val="0"/>
          <w:color w:val="202A32"/>
          <w:sz w:val="20"/>
        </w:rPr>
        <w:t xml:space="preserve">mage.csv, and </w:t>
      </w:r>
      <m:oMath>
        <m:sSub>
          <m:e>
            <m:r>
              <m:t xml:space="preserve">real</m:t>
            </m:r>
          </m:e>
          <m:sub>
            <m:r>
              <m:t xml:space="preserve">a</m:t>
            </m:r>
          </m:sub>
        </m:sSub>
      </m:oMath>
      <m:oMath>
        <m:sSub>
          <m:e>
            <m:r>
              <m:t xml:space="preserve">ccuracy</m:t>
            </m:r>
          </m:e>
          <m:sub>
            <m:r>
              <m:t xml:space="preserve">t</m:t>
            </m:r>
          </m:sub>
        </m:sSub>
      </m:oMath>
      <m:oMath>
        <m:sSub>
          <m:e>
            <m:r>
              <m:t xml:space="preserve">hroughput</m:t>
            </m:r>
          </m:e>
          <m:sub>
            <m:r>
              <m:t xml:space="preserve">f</m:t>
            </m:r>
          </m:sub>
        </m:sSub>
      </m:oMath>
      <w:r>
        <w:rPr>
          <w:rFonts w:ascii="Times New Roman" w:hAnsi="Times New Roman"/>
          <w:i w:val="0"/>
          <w:color w:val="202A32"/>
          <w:sz w:val="20"/>
        </w:rPr>
        <w:t>rontier.csv.</w:t>
      </w:r>
    </w:p>
    <w:p>
      <w:pPr>
        <w:keepNext/>
        <w:keepLines/>
        <w:spacing w:after="100" w:line="259" w:lineRule="auto"/>
      </w:pPr>
      <w:r>
        <w:rPr>
          <w:rFonts w:ascii="Times New Roman" w:hAnsi="Times New Roman"/>
          <w:b/>
          <w:color w:val="202A32"/>
          <w:sz w:val="20"/>
        </w:rPr>
        <w:t>Table S5. Held-out classification accuracy of calibration-frozen carrier corrections at selected token budgets.</w:t>
      </w:r>
      <w:r>
        <w:rPr>
          <w:rFonts w:ascii="Times New Roman" w:hAnsi="Times New Roman"/>
          <w:i w:val="0"/>
          <w:color w:val="202A32"/>
          <w:sz w:val="20"/>
        </w:rP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100" w:line="259" w:lineRule="auto"/>
      </w:pPr>
      <w:r>
        <w:rPr>
          <w:rFonts w:ascii="Times New Roman" w:hAnsi="Times New Roman"/>
          <w:i w:val="0"/>
          <w:color w:val="202A32"/>
          <w:sz w:val="20"/>
        </w:rP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pPr>
        <w:pStyle w:val="Heading2"/>
        <w:keepNext/>
      </w:pPr>
      <w:r>
        <w:rPr>
          <w:rFonts w:ascii="Times New Roman" w:hAnsi="Times New Roman"/>
          <w:b/>
          <w:color w:val="000000"/>
          <w:sz w:val="23"/>
        </w:rPr>
        <w:t>S13.3 Selective Gating and Scope</w:t>
      </w:r>
    </w:p>
    <w:p>
      <w:pPr>
        <w:spacing w:after="100" w:line="259" w:lineRule="auto"/>
      </w:pPr>
      <w:r>
        <w:rPr>
          <w:rFonts w:ascii="Times New Roman" w:hAnsi="Times New Roman"/>
          <w:i w:val="0"/>
          <w:color w:val="202A32"/>
          <w:sz w:val="20"/>
        </w:rP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e>
            <m:r>
              <m:t xml:space="preserve">fungibility</m:t>
            </m:r>
          </m:e>
          <m:sub>
            <m:r>
              <m:t xml:space="preserve">i</m:t>
            </m:r>
          </m:sub>
        </m:sSub>
      </m:oMath>
      <m:oMath>
        <m:sSub>
          <m:e>
            <m:r>
              <m:t xml:space="preserve">mplicit</m:t>
            </m:r>
          </m:e>
          <m:sub>
            <m:r>
              <m:t xml:space="preserve">c</m:t>
            </m:r>
          </m:sub>
        </m:sSub>
      </m:oMath>
      <m:oMath>
        <m:sSub>
          <m:e>
            <m:r>
              <m:t xml:space="preserve">arrier</m:t>
            </m:r>
          </m:e>
          <m:sub>
            <m:r>
              <m:t xml:space="preserve">o</m:t>
            </m:r>
          </m:sub>
        </m:sSub>
      </m:oMath>
      <m:oMath>
        <m:sSub>
          <m:e>
            <m:r>
              <m:t xml:space="preserve">perator</m:t>
            </m:r>
          </m:e>
          <m:sub>
            <m:r>
              <m:t xml:space="preserve">a</m:t>
            </m:r>
          </m:sub>
        </m:sSub>
      </m:oMath>
      <w:r>
        <w:rPr>
          <w:rFonts w:ascii="Times New Roman" w:hAnsi="Times New Roman"/>
          <w:i w:val="0"/>
          <w:color w:val="202A32"/>
          <w:sz w:val="20"/>
        </w:rPr>
        <w:t>udit/</w:t>
      </w:r>
      <m:oMath>
        <m:sSub>
          <m:e>
            <m:r>
              <m:t xml:space="preserve">predicted</m:t>
            </m:r>
          </m:e>
          <m:sub>
            <m:r>
              <m:t xml:space="preserve">a</m:t>
            </m:r>
          </m:sub>
        </m:sSub>
      </m:oMath>
      <m:oMath>
        <m:sSub>
          <m:e>
            <m:r>
              <m:t xml:space="preserve">lpha</m:t>
            </m:r>
          </m:e>
          <m:sub>
            <m:r>
              <m:t xml:space="preserve">a</m:t>
            </m:r>
          </m:sub>
        </m:sSub>
      </m:oMath>
      <w:r>
        <w:rPr>
          <w:rFonts w:ascii="Times New Roman" w:hAnsi="Times New Roman"/>
          <w:i w:val="0"/>
          <w:color w:val="202A32"/>
          <w:sz w:val="20"/>
        </w:rPr>
        <w:t>udit.csv.</w:t>
      </w:r>
    </w:p>
    <w:p>
      <w:pPr>
        <w:spacing w:after="100" w:line="259" w:lineRule="auto"/>
      </w:pPr>
      <w:r>
        <w:rPr>
          <w:rFonts w:ascii="Times New Roman" w:hAnsi="Times New Roman"/>
          <w:i w:val="0"/>
          <w:color w:val="202A32"/>
          <w:sz w:val="20"/>
        </w:rP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pPr>
        <w:pStyle w:val="Heading1"/>
        <w:keepNext/>
      </w:pPr>
      <w:r>
        <w:rPr>
          <w:rFonts w:ascii="Times New Roman" w:hAnsi="Times New Roman"/>
          <w:b/>
          <w:color w:val="000000"/>
          <w:sz w:val="28"/>
        </w:rPr>
        <w:t>S15. Regularization Sensitivity of Operator-Aware Carriers</w:t>
      </w:r>
    </w:p>
    <w:p>
      <w:pPr>
        <w:spacing w:after="100" w:line="259" w:lineRule="auto"/>
      </w:pPr>
      <w:r>
        <w:rPr>
          <w:rFonts w:ascii="Times New Roman" w:hAnsi="Times New Roman"/>
          <w:i w:val="0"/>
          <w:color w:val="202A32"/>
          <w:sz w:val="20"/>
        </w:rPr>
        <w:t xml:space="preserve">This post-hoc sensitivity analysis evaluates the trace-normalized regularization in Equation (8) without changing the confirmatory solver or its archived results. For a dimensionless candidate factor </w:t>
      </w:r>
      <m:oMath>
        <m:r>
          <m:t xml:space="preserve">f</m:t>
        </m:r>
      </m:oMath>
      <w:r>
        <w:rPr>
          <w:rFonts w:ascii="Times New Roman" w:hAnsi="Times New Roman"/>
          <w:i w:val="0"/>
          <w:color w:val="202A32"/>
          <w:sz w:val="20"/>
        </w:rPr>
        <w:t>, the effective regularization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λ</m:t>
                  </m:r>
                </m:e>
                <m:sub>
                  <m:r>
                    <m:t xml:space="preserve">{</m:t>
                  </m:r>
                  <m:r>
                    <m:t xml:space="preserve">abs</m:t>
                  </m:r>
                  <m:r>
                    <m:t xml:space="preserve">}</m:t>
                  </m:r>
                </m:sub>
              </m:sSub>
              <m:r>
                <m:t xml:space="preserve">=</m:t>
              </m:r>
              <m:r>
                <m:t xml:space="preserve">f</m:t>
              </m:r>
              <m:r>
                <m:t xml:space="preserve">\</m:t>
              </m:r>
              <m:r>
                <m:t xml:space="preserve">,</m:t>
              </m:r>
              <m:r>
                <m:t xml:space="preserve"> </m:t>
              </m:r>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r>
                <m:t xml:space="preserve"> </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with </w:t>
      </w:r>
      <m:oMath>
        <m:r>
          <m:t xml:space="preserve">f</m:t>
        </m:r>
        <m:r>
          <m:t xml:space="preserve">∈</m:t>
        </m:r>
        <m:r>
          <m:t xml:space="preserve">{</m:t>
        </m:r>
        <m:r>
          <m:t xml:space="preserve">0</m:t>
        </m:r>
        <m:r>
          <m:t xml:space="preserve">.</m:t>
        </m:r>
        <m:r>
          <m:t xml:space="preserve">01</m:t>
        </m:r>
        <m:r>
          <m:t xml:space="preserve">,</m:t>
        </m:r>
        <m:r>
          <m:t xml:space="preserve">0</m:t>
        </m:r>
        <m:r>
          <m:t xml:space="preserve">.</m:t>
        </m:r>
        <m:r>
          <m:t xml:space="preserve">1</m:t>
        </m:r>
        <m:r>
          <m:t xml:space="preserve">,</m:t>
        </m:r>
        <m:r>
          <m:t xml:space="preserve">1</m:t>
        </m:r>
        <m:r>
          <m:t xml:space="preserve">,</m:t>
        </m:r>
        <m:r>
          <m:t xml:space="preserve">3</m:t>
        </m:r>
        <m:r>
          <m:t xml:space="preserve">,</m:t>
        </m:r>
        <m:r>
          <m:t xml:space="preserve">10</m:t>
        </m:r>
        <m:r>
          <m:t xml:space="preserve">,</m:t>
        </m:r>
        <m:r>
          <m:t xml:space="preserve">30</m:t>
        </m:r>
        <m:r>
          <m:t xml:space="preserve">,</m:t>
        </m:r>
        <m:r>
          <m:t xml:space="preserve">100</m:t>
        </m:r>
        <m:r>
          <m:t xml:space="preserve">}</m:t>
        </m:r>
      </m:oMath>
      <w:r>
        <w:rPr>
          <w:rFonts w:ascii="Times New Roman" w:hAnsi="Times New Roman"/>
          <w:i w:val="0"/>
          <w:color w:val="202A32"/>
          <w:sz w:val="20"/>
        </w:rP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pPr>
        <w:spacing w:after="100" w:line="259" w:lineRule="auto"/>
      </w:pPr>
      <w:r>
        <w:rPr>
          <w:rFonts w:ascii="Times New Roman" w:hAnsi="Times New Roman"/>
          <w:i w:val="0"/>
          <w:color w:val="202A32"/>
          <w:sz w:val="20"/>
        </w:rPr>
        <w:t xml:space="preserve">We evaluated frozen DeiT-Tiny, DeiT-Small, and ViT-B/16 AugReg at retained-token budgets </w:t>
      </w:r>
      <m:oMath>
        <m:r>
          <m:t xml:space="preserve">B</m:t>
        </m:r>
        <m:r>
          <m:t xml:space="preserve">∈</m:t>
        </m:r>
        <m:r>
          <m:t xml:space="preserve">{</m:t>
        </m:r>
        <m:r>
          <m:t xml:space="preserve">32</m:t>
        </m:r>
        <m:r>
          <m:t xml:space="preserve">,</m:t>
        </m:r>
        <m:r>
          <m:t xml:space="preserve">98</m:t>
        </m:r>
        <m:r>
          <m:t xml:space="preserve">}</m:t>
        </m:r>
      </m:oMath>
      <w:r>
        <w:rPr>
          <w:rFonts w:ascii="Times New Roman" w:hAnsi="Times New Roman"/>
          <w:i w:val="0"/>
          <w:color w:val="202A32"/>
          <w:sz w:val="20"/>
        </w:rPr>
        <w:t xml:space="preserve">, and DINOv2 ViT-S/14 at </w:t>
      </w:r>
      <m:oMath>
        <m:r>
          <m:t xml:space="preserve">B</m:t>
        </m:r>
        <m:r>
          <m:t xml:space="preserve">∈</m:t>
        </m:r>
        <m:r>
          <m:t xml:space="preserve">{</m:t>
        </m:r>
        <m:r>
          <m:t xml:space="preserve">42</m:t>
        </m:r>
        <m:r>
          <m:t xml:space="preserve">,</m:t>
        </m:r>
        <m:r>
          <m:t xml:space="preserve">128</m:t>
        </m:r>
        <m:r>
          <m:t xml:space="preserve">}</m:t>
        </m:r>
      </m:oMath>
      <w:r>
        <w:rPr>
          <w:rFonts w:ascii="Times New Roman" w:hAnsi="Times New Roman"/>
          <w:i w:val="0"/>
          <w:color w:val="202A32"/>
          <w:sz w:val="20"/>
        </w:rPr>
        <w:t xml:space="preserve">. Feature-similarity grouping and the existing exact per-image Jacobian solver were used. Each image's Jacobian was reused across all factors and both budgets. Grouping was constructed separately for each budget and held fixed across that budget's factors; the multiplicity-aware downstream forward was unchanged. Each model–budget cell therefore contains the same </w:t>
      </w:r>
      <m:oMath>
        <m:r>
          <m:t xml:space="preserve">N</m:t>
        </m:r>
        <m:r>
          <m:t xml:space="preserve">=</m:t>
        </m:r>
        <m:r>
          <m:t xml:space="preserve">200</m:t>
        </m:r>
      </m:oMath>
      <w:r>
        <w:rPr>
          <w:rFonts w:ascii="Times New Roman" w:hAnsi="Times New Roman"/>
          <w:i w:val="0"/>
          <w:color w:val="202A32"/>
          <w:sz w:val="20"/>
        </w:rPr>
        <w:t xml:space="preserve"> calibration images for every factor and for the common Group Mean baseline. The per-image CSV records nonlinear Top-1 correctness, clean-to-compressed final-logit </w:t>
      </w:r>
      <m:oMath>
        <m:sSub>
          <m:e>
            <m:r>
              <m:t xml:space="preserve">L</m:t>
            </m:r>
          </m:e>
          <m:sub>
            <m:r>
              <m:t xml:space="preserve">2</m:t>
            </m:r>
          </m:sub>
        </m:sSub>
      </m:oMath>
      <w:r>
        <w:rPr>
          <w:rFonts w:ascii="Times New Roman" w:hAnsi="Times New Roman"/>
          <w:i w:val="0"/>
          <w:color w:val="202A32"/>
          <w:sz w:val="20"/>
        </w:rPr>
        <w:t xml:space="preserve"> damage, true-class margin change, linearized residual </w:t>
      </w:r>
      <m:oMath>
        <m:r>
          <m:t xml:space="preserve">||</m:t>
        </m:r>
        <m:r>
          <m:t xml:space="preserve">JE</m:t>
        </m:r>
        <m:r>
          <m:t xml:space="preserve">||</m:t>
        </m:r>
      </m:oMath>
      <w:r>
        <w:rPr>
          <w:rFonts w:ascii="Times New Roman" w:hAnsi="Times New Roman"/>
          <w:i w:val="0"/>
          <w:color w:val="202A32"/>
          <w:sz w:val="20"/>
        </w:rPr>
        <w:t xml:space="preserve">,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xml:space="preserve">,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and effective absolute regularization.</w:t>
      </w:r>
    </w:p>
    <w:p w14:paraId="2DA3F369" w14:textId="77777777" w:rsidR="004C250E" w:rsidRDefault="00000000">
      <w:pPr>
        <w:spacing w:after="100" w:line="259" w:lineRule="auto"/>
      </w:pPr>
      <w:r>
        <w:t>The calibration-cohort Top-1 summary appears in Table S6.</w:t>
      </w:r>
    </w:p>
    <w:p>
      <w:pPr>
        <w:keepLines/>
        <w:spacing w:after="80"/>
        <w:jc w:val="center"/>
      </w:pPr>
      <w:r>
        <w:rPr>
          <w:rFonts w:ascii="Times New Roman" w:hAnsi="Times New Roman"/>
          <w:i/>
          <w:color w:val="4C5963"/>
          <w:sz w:val="17"/>
        </w:rPr>
        <w:t>Table S6. Calibration-cohort Top-1 sensitivity across regularization factors.</w:t>
      </w:r>
    </w:p>
    <w:tbl>
      <w:tblPr>
        <w:tblStyle w:val="TableGrid"/>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 (B)</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 10 Top-1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Cell maximum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Factor(s) at maximum</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 Top-1 (%)</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77.5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all seven factors</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128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10, 30, 100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r>
    </w:tbl>
    <w:p>
      <w:pPr>
        <w:spacing w:after="20"/>
      </w:pPr>
    </w:p>
    <w:p>
      <w:pPr>
        <w:spacing w:after="100" w:line="259" w:lineRule="auto"/>
      </w:pPr>
      <w:r>
        <w:rPr>
          <w:rFonts w:ascii="Times New Roman" w:hAnsi="Times New Roman"/>
          <w:i w:val="0"/>
          <w:color w:val="202A32"/>
          <w:sz w:val="20"/>
        </w:rP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e>
            <m:r>
              <m:t xml:space="preserve">L</m:t>
            </m:r>
          </m:e>
          <m:sub>
            <m:r>
              <m:t xml:space="preserve">2</m:t>
            </m:r>
          </m:sub>
        </m:sSub>
      </m:oMath>
      <w:r>
        <w:rPr>
          <w:rFonts w:ascii="Times New Roman" w:hAnsi="Times New Roman"/>
          <w:i w:val="0"/>
          <w:color w:val="202A32"/>
          <w:sz w:val="20"/>
        </w:rPr>
        <w:t xml:space="preserve"> damage at factor 10 was lower than Group Mean in all eight cells. At factor 10, the cell-mean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xml:space="preserve"> ranged from 0.00914 to 34.6746 and the effective absolute lambda ranged from 0.0914 to 346.746; absolute values are model- and budget-dependent because of the trace scaling.</w:t>
      </w:r>
    </w:p>
    <w:p>
      <w:pPr>
        <w:spacing w:after="100" w:line="259" w:lineRule="auto"/>
      </w:pPr>
      <w:r>
        <w:rPr>
          <w:rFonts w:ascii="Times New Roman" w:hAnsi="Times New Roman"/>
          <w:i w:val="0"/>
          <w:color w:val="202A32"/>
          <w:sz w:val="20"/>
        </w:rPr>
        <w:t xml:space="preserve">Across all eight cells, decreasing </w:t>
      </w:r>
      <m:oMath>
        <m:r>
          <m:t xml:space="preserve">f</m:t>
        </m:r>
      </m:oMath>
      <w:r>
        <w:rPr>
          <w:rFonts w:ascii="Times New Roman" w:hAnsi="Times New Roman"/>
          <w:i w:val="0"/>
          <w:color w:val="202A32"/>
          <w:sz w:val="20"/>
        </w:rPr>
        <w:t xml:space="preserve"> reduced mean </w:t>
      </w:r>
      <m:oMath>
        <m:r>
          <m:t xml:space="preserve">||</m:t>
        </m:r>
        <m:r>
          <m:t xml:space="preserve">JE</m:t>
        </m:r>
        <m:r>
          <m:t xml:space="preserve">||</m:t>
        </m:r>
      </m:oMath>
      <w:r>
        <w:rPr>
          <w:rFonts w:ascii="Times New Roman" w:hAnsi="Times New Roman"/>
          <w:i w:val="0"/>
          <w:color w:val="202A32"/>
          <w:sz w:val="20"/>
        </w:rPr>
        <w:t xml:space="preserve"> and increased mean carrier displacement; increasing </w:t>
      </w:r>
      <m:oMath>
        <m:r>
          <m:t xml:space="preserve">f</m:t>
        </m:r>
      </m:oMath>
      <w:r>
        <w:rPr>
          <w:rFonts w:ascii="Times New Roman" w:hAnsi="Times New Roman"/>
          <w:i w:val="0"/>
          <w:color w:val="202A32"/>
          <w:sz w:val="20"/>
        </w:rP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pPr>
        <w:spacing w:after="100" w:line="259" w:lineRule="auto"/>
      </w:pPr>
      <w:r>
        <w:rPr>
          <w:rFonts w:ascii="Times New Roman" w:hAnsi="Times New Roman"/>
          <w:i w:val="0"/>
          <w:color w:val="202A32"/>
          <w:sz w:val="20"/>
        </w:rP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m:t xml:space="preserve">p</m:t>
        </m:r>
        <m:r>
          <m:t xml:space="preserve">&lt;</m:t>
        </m:r>
        <m:r>
          <m:t xml:space="preserve">0</m:t>
        </m:r>
        <m:r>
          <m:t xml:space="preserve">.</m:t>
        </m:r>
        <m:r>
          <m:t xml:space="preserve">05</m:t>
        </m:r>
      </m:oMath>
      <w:r>
        <w:rPr>
          <w:rFonts w:ascii="Times New Roman" w:hAnsi="Times New Roman"/>
          <w:i w:val="0"/>
          <w:color w:val="202A32"/>
          <w:sz w:val="20"/>
        </w:rPr>
        <w:t xml:space="preserve"> among the 16 contrasts. These results do not establish equivalence. Images are reused across factors and budgets, so the cellwise comparisons are dependent and are not treated as independent replications.</w:t>
      </w:r>
    </w:p>
    <w:p>
      <w:pPr>
        <w:spacing w:after="100" w:line="259" w:lineRule="auto"/>
      </w:pPr>
      <w:r>
        <w:rPr>
          <w:rFonts w:ascii="Times New Roman" w:hAnsi="Times New Roman"/>
          <w:i w:val="0"/>
          <w:color w:val="202A32"/>
          <w:sz w:val="20"/>
        </w:rP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pPr>
        <w:keepNext/>
        <w:keepLines/>
        <w:spacing w:after="20"/>
        <w:jc w:val="center"/>
      </w:pPr>
      <w:r>
        <w:drawing>
          <wp:inline xmlns:a="http://schemas.openxmlformats.org/drawingml/2006/main" xmlns:pic="http://schemas.openxmlformats.org/drawingml/2006/picture">
            <wp:extent cx="6172200" cy="4714875"/>
            <wp:docPr id="15" name="Picture 15"/>
            <wp:cNvGraphicFramePr>
              <a:graphicFrameLocks noChangeAspect="1"/>
            </wp:cNvGraphicFramePr>
            <a:graphic>
              <a:graphicData uri="http://schemas.openxmlformats.org/drawingml/2006/picture">
                <pic:pic>
                  <pic:nvPicPr>
                    <pic:cNvPr id="0" name="figureS15_regularization_sensitivity.png"/>
                    <pic:cNvPicPr/>
                  </pic:nvPicPr>
                  <pic:blipFill>
                    <a:blip r:embed="rId23"/>
                    <a:stretch>
                      <a:fillRect/>
                    </a:stretch>
                  </pic:blipFill>
                  <pic:spPr>
                    <a:xfrm>
                      <a:off x="0" y="0"/>
                      <a:ext cx="6172200" cy="4714875"/>
                    </a:xfrm>
                    <a:prstGeom prst="rect"/>
                  </pic:spPr>
                </pic:pic>
              </a:graphicData>
            </a:graphic>
          </wp:inline>
        </w:drawing>
      </w:r>
    </w:p>
    <w:p>
      <w:pPr>
        <w:keepLines/>
        <w:spacing w:after="100" w:line="259" w:lineRule="auto"/>
      </w:pPr>
      <w:r>
        <w:rPr>
          <w:rFonts w:ascii="Times New Roman" w:hAnsi="Times New Roman"/>
          <w:b/>
          <w:color w:val="202A32"/>
          <w:sz w:val="20"/>
        </w:rPr>
        <w:t>Supplementary Figure S15.</w:t>
      </w:r>
      <w:r>
        <w:rPr>
          <w:rFonts w:ascii="Times New Roman" w:hAnsi="Times New Roman"/>
          <w:i w:val="0"/>
          <w:color w:val="202A32"/>
          <w:sz w:val="20"/>
        </w:rPr>
        <w:t xml:space="preserve"> Calibration-cohort means across the seven dimensionless regularization factors. Panels show (a) nonlinear Top-1 accuracy, (b) clean-to-compressed final-logit </w:t>
      </w:r>
      <m:oMath>
        <m:sSub>
          <m:e>
            <m:r>
              <m:t xml:space="preserve">L</m:t>
            </m:r>
          </m:e>
          <m:sub>
            <m:r>
              <m:t xml:space="preserve">2</m:t>
            </m:r>
          </m:sub>
        </m:sSub>
      </m:oMath>
      <w:r>
        <w:rPr>
          <w:rFonts w:ascii="Times New Roman" w:hAnsi="Times New Roman"/>
          <w:i w:val="0"/>
          <w:color w:val="202A32"/>
          <w:sz w:val="20"/>
        </w:rPr>
        <w:t xml:space="preserve"> damage, (c) linearized operator residual </w:t>
      </w:r>
      <m:oMath>
        <m:r>
          <m:t xml:space="preserve">||</m:t>
        </m:r>
        <m:r>
          <m:t xml:space="preserve">JE</m:t>
        </m:r>
        <m:r>
          <m:t xml:space="preserve">||</m:t>
        </m:r>
      </m:oMath>
      <w:r>
        <w:rPr>
          <w:rFonts w:ascii="Times New Roman" w:hAnsi="Times New Roman"/>
          <w:i w:val="0"/>
          <w:color w:val="202A32"/>
          <w:sz w:val="20"/>
        </w:rPr>
        <w:t xml:space="preserve">, and (d)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