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000000"/>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pPr>
        <w:pStyle w:val="Heading1"/>
        <w:keepNext/>
      </w:pPr>
      <w:r>
        <w:rPr>
          <w:rFonts w:ascii="Times New Roman" w:hAnsi="Times New Roman"/>
          <w:b/>
          <w:color w:val="000000"/>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pPr>
        <w:keepNext/>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keepLines/>
        <w:spacing w:after="80"/>
        <w:jc w:val="center"/>
      </w:pPr>
      <w:r>
        <w:rPr>
          <w:rFonts w:ascii="Times New Roman" w:hAnsi="Times New Roman"/>
          <w:i/>
          <w:color w:val="4C5963"/>
          <w:sz w:val="17"/>
        </w:rPr>
        <w:t>Figure 1. Fixed-slot late-layer patch-content substitution (a), geometric and diversity constraints (b), and anisotropic sensitivity with Value-path cancellation (c).</w:t>
      </w:r>
    </w:p>
    <w:p>
      <w:pPr>
        <w:spacing w:after="100" w:line="259" w:lineRule="auto"/>
      </w:pPr>
      <w:r>
        <w:rPr>
          <w:rFonts w:ascii="Times New Roman" w:hAnsi="Times New Roman"/>
          <w:i w:val="0"/>
          <w:color w:val="202A32"/>
          <w:sz w:val="20"/>
        </w:rP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pPr>
        <w:pStyle w:val="Heading1"/>
        <w:keepNext/>
      </w:pPr>
      <w:r>
        <w:rPr>
          <w:rFonts w:ascii="Times New Roman" w:hAnsi="Times New Roman"/>
          <w:b/>
          <w:color w:val="000000"/>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Adaptive Token Sampling (ATS) and Interpretability-Aware Redundancy Reduction (IA-RED</w:t>
      </w:r>
      <w:r>
        <w:rPr>
          <w:rFonts w:ascii="Times New Roman" w:hAnsi="Times New Roman"/>
          <w:i w:val="0"/>
          <w:color w:val="202A32"/>
          <w:sz w:val="20"/>
          <w:vertAlign w:val="superscript"/>
        </w:rPr>
        <w:t>2</w:t>
      </w:r>
      <w:r>
        <w:rPr>
          <w:rFonts w:ascii="Times New Roman" w:hAnsi="Times New Roman"/>
          <w:i w:val="0"/>
          <w:color w:val="202A32"/>
          <w:sz w:val="20"/>
        </w:rPr>
        <w:t xml:space="preserve">)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PCF complements these methods by using the downstream pre-classifier readout Jacobian to evaluate and optimize fixed-slot patch carriers while preserving the token sequence structure.</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xml:space="preserve">.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w:t>
      </w:r>
      <w:r>
        <w:rPr>
          <w:rFonts w:ascii="Times New Roman" w:hAnsi="Times New Roman"/>
          <w:color w:val="202A32"/>
          <w:sz w:val="20"/>
        </w:rPr>
        <w:t>[51]</w:t>
      </w:r>
      <w:r>
        <w:rPr>
          <w:rFonts w:ascii="Times New Roman" w:hAnsi="Times New Roman"/>
          <w:i w:val="0"/>
          <w:color w:val="202A32"/>
          <w:sz w:val="20"/>
        </w:rPr>
        <w:t>.</w:t>
      </w:r>
    </w:p>
    <w:p>
      <w:pPr>
        <w:pStyle w:val="Heading1"/>
        <w:keepNext/>
      </w:pPr>
      <w:r>
        <w:rPr>
          <w:rFonts w:ascii="Times New Roman" w:hAnsi="Times New Roman"/>
          <w:b/>
          <w:color w:val="000000"/>
          <w:sz w:val="28"/>
        </w:rPr>
        <w:t>3. Experimental Setup and Interventions</w:t>
      </w:r>
    </w:p>
    <w:p>
      <w:pPr>
        <w:spacing w:after="100" w:line="259" w:lineRule="auto"/>
      </w:pPr>
      <w:r>
        <w:rPr>
          <w:rFonts w:ascii="Times New Roman" w:hAnsi="Times New Roman"/>
          <w:i w:val="0"/>
          <w:color w:val="202A32"/>
          <w:sz w:val="20"/>
        </w:rPr>
        <w:t>Image-based studies use frozen pretrained models on ImageNet-1k validation data. Calibration and evaluation sets are disjoint, and calibration-derived moments, prototypes, and replacement quantities are estimated using calibration data only. N denotes the sampling unit shown in Table I; image, operator-space, and perturbation cohorts remain distinct and are never pooled.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PRIMARY RESULTS AND EVIDENCE SCOPE</w:t>
      </w:r>
    </w:p>
    <w:tbl>
      <w:tblPr>
        <w:tblStyle w:val="TableGrid"/>
        <w:tblW w:w="0" w:type="auto"/>
        <w:tblLook w:val="04A0" w:firstRow="1" w:lastRow="0" w:firstColumn="1" w:lastColumn="0" w:noHBand="0" w:noVBand="1"/>
      </w:tblPr>
      <w:tblGrid>
        <w:gridCol w:w="2498"/>
        <w:gridCol w:w="2498"/>
        <w:gridCol w:w="2498"/>
        <w:gridCol w:w="2498"/>
      </w:tblGrid>
      <w:tr w:rsidR="00D636A9" w14:paraId="77C9B22D" w14:textId="77777777">
        <w:trPr>
          <w:tblHeader/>
        </w:trPr>
        <w:tc>
          <w:tcPr>
            <w:tcW w:w="2498" w:type="dxa"/>
            <w:shd w:val="clear" w:color="auto" w:fill="DCEBF2"/>
            <w:tcMar>
              <w:top w:w="55" w:type="dxa"/>
              <w:left w:w="65" w:type="dxa"/>
              <w:bottom w:w="55" w:type="dxa"/>
              <w:right w:w="65" w:type="dxa"/>
            </w:tcMar>
            <w:vAlign w:val="center"/>
          </w:tcPr>
          <w:p w14:paraId="64BBF5D4" w14:textId="77777777" w:rsidR="00D636A9" w:rsidRDefault="00000000">
            <w:pPr>
              <w:jc w:val="center"/>
            </w:pPr>
            <w:r>
              <w:rPr>
                <w:b/>
                <w:color w:val="17232D"/>
                <w:sz w:val="16"/>
              </w:rPr>
              <w:t>Study family</w:t>
            </w:r>
          </w:p>
        </w:tc>
        <w:tc>
          <w:tcPr>
            <w:tcW w:w="2498" w:type="dxa"/>
            <w:shd w:val="clear" w:color="auto" w:fill="DCEBF2"/>
            <w:tcMar>
              <w:top w:w="55" w:type="dxa"/>
              <w:left w:w="65" w:type="dxa"/>
              <w:bottom w:w="55" w:type="dxa"/>
              <w:right w:w="65" w:type="dxa"/>
            </w:tcMar>
            <w:vAlign w:val="center"/>
          </w:tcPr>
          <w:p w14:paraId="19D2C313" w14:textId="77777777" w:rsidR="00D636A9" w:rsidRDefault="00000000">
            <w:pPr>
              <w:jc w:val="center"/>
            </w:pPr>
            <w:r>
              <w:rPr>
                <w:b/>
                <w:color w:val="17232D"/>
                <w:sz w:val="16"/>
              </w:rPr>
              <w:t>Evaluation unit</w:t>
            </w:r>
          </w:p>
        </w:tc>
        <w:tc>
          <w:tcPr>
            <w:tcW w:w="2498" w:type="dxa"/>
            <w:shd w:val="clear" w:color="auto" w:fill="DCEBF2"/>
            <w:tcMar>
              <w:top w:w="55" w:type="dxa"/>
              <w:left w:w="65" w:type="dxa"/>
              <w:bottom w:w="55" w:type="dxa"/>
              <w:right w:w="65" w:type="dxa"/>
            </w:tcMar>
            <w:vAlign w:val="center"/>
          </w:tcPr>
          <w:p w14:paraId="45926972" w14:textId="77777777" w:rsidR="00D636A9" w:rsidRDefault="00000000">
            <w:pPr>
              <w:jc w:val="center"/>
            </w:pPr>
            <w:r>
              <w:rPr>
                <w:b/>
                <w:color w:val="17232D"/>
                <w:sz w:val="16"/>
              </w:rPr>
              <w:t>Key controls</w:t>
            </w:r>
          </w:p>
        </w:tc>
        <w:tc>
          <w:tcPr>
            <w:tcW w:w="2498" w:type="dxa"/>
            <w:shd w:val="clear" w:color="auto" w:fill="DCEBF2"/>
            <w:tcMar>
              <w:top w:w="55" w:type="dxa"/>
              <w:left w:w="65" w:type="dxa"/>
              <w:bottom w:w="55" w:type="dxa"/>
              <w:right w:w="65" w:type="dxa"/>
            </w:tcMar>
            <w:vAlign w:val="center"/>
          </w:tcPr>
          <w:p w14:paraId="1CE42770" w14:textId="77777777" w:rsidR="00D636A9" w:rsidRDefault="00000000">
            <w:pPr>
              <w:jc w:val="center"/>
            </w:pPr>
            <w:r>
              <w:rPr>
                <w:b/>
                <w:color w:val="17232D"/>
                <w:sz w:val="16"/>
              </w:rPr>
              <w:t>Main finding</w:t>
            </w:r>
          </w:p>
        </w:tc>
      </w:tr>
      <w:tr w:rsidR="00D636A9" w14:paraId="385F4A56" w14:textId="77777777">
        <w:tc>
          <w:tcPr>
            <w:tcW w:w="2498" w:type="dxa"/>
            <w:tcMar>
              <w:top w:w="55" w:type="dxa"/>
              <w:left w:w="65" w:type="dxa"/>
              <w:bottom w:w="55" w:type="dxa"/>
              <w:right w:w="65" w:type="dxa"/>
            </w:tcMar>
            <w:vAlign w:val="center"/>
          </w:tcPr>
          <w:p w14:paraId="0FC554EC" w14:textId="77777777" w:rsidR="00D636A9" w:rsidRDefault="00000000">
            <w:r>
              <w:rPr>
                <w:sz w:val="16"/>
              </w:rPr>
              <w:t>Fixed-slot patch replacement</w:t>
            </w:r>
          </w:p>
        </w:tc>
        <w:tc>
          <w:tcPr>
            <w:tcW w:w="2498" w:type="dxa"/>
            <w:tcMar>
              <w:top w:w="55" w:type="dxa"/>
              <w:left w:w="65" w:type="dxa"/>
              <w:bottom w:w="55" w:type="dxa"/>
              <w:right w:w="65" w:type="dxa"/>
            </w:tcMar>
            <w:vAlign w:val="center"/>
          </w:tcPr>
          <w:p w14:paraId="20579CDB" w14:textId="77777777" w:rsidR="00D636A9"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5C293D19" w14:textId="77777777" w:rsidR="00D636A9"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3519C31F" w14:textId="77777777" w:rsidR="00D636A9" w:rsidRDefault="00000000">
            <w:pPr>
              <w:jc w:val="center"/>
            </w:pPr>
            <w:r>
              <w:rPr>
                <w:sz w:val="16"/>
              </w:rPr>
              <w:t>Tolerance varies with depth, surrogate geometry, diversity, and feature direction; directions derived by principal component analysis (PCA) of calibration activations outperform energy-matched random directions in tested settings.</w:t>
            </w:r>
          </w:p>
        </w:tc>
      </w:tr>
      <w:tr w:rsidR="00D636A9" w14:paraId="49CEBAC3" w14:textId="77777777">
        <w:tc>
          <w:tcPr>
            <w:tcW w:w="2498" w:type="dxa"/>
            <w:tcMar>
              <w:top w:w="55" w:type="dxa"/>
              <w:left w:w="65" w:type="dxa"/>
              <w:bottom w:w="55" w:type="dxa"/>
              <w:right w:w="65" w:type="dxa"/>
            </w:tcMar>
            <w:vAlign w:val="center"/>
          </w:tcPr>
          <w:p w14:paraId="3AB3A96C" w14:textId="77777777" w:rsidR="00D636A9" w:rsidRDefault="00000000">
            <w:r>
              <w:rPr>
                <w:sz w:val="16"/>
              </w:rPr>
              <w:t>Functional and joint-stream geometry</w:t>
            </w:r>
          </w:p>
        </w:tc>
        <w:tc>
          <w:tcPr>
            <w:tcW w:w="2498" w:type="dxa"/>
            <w:tcMar>
              <w:top w:w="55" w:type="dxa"/>
              <w:left w:w="65" w:type="dxa"/>
              <w:bottom w:w="55" w:type="dxa"/>
              <w:right w:w="65" w:type="dxa"/>
            </w:tcMar>
            <w:vAlign w:val="center"/>
          </w:tcPr>
          <w:p w14:paraId="19776875" w14:textId="77777777" w:rsidR="00D636A9" w:rsidRDefault="00000000">
            <w:pPr>
              <w:jc w:val="center"/>
            </w:pPr>
            <w:r>
              <w:rPr>
                <w:sz w:val="16"/>
              </w:rPr>
              <w:t>Functional geometry: N=100 images per model; joint-stream geometry: N=100 images per model (separate cohort)</w:t>
            </w:r>
          </w:p>
        </w:tc>
        <w:tc>
          <w:tcPr>
            <w:tcW w:w="2498" w:type="dxa"/>
            <w:tcMar>
              <w:top w:w="55" w:type="dxa"/>
              <w:left w:w="65" w:type="dxa"/>
              <w:bottom w:w="55" w:type="dxa"/>
              <w:right w:w="65" w:type="dxa"/>
            </w:tcMar>
            <w:vAlign w:val="center"/>
          </w:tcPr>
          <w:p w14:paraId="14EF0A47" w14:textId="77777777" w:rsidR="00D636A9"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169FAFE" w14:textId="77777777" w:rsidR="00D636A9" w:rsidRDefault="00000000">
            <w:pPr>
              <w:jc w:val="center"/>
            </w:pPr>
            <w:r>
              <w:rPr>
                <w:sz w:val="16"/>
              </w:rPr>
              <w:t>Normalized effective rank declines across four models; near-null expansion at the primary threshold is strong in three and small for DINOv2. Damage varies with feature direction and token coherence.</w:t>
            </w:r>
          </w:p>
        </w:tc>
      </w:tr>
      <w:tr w:rsidR="00D636A9" w14:paraId="256AB39D" w14:textId="77777777">
        <w:tc>
          <w:tcPr>
            <w:tcW w:w="2498" w:type="dxa"/>
            <w:tcMar>
              <w:top w:w="55" w:type="dxa"/>
              <w:left w:w="65" w:type="dxa"/>
              <w:bottom w:w="55" w:type="dxa"/>
              <w:right w:w="65" w:type="dxa"/>
            </w:tcMar>
            <w:vAlign w:val="center"/>
          </w:tcPr>
          <w:p w14:paraId="1ADFB88A" w14:textId="77777777" w:rsidR="00D636A9" w:rsidRDefault="00000000">
            <w:r>
              <w:rPr>
                <w:sz w:val="16"/>
              </w:rPr>
              <w:t>Attention Value-path audit</w:t>
            </w:r>
          </w:p>
        </w:tc>
        <w:tc>
          <w:tcPr>
            <w:tcW w:w="2498" w:type="dxa"/>
            <w:tcMar>
              <w:top w:w="55" w:type="dxa"/>
              <w:left w:w="65" w:type="dxa"/>
              <w:bottom w:w="55" w:type="dxa"/>
              <w:right w:w="65" w:type="dxa"/>
            </w:tcMar>
            <w:vAlign w:val="center"/>
          </w:tcPr>
          <w:p w14:paraId="13B7369D" w14:textId="77777777" w:rsidR="00D636A9" w:rsidRDefault="00000000">
            <w:pPr>
              <w:jc w:val="center"/>
            </w:pPr>
            <w:r>
              <w:rPr>
                <w:sz w:val="16"/>
              </w:rPr>
              <w:t>N=100 images per model</w:t>
            </w:r>
          </w:p>
        </w:tc>
        <w:tc>
          <w:tcPr>
            <w:tcW w:w="2498" w:type="dxa"/>
            <w:tcMar>
              <w:top w:w="55" w:type="dxa"/>
              <w:left w:w="65" w:type="dxa"/>
              <w:bottom w:w="55" w:type="dxa"/>
              <w:right w:w="65" w:type="dxa"/>
            </w:tcMar>
            <w:vAlign w:val="center"/>
          </w:tcPr>
          <w:p w14:paraId="76B6EC84" w14:textId="77777777" w:rsidR="00D636A9"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29C68BB" w14:textId="77777777" w:rsidR="00D636A9" w:rsidRDefault="00000000">
            <w:pPr>
              <w:jc w:val="center"/>
            </w:pPr>
            <w:r>
              <w:rPr>
                <w:sz w:val="16"/>
              </w:rPr>
              <w:t>Coherent Value contributions accumulate; sign-varying contributions partially cancel.</w:t>
            </w:r>
          </w:p>
        </w:tc>
      </w:tr>
      <w:tr w:rsidR="00D636A9" w14:paraId="51FFFA9A" w14:textId="77777777">
        <w:tc>
          <w:tcPr>
            <w:tcW w:w="2498" w:type="dxa"/>
            <w:tcMar>
              <w:top w:w="55" w:type="dxa"/>
              <w:left w:w="65" w:type="dxa"/>
              <w:bottom w:w="55" w:type="dxa"/>
              <w:right w:w="65" w:type="dxa"/>
            </w:tcMar>
            <w:vAlign w:val="center"/>
          </w:tcPr>
          <w:p w14:paraId="0979542C" w14:textId="77777777" w:rsidR="00D636A9" w:rsidRDefault="00000000">
            <w:r>
              <w:rPr>
                <w:sz w:val="16"/>
              </w:rPr>
              <w:t>Multi-block operator prediction</w:t>
            </w:r>
          </w:p>
        </w:tc>
        <w:tc>
          <w:tcPr>
            <w:tcW w:w="2498" w:type="dxa"/>
            <w:tcMar>
              <w:top w:w="55" w:type="dxa"/>
              <w:left w:w="65" w:type="dxa"/>
              <w:bottom w:w="55" w:type="dxa"/>
              <w:right w:w="65" w:type="dxa"/>
            </w:tcMar>
            <w:vAlign w:val="center"/>
          </w:tcPr>
          <w:p w14:paraId="0E9ED010" w14:textId="77777777" w:rsidR="00D636A9" w:rsidRDefault="00000000">
            <w:pPr>
              <w:jc w:val="center"/>
            </w:pPr>
            <w:r>
              <w:rPr>
                <w:sz w:val="16"/>
              </w:rPr>
              <w:t>N=100 held-out perturbations (vectors; per model)</w:t>
            </w:r>
          </w:p>
        </w:tc>
        <w:tc>
          <w:tcPr>
            <w:tcW w:w="2498" w:type="dxa"/>
            <w:tcMar>
              <w:top w:w="55" w:type="dxa"/>
              <w:left w:w="65" w:type="dxa"/>
              <w:bottom w:w="55" w:type="dxa"/>
              <w:right w:w="65" w:type="dxa"/>
            </w:tcMar>
            <w:vAlign w:val="center"/>
          </w:tcPr>
          <w:p w14:paraId="7DA0B280" w14:textId="77777777" w:rsidR="00D636A9" w:rsidRDefault="00000000">
            <w:pPr>
              <w:jc w:val="center"/>
            </w:pPr>
            <w:r>
              <w:rPr>
                <w:sz w:val="16"/>
              </w:rPr>
              <w:t>Single-block vs. end-to-end prediction on a fixed four-family mixture</w:t>
            </w:r>
          </w:p>
        </w:tc>
        <w:tc>
          <w:tcPr>
            <w:tcW w:w="2498" w:type="dxa"/>
            <w:tcMar>
              <w:top w:w="55" w:type="dxa"/>
              <w:left w:w="65" w:type="dxa"/>
              <w:bottom w:w="55" w:type="dxa"/>
              <w:right w:w="65" w:type="dxa"/>
            </w:tcMar>
            <w:vAlign w:val="center"/>
          </w:tcPr>
          <w:p w14:paraId="18ECDDA6" w14:textId="77777777" w:rsidR="00D636A9" w:rsidRDefault="00000000">
            <w:pPr>
              <w:jc w:val="center"/>
            </w:pPr>
            <w:r>
              <w:rPr>
                <w:sz w:val="16"/>
              </w:rPr>
              <w:t>End-to-end Jacobian predictions are more strongly associated with measured damage than single-block predictions under the tested mixture.</w:t>
            </w:r>
          </w:p>
        </w:tc>
      </w:tr>
      <w:tr w:rsidR="00D636A9" w14:paraId="144A3EED" w14:textId="77777777">
        <w:tc>
          <w:tcPr>
            <w:tcW w:w="2498" w:type="dxa"/>
            <w:tcMar>
              <w:top w:w="55" w:type="dxa"/>
              <w:left w:w="65" w:type="dxa"/>
              <w:bottom w:w="55" w:type="dxa"/>
              <w:right w:w="65" w:type="dxa"/>
            </w:tcMar>
            <w:vAlign w:val="center"/>
          </w:tcPr>
          <w:p w14:paraId="643DC2DB" w14:textId="77777777" w:rsidR="00D636A9" w:rsidRDefault="00000000">
            <w:r>
              <w:rPr>
                <w:sz w:val="16"/>
              </w:rPr>
              <w:t>Strict confirmatory compression</w:t>
            </w:r>
          </w:p>
        </w:tc>
        <w:tc>
          <w:tcPr>
            <w:tcW w:w="2498" w:type="dxa"/>
            <w:tcMar>
              <w:top w:w="55" w:type="dxa"/>
              <w:left w:w="65" w:type="dxa"/>
              <w:bottom w:w="55" w:type="dxa"/>
              <w:right w:w="65" w:type="dxa"/>
            </w:tcMar>
            <w:vAlign w:val="center"/>
          </w:tcPr>
          <w:p w14:paraId="30692E64" w14:textId="77777777" w:rsidR="00D636A9" w:rsidRDefault="00000000">
            <w:pPr>
              <w:jc w:val="center"/>
            </w:pPr>
            <w:r>
              <w:rPr>
                <w:sz w:val="16"/>
              </w:rPr>
              <w:t>N=1,000 held-out images per architecture</w:t>
            </w:r>
          </w:p>
        </w:tc>
        <w:tc>
          <w:tcPr>
            <w:tcW w:w="2498" w:type="dxa"/>
            <w:tcMar>
              <w:top w:w="55" w:type="dxa"/>
              <w:left w:w="65" w:type="dxa"/>
              <w:bottom w:w="55" w:type="dxa"/>
              <w:right w:w="65" w:type="dxa"/>
            </w:tcMar>
            <w:vAlign w:val="center"/>
          </w:tcPr>
          <w:p w14:paraId="4E257C35" w14:textId="77777777" w:rsidR="00D636A9"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0F1ADAD8" w14:textId="77777777" w:rsidR="00D636A9" w:rsidRDefault="00000000">
            <w:pPr>
              <w:jc w:val="center"/>
            </w:pPr>
            <w:r>
              <w:rPr>
                <w:sz w:val="16"/>
              </w:rPr>
              <w:t>At the most aggressive tested budgets, operator-aware methods beat the strongest pruning baselines by 4.2–12.0 pp; ToMe remains competitive.</w:t>
            </w:r>
          </w:p>
        </w:tc>
      </w:tr>
      <w:tr w:rsidR="00D636A9" w14:paraId="3A47E518" w14:textId="77777777">
        <w:tc>
          <w:tcPr>
            <w:tcW w:w="2498" w:type="dxa"/>
            <w:tcMar>
              <w:top w:w="55" w:type="dxa"/>
              <w:left w:w="65" w:type="dxa"/>
              <w:bottom w:w="55" w:type="dxa"/>
              <w:right w:w="65" w:type="dxa"/>
            </w:tcMar>
            <w:vAlign w:val="center"/>
          </w:tcPr>
          <w:p w14:paraId="7F5CD53F" w14:textId="77777777" w:rsidR="00D636A9" w:rsidRDefault="00000000">
            <w:r>
              <w:rPr>
                <w:sz w:val="16"/>
              </w:rPr>
              <w:t>Practical carrier evaluation</w:t>
            </w:r>
          </w:p>
        </w:tc>
        <w:tc>
          <w:tcPr>
            <w:tcW w:w="2498" w:type="dxa"/>
            <w:tcMar>
              <w:top w:w="55" w:type="dxa"/>
              <w:left w:w="65" w:type="dxa"/>
              <w:bottom w:w="55" w:type="dxa"/>
              <w:right w:w="65" w:type="dxa"/>
            </w:tcMar>
            <w:vAlign w:val="center"/>
          </w:tcPr>
          <w:p w14:paraId="276DD936" w14:textId="77777777" w:rsidR="00D636A9" w:rsidRDefault="00000000">
            <w:pPr>
              <w:jc w:val="center"/>
            </w:pPr>
            <w:r>
              <w:rPr>
                <w:sz w:val="16"/>
              </w:rPr>
              <w:t>Classifier: N=1,000 held-out images per architecture; operator-space: N=100 held-out operator-space images (separate cohort)</w:t>
            </w:r>
          </w:p>
        </w:tc>
        <w:tc>
          <w:tcPr>
            <w:tcW w:w="2498" w:type="dxa"/>
            <w:tcMar>
              <w:top w:w="55" w:type="dxa"/>
              <w:left w:w="65" w:type="dxa"/>
              <w:bottom w:w="55" w:type="dxa"/>
              <w:right w:w="65" w:type="dxa"/>
            </w:tcMar>
            <w:vAlign w:val="center"/>
          </w:tcPr>
          <w:p w14:paraId="3C32A1E4" w14:textId="77777777" w:rsidR="00D636A9" w:rsidRDefault="00000000">
            <w:pPr>
              <w:jc w:val="center"/>
            </w:pPr>
            <w:r>
              <w:rPr>
                <w:sz w:val="16"/>
              </w:rPr>
              <w:t>Separate classifier/throughput and operator-space protocols</w:t>
            </w:r>
          </w:p>
        </w:tc>
        <w:tc>
          <w:tcPr>
            <w:tcW w:w="2498" w:type="dxa"/>
            <w:tcMar>
              <w:top w:w="55" w:type="dxa"/>
              <w:left w:w="65" w:type="dxa"/>
              <w:bottom w:w="55" w:type="dxa"/>
              <w:right w:w="65" w:type="dxa"/>
            </w:tcMar>
            <w:vAlign w:val="center"/>
          </w:tcPr>
          <w:p w14:paraId="7D798749" w14:textId="77777777" w:rsidR="00D636A9" w:rsidRDefault="00000000">
            <w:pPr>
              <w:jc w:val="center"/>
            </w:pPr>
            <w:r>
              <w:rPr>
                <w:sz w:val="16"/>
              </w:rPr>
              <w:t>Classifier and throughput gains are mixed; operator-space gains do not establish reliable classification or general deployment improvement.</w:t>
            </w:r>
          </w:p>
        </w:tc>
      </w:tr>
    </w:tbl>
    <w:p>
      <w:pPr>
        <w:spacing w:after="20"/>
      </w:pPr>
    </w:p>
    <w:p>
      <w:pPr>
        <w:keepLines/>
        <w:spacing w:after="80"/>
        <w:jc w:val="center"/>
      </w:pPr>
      <w:r>
        <w:rPr>
          <w:rFonts w:ascii="Times New Roman" w:hAnsi="Times New Roman"/>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pPr>
        <w:spacing w:after="100" w:line="259" w:lineRule="auto"/>
      </w:pPr>
      <w:r>
        <w:rPr>
          <w:rFonts w:ascii="Times New Roman" w:hAnsi="Times New Roman"/>
          <w:b/>
          <w:color w:val="202A32"/>
          <w:sz w:val="20"/>
        </w:rPr>
        <w:t>Statistical reporting.</w:t>
      </w:r>
      <w:r>
        <w:rPr>
          <w:rFonts w:ascii="Times New Roman" w:hAnsi="Times New Roman"/>
          <w:i w:val="0"/>
          <w:color w:val="202A32"/>
          <w:sz w:val="20"/>
        </w:rP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rFonts w:ascii="Times New Roman" w:hAnsi="Times New Roman"/>
          <w:i w:val="0"/>
          <w:color w:val="202A32"/>
          <w:sz w:val="20"/>
          <w:vertAlign w:val="subscript"/>
        </w:rPr>
        <w:t>z</w:t>
      </w:r>
      <w:r>
        <w:rPr>
          <w:rFonts w:ascii="Times New Roman" w:hAnsi="Times New Roman"/>
          <w:i w:val="0"/>
          <w:color w:val="202A32"/>
          <w:sz w:val="20"/>
        </w:rP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pPr>
        <w:spacing w:after="100" w:line="259" w:lineRule="auto"/>
      </w:pPr>
      <w:r>
        <w:rPr>
          <w:rFonts w:ascii="Times New Roman" w:hAnsi="Times New Roman"/>
          <w:i w:val="0"/>
          <w:color w:val="202A32"/>
          <w:sz w:val="20"/>
        </w:rPr>
        <w:t>In the equations,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w:t>
      </w:r>
      <m:oMath>
        <m:sSub>
          <m:e>
            <m:r>
              <m:t xml:space="preserve">n</m:t>
            </m:r>
          </m:e>
          <m:sub>
            <m:r>
              <m:t xml:space="preserve">p</m:t>
            </m:r>
          </m:sub>
        </m:sSub>
      </m:oMath>
      <w:r>
        <w:rPr>
          <w:rFonts w:ascii="Times New Roman" w:hAnsi="Times New Roman"/>
          <w:i w:val="0"/>
          <w:color w:val="202A32"/>
          <w:sz w:val="20"/>
        </w:rPr>
        <w:t xml:space="preserve"> the number of spatial patch slots, and D the feature dimension; Table I reports N alongside each study's sampling unit. For the fixed-slot intervention, let </w:t>
      </w:r>
      <m:oMath>
        <m:sSub>
          <m:e>
            <m:r>
              <m:t xml:space="preserve">P</m:t>
            </m:r>
          </m:e>
          <m:sub>
            <m:r>
              <m:t xml:space="preserve">ℓ</m:t>
            </m:r>
          </m:sub>
        </m:sSub>
      </m:oMath>
      <w:r>
        <w:rPr>
          <w:rFonts w:ascii="Times New Roman" w:hAnsi="Times New Roman"/>
          <w:i w:val="0"/>
          <w:color w:val="202A32"/>
          <w:sz w:val="20"/>
        </w:rPr>
        <w:t>∈</w:t>
      </w:r>
      <m:oMath>
        <m:sSup>
          <m:e>
            <m:r>
              <m:t xml:space="preserve">ℝ</m:t>
            </m:r>
          </m:e>
          <m:sup>
            <m:sSub>
              <m:e>
                <m:r>
                  <m:t xml:space="preserve">n</m:t>
                </m:r>
              </m:e>
              <m:sub>
                <m:r>
                  <m:t xml:space="preserve">p</m:t>
                </m:r>
              </m:sub>
            </m:sSub>
            <m:r>
              <m:t xml:space="preserve">×</m:t>
            </m:r>
            <m:r>
              <m:t xml:space="preserve">D</m:t>
            </m:r>
          </m:sup>
        </m:sSup>
      </m:oMath>
      <w:r>
        <w:rPr>
          <w:rFonts w:ascii="Times New Roman" w:hAnsi="Times New Roman"/>
          <w:i w:val="0"/>
          <w:color w:val="202A32"/>
          <w:sz w:val="20"/>
        </w:rPr>
        <w:t xml:space="preserve"> contain the patch activations at layer ℓ, with </w:t>
      </w:r>
      <m:oMath>
        <m:sSub>
          <m:e>
            <m:r>
              <m:t xml:space="preserve">p</m:t>
            </m:r>
          </m:e>
          <m:sub>
            <m:r>
              <m:t xml:space="preserve">ℓ</m:t>
            </m:r>
            <m:r>
              <m:t xml:space="preserve">,</m:t>
            </m:r>
            <m:r>
              <m:t xml:space="preserve">i</m:t>
            </m:r>
          </m:sub>
        </m:sSub>
      </m:oMath>
      <w:r>
        <w:rPr>
          <w:rFonts w:ascii="Times New Roman" w:hAnsi="Times New Roman"/>
          <w:i w:val="0"/>
          <w:color w:val="202A32"/>
          <w:sz w:val="20"/>
        </w:rPr>
        <w:t>∈</w:t>
      </w:r>
      <m:oMath>
        <m:sSup>
          <m:e>
            <m:r>
              <m:t xml:space="preserve">ℝ</m:t>
            </m:r>
          </m:e>
          <m:sup>
            <m:r>
              <m:t xml:space="preserve">D</m:t>
            </m:r>
          </m:sup>
        </m:sSup>
      </m:oMath>
      <w:r>
        <w:rPr>
          <w:rFonts w:ascii="Times New Roman" w:hAnsi="Times New Roman"/>
          <w:i w:val="0"/>
          <w:color w:val="202A32"/>
          <w:sz w:val="20"/>
        </w:rPr>
        <w:t xml:space="preserve"> as row i and </w:t>
      </w:r>
      <m:oMath>
        <m:sSub>
          <m:e>
            <m:r>
              <m:t xml:space="preserve">r</m:t>
            </m:r>
          </m:e>
          <m:sub>
            <m:r>
              <m:t xml:space="preserve">ℓ</m:t>
            </m:r>
            <m:r>
              <m:t xml:space="preserve">,</m:t>
            </m:r>
            <m:r>
              <m:t xml:space="preserve">i</m:t>
            </m:r>
          </m:sub>
        </m:sSub>
      </m:oMath>
      <w:r>
        <w:rPr>
          <w:rFonts w:ascii="Times New Roman" w:hAnsi="Times New Roman"/>
          <w:i w:val="0"/>
          <w:color w:val="202A32"/>
          <w:sz w:val="20"/>
        </w:rPr>
        <w:t xml:space="preserve"> its class-agnostic calibration surrogate. The binary indicator </w:t>
      </w:r>
      <m:oMath>
        <m:sSub>
          <m:e>
            <m:r>
              <m:t xml:space="preserve">u</m:t>
            </m:r>
          </m:e>
          <m:sub>
            <m:r>
              <m:t xml:space="preserve">i</m:t>
            </m:r>
          </m:sub>
        </m:sSub>
      </m:oMath>
      <w:r>
        <w:rPr>
          <w:rFonts w:ascii="Times New Roman" w:hAnsi="Times New Roman"/>
          <w:i w:val="0"/>
          <w:color w:val="202A32"/>
          <w:sz w:val="20"/>
        </w:rPr>
        <w:t xml:space="preserve"> selects the slots to replace: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p</m:t>
              </m:r>
              <m:sSub>
                <m:e>
                  <m:r>
                    <m:t xml:space="preserve">~</m:t>
                  </m:r>
                </m:e>
                <m:sub>
                  <m:r>
                    <m:t xml:space="preserve">l</m:t>
                  </m:r>
                  <m:r>
                    <m:t xml:space="preserve">,</m:t>
                  </m:r>
                  <m:r>
                    <m:t xml:space="preserve">i</m:t>
                  </m:r>
                </m:sub>
              </m:sSub>
              <m:r>
                <m:t xml:space="preserve">=</m:t>
              </m:r>
              <m:r>
                <m:t xml:space="preserve">(</m:t>
              </m:r>
              <m:r>
                <m:t xml:space="preserve">1</m:t>
              </m:r>
              <m:r>
                <m:t xml:space="preserve">−</m:t>
              </m:r>
              <m:sSub>
                <m:e>
                  <m:r>
                    <m:t xml:space="preserve">u</m:t>
                  </m:r>
                </m:e>
                <m:sub>
                  <m:r>
                    <m:t xml:space="preserve">i</m:t>
                  </m:r>
                </m:sub>
              </m:sSub>
              <m:r>
                <m:t xml:space="preserve">)</m:t>
              </m:r>
              <m:sSub>
                <m:e>
                  <m:r>
                    <m:t xml:space="preserve">p</m:t>
                  </m:r>
                </m:e>
                <m:sub>
                  <m:r>
                    <m:t xml:space="preserve">l</m:t>
                  </m:r>
                  <m:r>
                    <m:t xml:space="preserve">,</m:t>
                  </m:r>
                  <m:r>
                    <m:t xml:space="preserve">i</m:t>
                  </m:r>
                </m:sub>
              </m:sSub>
              <m:r>
                <m:t xml:space="preserve">+</m:t>
              </m:r>
              <m:sSub>
                <m:e>
                  <m:r>
                    <m:t xml:space="preserve">u</m:t>
                  </m:r>
                </m:e>
                <m:sub>
                  <m:r>
                    <m:t xml:space="preserve">i</m:t>
                  </m:r>
                </m:sub>
              </m:sSub>
              <m:r>
                <m:t xml:space="preserve"> </m:t>
              </m:r>
              <m:sSub>
                <m:e>
                  <m:r>
                    <m:t xml:space="preserve">r</m:t>
                  </m:r>
                </m:e>
                <m:sub>
                  <m:r>
                    <m:t xml:space="preserve">l</m:t>
                  </m:r>
                  <m:r>
                    <m:t xml:space="preserve">,</m:t>
                  </m:r>
                  <m:r>
                    <m:t xml:space="preserve">i</m:t>
                  </m:r>
                </m:sub>
              </m:sSub>
              <m:r>
                <m:t xml:space="preserve">,</m:t>
              </m:r>
              <m:r>
                <m:t xml:space="preserve"> </m:t>
              </m:r>
              <m:sSub>
                <m:e>
                  <m:r>
                    <m:t xml:space="preserve">u</m:t>
                  </m:r>
                </m:e>
                <m:sub>
                  <m:r>
                    <m:t xml:space="preserve">i</m:t>
                  </m:r>
                </m:sub>
              </m:sSub>
              <m:r>
                <m:t xml:space="preserve">∈</m:t>
              </m:r>
              <m:r>
                <m:t xml:space="preserve">{</m:t>
              </m:r>
              <m:r>
                <m:t xml:space="preserve">0</m:t>
              </m:r>
              <m:r>
                <m:t xml:space="preserve">,</m:t>
              </m:r>
              <m:r>
                <m:t xml:space="preserve">1</m:t>
              </m:r>
              <m:r>
                <m:t xml:space="preserve">}</m:t>
              </m:r>
              <m:r>
                <m:t xml:space="preserve">,</m:t>
              </m:r>
              <m:r>
                <m:t xml:space="preserve"> </m:t>
              </m:r>
              <m:r>
                <m:t xml:space="preserve">i</m:t>
              </m:r>
              <m:r>
                <m:t xml:space="preserve">=</m:t>
              </m:r>
              <m:r>
                <m:t xml:space="preserve">1</m:t>
              </m:r>
              <m:r>
                <m:t xml:space="preserve">,</m:t>
              </m:r>
              <m:r>
                <m:t xml:space="preserve"> </m:t>
              </m:r>
              <m:r>
                <m:t xml:space="preserve">…</m:t>
              </m:r>
              <m:r>
                <m:t xml:space="preserve">,</m:t>
              </m:r>
              <m:r>
                <m:t xml:space="preserve"> </m:t>
              </m:r>
              <m:sSub>
                <m:e>
                  <m:r>
                    <m:t xml:space="preserve">n</m:t>
                  </m:r>
                </m:e>
                <m:sub>
                  <m:r>
                    <m:t xml:space="preserve">p</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Thus, when </w:t>
      </w:r>
      <m:oMath>
        <m:sSub>
          <m:e>
            <m:r>
              <m:t xml:space="preserve">u</m:t>
            </m:r>
          </m:e>
          <m:sub>
            <m:r>
              <m:t xml:space="preserve">i</m:t>
            </m:r>
          </m:sub>
        </m:sSub>
      </m:oMath>
      <w:r>
        <w:rPr>
          <w:rFonts w:ascii="Times New Roman" w:hAnsi="Times New Roman"/>
          <w:i w:val="0"/>
          <w:color w:val="202A32"/>
          <w:sz w:val="20"/>
        </w:rPr>
        <w:t xml:space="preserve">=0 the original activation remains, and when </w:t>
      </w:r>
      <m:oMath>
        <m:sSub>
          <m:e>
            <m:r>
              <m:t xml:space="preserve">u</m:t>
            </m:r>
          </m:e>
          <m:sub>
            <m:r>
              <m:t xml:space="preserve">i</m:t>
            </m:r>
          </m:sub>
        </m:sSub>
      </m:oMath>
      <w:r>
        <w:rPr>
          <w:rFonts w:ascii="Times New Roman" w:hAnsi="Times New Roman"/>
          <w:i w:val="0"/>
          <w:color w:val="202A32"/>
          <w:sz w:val="20"/>
        </w:rPr>
        <w:t>=1 it is replaced by the corresponding surrogate. The class token, position indices, number of rows, model weights, and subsequent computation remain unchanged. The intervention isolates dependence on image-specific content while keeping token slots fixed.</w:t>
      </w:r>
    </w:p>
    <w:p>
      <w:pPr>
        <w:spacing w:after="100" w:line="259" w:lineRule="auto"/>
      </w:pPr>
      <w:r>
        <w:rPr>
          <w:rFonts w:ascii="Times New Roman" w:hAnsi="Times New Roman"/>
          <w:i w:val="0"/>
          <w:color w:val="202A32"/>
          <w:sz w:val="20"/>
        </w:rP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pPr>
        <w:spacing w:after="100" w:line="259" w:lineRule="auto"/>
      </w:pPr>
      <w:r>
        <w:rPr>
          <w:rFonts w:ascii="Times New Roman" w:hAnsi="Times New Roman"/>
          <w:i w:val="0"/>
          <w:color w:val="202A32"/>
          <w:sz w:val="20"/>
        </w:rP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pPr>
        <w:spacing w:after="100" w:line="259" w:lineRule="auto"/>
      </w:pPr>
      <w:r>
        <w:rPr>
          <w:rFonts w:ascii="Times New Roman" w:hAnsi="Times New Roman"/>
          <w:i w:val="0"/>
          <w:color w:val="202A32"/>
          <w:sz w:val="20"/>
        </w:rPr>
        <w:t>For practical carrier evaluation, q counts directions from the centered calibration activation covariance Σ</w:t>
      </w:r>
      <w:r>
        <w:rPr>
          <w:rFonts w:ascii="Times New Roman" w:hAnsi="Times New Roman"/>
          <w:i w:val="0"/>
          <w:color w:val="202A32"/>
          <w:sz w:val="20"/>
          <w:vertAlign w:val="subscript"/>
        </w:rPr>
        <w:t>act,ℓ</w:t>
      </w:r>
      <w:r>
        <w:rPr>
          <w:rFonts w:ascii="Times New Roman" w:hAnsi="Times New Roman"/>
          <w:i w:val="0"/>
          <w:color w:val="202A32"/>
          <w:sz w:val="20"/>
        </w:rP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pPr>
        <w:pStyle w:val="Heading1"/>
        <w:keepNext/>
      </w:pPr>
      <w:r>
        <w:rPr>
          <w:rFonts w:ascii="Times New Roman" w:hAnsi="Times New Roman"/>
          <w:b/>
          <w:color w:val="000000"/>
          <w:sz w:val="28"/>
        </w:rPr>
        <w:t>4. Geometric and Diversity Constraints on Patch-Content Fungibility</w:t>
      </w:r>
    </w:p>
    <w:p>
      <w:pPr>
        <w:pStyle w:val="Heading2"/>
        <w:keepNext/>
      </w:pPr>
      <w:r>
        <w:rPr>
          <w:rFonts w:ascii="Times New Roman" w:hAnsi="Times New Roman"/>
          <w:b/>
          <w:color w:val="000000"/>
          <w:sz w:val="23"/>
        </w:rPr>
        <w:t>4.1 Depth-Dependent Replacement Tolerance</w:t>
      </w:r>
    </w:p>
    <w:p>
      <w:pPr>
        <w:spacing w:after="100" w:line="259" w:lineRule="auto"/>
      </w:pPr>
      <w:r>
        <w:rPr>
          <w:rFonts w:ascii="Times New Roman" w:hAnsi="Times New Roman"/>
          <w:i w:val="0"/>
          <w:color w:val="202A32"/>
          <w:sz w:val="20"/>
        </w:rP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pPr>
        <w:spacing w:after="100" w:line="259" w:lineRule="auto"/>
      </w:pPr>
      <w:r>
        <w:rPr>
          <w:rFonts w:ascii="Times New Roman" w:hAnsi="Times New Roman"/>
          <w:i w:val="0"/>
          <w:color w:val="202A32"/>
          <w:sz w:val="20"/>
        </w:rP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pPr>
        <w:keepNext/>
        <w:keepLines/>
        <w:spacing w:after="20"/>
        <w:jc w:val="center"/>
      </w:pPr>
      <w:r>
        <w:drawing>
          <wp:inline xmlns:a="http://schemas.openxmlformats.org/drawingml/2006/main" xmlns:pic="http://schemas.openxmlformats.org/drawingml/2006/picture">
            <wp:extent cx="6172200" cy="3769282"/>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3769282"/>
                    </a:xfrm>
                    <a:prstGeom prst="rect"/>
                  </pic:spPr>
                </pic:pic>
              </a:graphicData>
            </a:graphic>
          </wp:inline>
        </w:drawing>
      </w:r>
    </w:p>
    <w:p>
      <w:pPr>
        <w:keepLines/>
        <w:spacing w:after="80"/>
        <w:jc w:val="center"/>
      </w:pPr>
      <w:r>
        <w:rPr>
          <w:rFonts w:ascii="Times New Roman" w:hAnsi="Times New Roman"/>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pPr>
        <w:pStyle w:val="Heading2"/>
        <w:keepNext/>
      </w:pPr>
      <w:r>
        <w:rPr>
          <w:rFonts w:ascii="Times New Roman" w:hAnsi="Times New Roman"/>
          <w:b/>
          <w:color w:val="000000"/>
          <w:sz w:val="23"/>
        </w:rPr>
        <w:t>4.2 Geometric and Diversity Constraints</w:t>
      </w:r>
    </w:p>
    <w:p>
      <w:pPr>
        <w:spacing w:after="100" w:line="259" w:lineRule="auto"/>
      </w:pPr>
      <w:r>
        <w:rPr>
          <w:rFonts w:ascii="Times New Roman" w:hAnsi="Times New Roman"/>
          <w:b/>
          <w:color w:val="202A32"/>
          <w:sz w:val="20"/>
        </w:rPr>
        <w:t>Geometry.</w:t>
      </w:r>
      <w:r>
        <w:rPr>
          <w:rFonts w:ascii="Times New Roman" w:hAnsi="Times New Roman"/>
          <w:i w:val="0"/>
          <w:color w:val="202A32"/>
          <w:sz w:val="20"/>
        </w:rP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pPr>
        <w:spacing w:after="100" w:line="259" w:lineRule="auto"/>
      </w:pPr>
      <w:r>
        <w:rPr>
          <w:rFonts w:ascii="Times New Roman" w:hAnsi="Times New Roman"/>
          <w:b/>
          <w:color w:val="202A32"/>
          <w:sz w:val="20"/>
        </w:rPr>
        <w:t>Token diversity.</w:t>
      </w:r>
      <w:r>
        <w:rPr>
          <w:rFonts w:ascii="Times New Roman" w:hAnsi="Times New Roman"/>
          <w:i w:val="0"/>
          <w:color w:val="202A32"/>
          <w:sz w:val="20"/>
        </w:rP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pPr>
        <w:spacing w:after="100" w:line="259" w:lineRule="auto"/>
      </w:pPr>
      <w:r>
        <w:rPr>
          <w:rFonts w:ascii="Times New Roman" w:hAnsi="Times New Roman"/>
          <w:i w:val="0"/>
          <w:color w:val="202A32"/>
          <w:sz w:val="20"/>
        </w:rP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pPr>
        <w:keepNext/>
        <w:keepLines/>
        <w:spacing w:after="20"/>
        <w:jc w:val="center"/>
      </w:pPr>
      <w:r>
        <w:drawing>
          <wp:inline xmlns:a="http://schemas.openxmlformats.org/drawingml/2006/main" xmlns:pic="http://schemas.openxmlformats.org/drawingml/2006/picture">
            <wp:extent cx="6172200" cy="3773228"/>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3773228"/>
                    </a:xfrm>
                    <a:prstGeom prst="rect"/>
                  </pic:spPr>
                </pic:pic>
              </a:graphicData>
            </a:graphic>
          </wp:inline>
        </w:drawing>
      </w:r>
    </w:p>
    <w:p>
      <w:pPr>
        <w:keepLines/>
        <w:spacing w:after="80"/>
        <w:jc w:val="center"/>
      </w:pPr>
      <w:r>
        <w:rPr>
          <w:rFonts w:ascii="Times New Roman" w:hAnsi="Times New Roman"/>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pPr>
        <w:spacing w:after="100" w:line="259" w:lineRule="auto"/>
      </w:pPr>
      <w:r>
        <w:rPr>
          <w:rFonts w:ascii="Times New Roman" w:hAnsi="Times New Roman"/>
          <w:b/>
          <w:color w:val="202A32"/>
          <w:sz w:val="20"/>
        </w:rPr>
        <w:t>PCA-aligned variation.</w:t>
      </w:r>
      <w:r>
        <w:rPr>
          <w:rFonts w:ascii="Times New Roman" w:hAnsi="Times New Roman"/>
          <w:i w:val="0"/>
          <w:color w:val="202A32"/>
          <w:sz w:val="20"/>
        </w:rP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pPr>
        <w:pStyle w:val="Heading1"/>
        <w:keepNext/>
      </w:pPr>
      <w:r>
        <w:rPr>
          <w:rFonts w:ascii="Times New Roman" w:hAnsi="Times New Roman"/>
          <w:b/>
          <w:color w:val="000000"/>
          <w:sz w:val="28"/>
        </w:rPr>
        <w:t>5. Functional Geometry and Attention-Mediated Transmission</w:t>
      </w:r>
    </w:p>
    <w:p>
      <w:pPr>
        <w:pStyle w:val="Heading2"/>
        <w:keepNext/>
      </w:pPr>
      <w:r>
        <w:rPr>
          <w:rFonts w:ascii="Times New Roman" w:hAnsi="Times New Roman"/>
          <w:b/>
          <w:color w:val="000000"/>
          <w:sz w:val="23"/>
        </w:rPr>
        <w:t>5.1 Anisotropy and Functional Geometry</w:t>
      </w:r>
    </w:p>
    <w:p>
      <w:pPr>
        <w:spacing w:after="100" w:line="259" w:lineRule="auto"/>
      </w:pPr>
      <w:r>
        <w:rPr>
          <w:rFonts w:ascii="Times New Roman" w:hAnsi="Times New Roman"/>
          <w:i w:val="0"/>
          <w:color w:val="202A32"/>
          <w:sz w:val="20"/>
        </w:rPr>
        <w:t xml:space="preserve">Feature perturbations of the same norm can affect a prediction differently depending on their direction. We quantify this local directional sensitivity using the margin between each image’s clean predicted class and runner-up class. Let </w:t>
      </w:r>
      <m:oMath>
        <m:sSub>
          <m:e>
            <m:r>
              <m:t xml:space="preserve">y</m:t>
            </m:r>
          </m:e>
          <m:sub>
            <m:r>
              <m:t xml:space="preserve">s</m:t>
            </m:r>
          </m:sub>
        </m:sSub>
      </m:oMath>
      <w:r>
        <w:rPr>
          <w:rFonts w:ascii="Times New Roman" w:hAnsi="Times New Roman"/>
          <w:i w:val="0"/>
          <w:color w:val="202A32"/>
          <w:sz w:val="20"/>
        </w:rPr>
        <w:t xml:space="preserve"> and </w:t>
      </w:r>
      <m:oMath>
        <m:sSub>
          <m:e>
            <m:r>
              <m:t xml:space="preserve">r</m:t>
            </m:r>
          </m:e>
          <m:sub>
            <m:r>
              <m:t xml:space="preserve">s</m:t>
            </m:r>
          </m:sub>
        </m:sSub>
      </m:oMath>
      <w:r>
        <w:rPr>
          <w:rFonts w:ascii="Times New Roman" w:hAnsi="Times New Roman"/>
          <w:i w:val="0"/>
          <w:color w:val="202A32"/>
          <w:sz w:val="20"/>
        </w:rPr>
        <w:t xml:space="preserve"> be these two classes, fixed at the unperturbed input, and let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denote the activation at spatial-patch position </w:t>
      </w:r>
      <m:oMath>
        <m:r>
          <m:t xml:space="preserve">i</m:t>
        </m:r>
      </m:oMath>
      <w:r>
        <w:rPr>
          <w:rFonts w:ascii="Times New Roman" w:hAnsi="Times New Roman"/>
          <w:i w:val="0"/>
          <w:color w:val="202A32"/>
          <w:sz w:val="20"/>
        </w:rPr>
        <w:t xml:space="preserve">, image </w:t>
      </w:r>
      <m:oMath>
        <m:r>
          <m:t xml:space="preserve">s</m:t>
        </m:r>
      </m:oMath>
      <w:r>
        <w:rPr>
          <w:rFonts w:ascii="Times New Roman" w:hAnsi="Times New Roman"/>
          <w:i w:val="0"/>
          <w:color w:val="202A32"/>
          <w:sz w:val="20"/>
        </w:rPr>
        <w:t xml:space="preserve">, and layer </w:t>
      </w:r>
      <m:oMath>
        <m:r>
          <m:t xml:space="preserve">ℓ</m:t>
        </m:r>
      </m:oMath>
      <w:r>
        <w:rPr>
          <w:rFonts w:ascii="Times New Roman" w:hAnsi="Times New Roman"/>
          <w:i w:val="0"/>
          <w:color w:val="202A32"/>
          <w:sz w:val="20"/>
        </w:rPr>
        <w:t>. We define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g</m:t>
                  </m:r>
                </m:e>
                <m:sub>
                  <m:r>
                    <m:t xml:space="preserve">s</m:t>
                  </m:r>
                  <m:r>
                    <m:t xml:space="preserve">,</m:t>
                  </m:r>
                  <m:r>
                    <m:t xml:space="preserve">i</m:t>
                  </m:r>
                </m:sub>
              </m:sSub>
              <m:r>
                <m:t xml:space="preserve">=</m:t>
              </m:r>
              <m:sSub>
                <m:e>
                  <m:r>
                    <m:t xml:space="preserve">grad</m:t>
                  </m:r>
                </m:e>
                <m:sub>
                  <m:sSub>
                    <m:e>
                      <m:r>
                        <m:t xml:space="preserve">p</m:t>
                      </m:r>
                    </m:e>
                    <m:sub>
                      <m:r>
                        <m:t xml:space="preserve">l</m:t>
                      </m:r>
                      <m:r>
                        <m:t xml:space="preserve">,</m:t>
                      </m:r>
                      <m:r>
                        <m:t xml:space="preserve">s</m:t>
                      </m:r>
                      <m:r>
                        <m:t xml:space="preserve">,</m:t>
                      </m:r>
                      <m:r>
                        <m:t xml:space="preserve">i</m:t>
                      </m:r>
                    </m:sub>
                  </m:sSub>
                </m:sub>
              </m:sSub>
              <m:r>
                <m:t xml:space="preserve">(</m:t>
              </m:r>
              <m:sSub>
                <m:e>
                  <m:r>
                    <m:t xml:space="preserve">z</m:t>
                  </m:r>
                </m:e>
                <m:sub>
                  <m:r>
                    <m:t xml:space="preserve">s</m:t>
                  </m:r>
                  <m:r>
                    <m:t xml:space="preserve">,</m:t>
                  </m:r>
                  <m:sSub>
                    <m:e>
                      <m:r>
                        <m:t xml:space="preserve">y</m:t>
                      </m:r>
                    </m:e>
                    <m:sub>
                      <m:r>
                        <m:t xml:space="preserve">s</m:t>
                      </m:r>
                    </m:sub>
                  </m:sSub>
                </m:sub>
              </m:sSub>
              <m:r>
                <m:t xml:space="preserve">−</m:t>
              </m:r>
              <m:sSub>
                <m:e>
                  <m:r>
                    <m:t xml:space="preserve">z</m:t>
                  </m:r>
                </m:e>
                <m:sub>
                  <m:r>
                    <m:t xml:space="preserve">s</m:t>
                  </m:r>
                  <m:r>
                    <m:t xml:space="preserve">,</m:t>
                  </m:r>
                  <m:sSub>
                    <m:e>
                      <m:r>
                        <m:t xml:space="preserve">r</m:t>
                      </m:r>
                    </m:e>
                    <m:sub>
                      <m:r>
                        <m:t xml:space="preserve">s</m:t>
                      </m:r>
                    </m:sub>
                  </m:sSub>
                </m:sub>
              </m:sSub>
              <m:r>
                <m:t xml:space="preserve">)</m:t>
              </m:r>
              <m:r>
                <m:t xml:space="preserve">,</m:t>
              </m:r>
            </m:oMath>
          </w:p>
          <w:p>
            <w:pPr>
              <w:keepLines/>
              <w:spacing w:before="0" w:after="0" w:line="240" w:lineRule="auto"/>
              <w:jc w:val="center"/>
            </w:pPr>
            <m:oMath>
              <m:sSub>
                <m:e>
                  <m:r>
                    <m:t xml:space="preserve">M</m:t>
                  </m:r>
                </m:e>
                <m:sub>
                  <m:r>
                    <m:t xml:space="preserve">l</m:t>
                  </m:r>
                </m:sub>
              </m:sSub>
              <m:r>
                <m:t xml:space="preserve">=</m:t>
              </m:r>
              <m:r>
                <m:t xml:space="preserve">(</m:t>
              </m:r>
              <m:r>
                <m:t xml:space="preserve">1</m:t>
              </m:r>
              <m:r>
                <m:t xml:space="preserve">/</m:t>
              </m:r>
              <m:r>
                <m:t xml:space="preserve">(</m:t>
              </m:r>
              <m:sSub>
                <m:e>
                  <m:r>
                    <m:t xml:space="preserve">N</m:t>
                  </m:r>
                </m:e>
                <m:sub>
                  <m:r>
                    <m:t xml:space="preserve">img</m:t>
                  </m:r>
                </m:sub>
              </m:sSub>
              <m:r>
                <m:t xml:space="preserve"> </m:t>
              </m:r>
              <m:sSub>
                <m:e>
                  <m:r>
                    <m:t xml:space="preserve">n</m:t>
                  </m:r>
                </m:e>
                <m:sub>
                  <m:r>
                    <m:t xml:space="preserve">p</m:t>
                  </m:r>
                </m:sub>
              </m:sSub>
              <m:r>
                <m:t xml:space="preserve">)</m:t>
              </m:r>
              <m:r>
                <m:t xml:space="preserve">)</m:t>
              </m:r>
              <m:sSubSup>
                <m:e>
                  <m:r>
                    <m:t xml:space="preserve">Σ</m:t>
                  </m:r>
                </m:e>
                <m:sub>
                  <m:r>
                    <m:t xml:space="preserve">s</m:t>
                  </m:r>
                  <m:r>
                    <m:t xml:space="preserve">=</m:t>
                  </m:r>
                  <m:r>
                    <m:t xml:space="preserve">1</m:t>
                  </m:r>
                </m:sub>
                <m:sup>
                  <m:sSub>
                    <m:e>
                      <m:r>
                        <m:t xml:space="preserve">N</m:t>
                      </m:r>
                    </m:e>
                    <m:sub>
                      <m:r>
                        <m:t xml:space="preserve">img</m:t>
                      </m:r>
                    </m:sub>
                  </m:sSub>
                </m:sup>
              </m:sSubSup>
              <m:sSubSup>
                <m:e>
                  <m:r>
                    <m:t xml:space="preserve">Σ</m:t>
                  </m:r>
                </m:e>
                <m:sub>
                  <m:r>
                    <m:t xml:space="preserve">i</m:t>
                  </m:r>
                  <m:r>
                    <m:t xml:space="preserve">=</m:t>
                  </m:r>
                  <m:r>
                    <m:t xml:space="preserve">1</m:t>
                  </m:r>
                </m:sub>
                <m:sup>
                  <m:sSub>
                    <m:e>
                      <m:r>
                        <m:t xml:space="preserve">n</m:t>
                      </m:r>
                    </m:e>
                    <m:sub>
                      <m:r>
                        <m:t xml:space="preserve">p</m:t>
                      </m:r>
                    </m:sub>
                  </m:sSub>
                </m:sup>
              </m:sSubSup>
              <m:sSub>
                <m:e>
                  <m:r>
                    <m:t xml:space="preserve">g</m:t>
                  </m:r>
                </m:e>
                <m:sub>
                  <m:r>
                    <m:t xml:space="preserve">s</m:t>
                  </m:r>
                  <m:r>
                    <m:t xml:space="preserve">,</m:t>
                  </m:r>
                  <m:r>
                    <m:t xml:space="preserve">i</m:t>
                  </m:r>
                </m:sub>
              </m:sSub>
              <m:r>
                <m:t xml:space="preserve"> </m:t>
              </m:r>
              <m:sSubSup>
                <m:e>
                  <m:r>
                    <m:t xml:space="preserve">g</m:t>
                  </m:r>
                </m:e>
                <m:sub>
                  <m:r>
                    <m:t xml:space="preserve">s</m:t>
                  </m:r>
                  <m:r>
                    <m:t xml:space="preserve">,</m:t>
                  </m:r>
                  <m:r>
                    <m:t xml:space="preserve">i</m:t>
                  </m:r>
                </m:sub>
                <m:sup>
                  <m:r>
                    <m:t xml:space="preserve">T</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(2)</w:t>
            </w:r>
          </w:p>
        </w:tc>
      </w:tr>
    </w:tbl>
    <w:p>
      <w:pPr>
        <w:spacing w:after="100" w:line="259" w:lineRule="auto"/>
      </w:pPr>
      <w:r>
        <w:rPr>
          <w:rFonts w:ascii="Times New Roman" w:hAnsi="Times New Roman"/>
          <w:i w:val="0"/>
          <w:color w:val="202A32"/>
          <w:sz w:val="20"/>
        </w:rPr>
        <w:t>Here,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w:t>
      </w:r>
      <m:oMath>
        <m:sSub>
          <m:e>
            <m:r>
              <m:t xml:space="preserve">n</m:t>
            </m:r>
          </m:e>
          <m:sub>
            <m:r>
              <m:t xml:space="preserve">p</m:t>
            </m:r>
          </m:sub>
        </m:sSub>
      </m:oMath>
      <w:r>
        <w:rPr>
          <w:rFonts w:ascii="Times New Roman" w:hAnsi="Times New Roman"/>
          <w:i w:val="0"/>
          <w:color w:val="202A32"/>
          <w:sz w:val="20"/>
        </w:rPr>
        <w:t xml:space="preserve"> the number of spatial patches per image, and </w:t>
      </w:r>
      <m:oMath>
        <m:r>
          <m:t xml:space="preserve">D</m:t>
        </m:r>
      </m:oMath>
      <w:r>
        <w:rPr>
          <w:rFonts w:ascii="Times New Roman" w:hAnsi="Times New Roman"/>
          <w:i w:val="0"/>
          <w:color w:val="202A32"/>
          <w:sz w:val="20"/>
        </w:rPr>
        <w:t xml:space="preserve"> the feature dimension. For a unit direction </w:t>
      </w:r>
      <m:oMath>
        <m:r>
          <m:t xml:space="preserve">v</m:t>
        </m:r>
      </m:oMath>
      <w:r>
        <w:rPr>
          <w:rFonts w:ascii="Times New Roman" w:hAnsi="Times New Roman"/>
          <w:i w:val="0"/>
          <w:color w:val="202A32"/>
          <w:sz w:val="20"/>
        </w:rPr>
        <w:t xml:space="preserve">, </w:t>
      </w:r>
      <m:oMath>
        <m:sSup>
          <m:e>
            <m:r>
              <m:t xml:space="preserve">v</m:t>
            </m:r>
          </m:e>
          <m:sup>
            <m:r>
              <m:t xml:space="preserve">T</m:t>
            </m:r>
          </m:sup>
        </m:sSup>
        <m:r>
          <m:t xml:space="preserve"> </m:t>
        </m:r>
        <m:sSub>
          <m:e>
            <m:r>
              <m:t xml:space="preserve">M</m:t>
            </m:r>
          </m:e>
          <m:sub>
            <m:r>
              <m:t xml:space="preserve">ℓ</m:t>
            </m:r>
          </m:sub>
        </m:sSub>
        <m:r>
          <m:t xml:space="preserve"> </m:t>
        </m:r>
        <m:r>
          <m:t xml:space="preserve">v</m:t>
        </m:r>
        <m:r>
          <m:t xml:space="preserve">=</m:t>
        </m:r>
        <m:sSup>
          <m:e>
            <m:r>
              <m:t xml:space="preserve">(</m:t>
            </m:r>
            <m:sSub>
              <m:e>
                <m:r>
                  <m:t xml:space="preserve">N</m:t>
                </m:r>
              </m:e>
              <m:sub>
                <m:r>
                  <m:t xml:space="preserve">{</m:t>
                </m:r>
                <m:r>
                  <m:t xml:space="preserve">img</m:t>
                </m:r>
                <m:r>
                  <m:t xml:space="preserve">}</m:t>
                </m:r>
              </m:sub>
            </m:sSub>
            <m:sSub>
              <m:e>
                <m:r>
                  <m:t xml:space="preserve">n</m:t>
                </m:r>
              </m:e>
              <m:sub>
                <m:r>
                  <m:t xml:space="preserve">p</m:t>
                </m:r>
              </m:sub>
            </m:sSub>
            <m:r>
              <m:t xml:space="preserve">)</m:t>
            </m:r>
          </m:e>
          <m:sup>
            <m:r>
              <m:t xml:space="preserve">-</m:t>
            </m:r>
            <m:r>
              <m:t xml:space="preserve">1</m:t>
            </m:r>
          </m:sup>
        </m:sSup>
        <m:sSub>
          <m:e>
            <m:r>
              <m:t xml:space="preserve">Σ</m:t>
            </m:r>
          </m:e>
          <m:sub>
            <m:r>
              <m:t xml:space="preserve">s</m:t>
            </m:r>
            <m:r>
              <m:t xml:space="preserve">,</m:t>
            </m:r>
            <m:r>
              <m:t xml:space="preserve">i</m:t>
            </m:r>
          </m:sub>
        </m:sSub>
        <m:sSup>
          <m:e>
            <m:r>
              <m:t xml:space="preserve">(</m:t>
            </m:r>
            <m:sSubSup>
              <m:e>
                <m:r>
                  <m:t xml:space="preserve">g</m:t>
                </m:r>
              </m:e>
              <m:sub>
                <m:r>
                  <m:t xml:space="preserve">s</m:t>
                </m:r>
                <m:r>
                  <m:t xml:space="preserve">,</m:t>
                </m:r>
                <m:r>
                  <m:t xml:space="preserve">i</m:t>
                </m:r>
              </m:sub>
              <m:sup>
                <m:r>
                  <m:t xml:space="preserve">T</m:t>
                </m:r>
              </m:sup>
            </m:sSubSup>
            <m:r>
              <m:t xml:space="preserve"> </m:t>
            </m:r>
            <m:r>
              <m:t xml:space="preserve">v</m:t>
            </m:r>
            <m:r>
              <m:t xml:space="preserve">)</m:t>
            </m:r>
          </m:e>
          <m:sup>
            <m:r>
              <m:t xml:space="preserve">2</m:t>
            </m:r>
          </m:sup>
        </m:sSup>
      </m:oMath>
      <w:r>
        <w:rPr>
          <w:rFonts w:ascii="Times New Roman" w:hAnsi="Times New Roman"/>
          <w:i w:val="0"/>
          <w:color w:val="202A32"/>
          <w:sz w:val="20"/>
        </w:rPr>
        <w:t xml:space="preserve">: the average squared local derivative of the clean predicted-class margin along </w:t>
      </w:r>
      <m:oMath>
        <m:r>
          <m:t xml:space="preserve">v</m:t>
        </m:r>
      </m:oMath>
      <w:r>
        <w:rPr>
          <w:rFonts w:ascii="Times New Roman" w:hAnsi="Times New Roman"/>
          <w:i w:val="0"/>
          <w:color w:val="202A32"/>
          <w:sz w:val="20"/>
        </w:rPr>
        <w:t xml:space="preserve">, over images and patch positions. Thus </w:t>
      </w:r>
      <m:oMath>
        <m:sSub>
          <m:e>
            <m:r>
              <m:t xml:space="preserve">M</m:t>
            </m:r>
          </m:e>
          <m:sub>
            <m:r>
              <m:t xml:space="preserve">ℓ</m:t>
            </m:r>
          </m:sub>
        </m:sSub>
      </m:oMath>
      <w:r>
        <w:rPr>
          <w:rFonts w:ascii="Times New Roman" w:hAnsi="Times New Roman"/>
          <w:i w:val="0"/>
          <w:color w:val="202A32"/>
          <w:sz w:val="20"/>
        </w:rPr>
        <w:t xml:space="preserve"> is an uncentered second moment of scalar margin gradients with shape </w:t>
      </w:r>
      <m:oMath>
        <m:r>
          <m:t xml:space="preserve">D</m:t>
        </m:r>
        <m:r>
          <m:t xml:space="preserve">×</m:t>
        </m:r>
        <m:r>
          <m:t xml:space="preserve"> </m:t>
        </m:r>
        <m:r>
          <m:t xml:space="preserve">D</m:t>
        </m:r>
      </m:oMath>
      <w:r>
        <w:rPr>
          <w:rFonts w:ascii="Times New Roman" w:hAnsi="Times New Roman"/>
          <w:i w:val="0"/>
          <w:color w:val="202A32"/>
          <w:sz w:val="20"/>
        </w:rPr>
        <w:t xml:space="preserve">, distinct from centered activation covariance and from the full downstream readout Jacobian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in Section 5.3. Figure 4 tests whether activation-covariance directions align with this local functional sensitivity.</w:t>
      </w:r>
    </w:p>
    <w:p>
      <w:pPr>
        <w:keepNext/>
        <w:keepLines/>
        <w:spacing w:after="20"/>
        <w:jc w:val="center"/>
      </w:pPr>
      <w:r>
        <w:drawing>
          <wp:inline xmlns:a="http://schemas.openxmlformats.org/drawingml/2006/main" xmlns:pic="http://schemas.openxmlformats.org/drawingml/2006/picture">
            <wp:extent cx="6172200" cy="2074627"/>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2074627"/>
                    </a:xfrm>
                    <a:prstGeom prst="rect"/>
                  </pic:spPr>
                </pic:pic>
              </a:graphicData>
            </a:graphic>
          </wp:inline>
        </w:drawing>
      </w:r>
    </w:p>
    <w:p>
      <w:pPr>
        <w:keepLines/>
        <w:spacing w:after="80"/>
        <w:jc w:val="center"/>
      </w:pPr>
      <w:r>
        <w:rPr>
          <w:rFonts w:ascii="Times New Roman" w:hAnsi="Times New Roman"/>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e>
            <m:r>
              <m:t xml:space="preserve">M</m:t>
            </m:r>
          </m:e>
          <m:sub>
            <m:r>
              <m:t xml:space="preserve">ℓ</m:t>
            </m:r>
          </m:sub>
        </m:sSub>
      </m:oMath>
      <w:r>
        <w:rPr>
          <w:rFonts w:ascii="Times New Roman" w:hAnsi="Times New Roman"/>
          <w:i/>
          <w:color w:val="4C5963"/>
          <w:sz w:val="17"/>
        </w:rPr>
        <w:t xml:space="preserve"> eigenvalues at or below </w:t>
      </w:r>
      <m:oMath>
        <m:sSup>
          <m:e>
            <m:r>
              <m:t xml:space="preserve">10</m:t>
            </m:r>
          </m:e>
          <m:sup>
            <m:r>
              <m:t xml:space="preserve">-</m:t>
            </m:r>
            <m:r>
              <m:t xml:space="preserve">3</m:t>
            </m:r>
          </m:sup>
        </m:sSup>
        <m:sSub>
          <m:e>
            <m:r>
              <m:t xml:space="preserve">λ</m:t>
            </m:r>
          </m:e>
          <m:sub>
            <m:r>
              <m:t xml:space="preserve">max</m:t>
            </m:r>
          </m:sub>
        </m:sSub>
      </m:oMath>
      <w:r>
        <w:rPr>
          <w:rFonts w:ascii="Times New Roman" w:hAnsi="Times New Roman"/>
          <w:i/>
          <w:color w:val="4C5963"/>
          <w:sz w:val="17"/>
        </w:rPr>
        <w:t xml:space="preserve"> across depth. Each architecture uses the same </w:t>
      </w:r>
      <m:oMath>
        <m:r>
          <m:t xml:space="preserve">N</m:t>
        </m:r>
        <m:r>
          <m:t xml:space="preserve">=</m:t>
        </m:r>
        <m:r>
          <m:t xml:space="preserve">100</m:t>
        </m:r>
      </m:oMath>
      <w:r>
        <w:rPr>
          <w:rFonts w:ascii="Times New Roman" w:hAnsi="Times New Roman"/>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pPr>
        <w:spacing w:after="100" w:line="259" w:lineRule="auto"/>
      </w:pPr>
      <w:r>
        <w:rPr>
          <w:rFonts w:ascii="Times New Roman" w:hAnsi="Times New Roman"/>
          <w:i w:val="0"/>
          <w:color w:val="202A32"/>
          <w:sz w:val="20"/>
        </w:rP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m:t xml:space="preserve">1</m:t>
        </m:r>
        <m:r>
          <m:t xml:space="preserve">.</m:t>
        </m:r>
        <m:r>
          <m:t xml:space="preserve">53</m:t>
        </m:r>
        <m:r>
          <m:t xml:space="preserve">×</m:t>
        </m:r>
        <m:sSup>
          <m:e>
            <m:r>
              <m:t xml:space="preserve">10</m:t>
            </m:r>
          </m:e>
          <m:sup>
            <m:r>
              <m:t xml:space="preserve">-</m:t>
            </m:r>
            <m:r>
              <m:t xml:space="preserve">5</m:t>
            </m:r>
          </m:sup>
        </m:sSup>
      </m:oMath>
      <w:r>
        <w:rPr>
          <w:rFonts w:ascii="Times New Roman" w:hAnsi="Times New Roman"/>
          <w:i w:val="0"/>
          <w:color w:val="202A32"/>
          <w:sz w:val="20"/>
        </w:rP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pPr>
        <w:spacing w:after="100" w:line="259" w:lineRule="auto"/>
      </w:pPr>
      <w:r>
        <w:rPr>
          <w:rFonts w:ascii="Times New Roman" w:hAnsi="Times New Roman"/>
          <w:i w:val="0"/>
          <w:color w:val="202A32"/>
          <w:sz w:val="20"/>
        </w:rPr>
        <w:t xml:space="preserve">The entropy-based effective rank of </w:t>
      </w:r>
      <m:oMath>
        <m:sSub>
          <m:e>
            <m:r>
              <m:t xml:space="preserve">M</m:t>
            </m:r>
          </m:e>
          <m:sub>
            <m:r>
              <m:t xml:space="preserve">ℓ</m:t>
            </m:r>
          </m:sub>
        </m:sSub>
      </m:oMath>
      <w:r>
        <w:rPr>
          <w:rFonts w:ascii="Times New Roman" w:hAnsi="Times New Roman"/>
          <w:i w:val="0"/>
          <w:color w:val="202A32"/>
          <w:sz w:val="20"/>
        </w:rPr>
        <w:t xml:space="preserve">, normalized by feature dimension </w:t>
      </w:r>
      <m:oMath>
        <m:r>
          <m:t xml:space="preserve">D</m:t>
        </m:r>
      </m:oMath>
      <w:r>
        <w:rPr>
          <w:rFonts w:ascii="Times New Roman" w:hAnsi="Times New Roman"/>
          <w:i w:val="0"/>
          <w:color w:val="202A32"/>
          <w:sz w:val="20"/>
        </w:rPr>
        <w:t xml:space="preserve">, declines from depth 5 to depth 10 in all four architectures: 0.541 to 0.125 for DeiT-Tiny, 0.467 to 0.114 for DeiT-Small, 0.383 to 0.140 for ViT-B, and 0.453 to 0.323 for DINOv2. At the operational cutoff </w:t>
      </w:r>
      <m:oMath>
        <m:sSub>
          <m:e>
            <m:r>
              <m:t xml:space="preserve">λ</m:t>
            </m:r>
          </m:e>
          <m:sub>
            <m:r>
              <m:t xml:space="preserve">k</m:t>
            </m:r>
          </m:sub>
        </m:sSub>
        <m:r>
          <m:t xml:space="preserve">≤</m:t>
        </m:r>
        <m:sSup>
          <m:e>
            <m:r>
              <m:t xml:space="preserve">10</m:t>
            </m:r>
          </m:e>
          <m:sup>
            <m:r>
              <m:t xml:space="preserve">-</m:t>
            </m:r>
            <m:r>
              <m:t xml:space="preserve">3</m:t>
            </m:r>
          </m:sup>
        </m:sSup>
        <m:sSub>
          <m:e>
            <m:r>
              <m:t xml:space="preserve">λ</m:t>
            </m:r>
          </m:e>
          <m:sub>
            <m:r>
              <m:t xml:space="preserve">max</m:t>
            </m:r>
          </m:sub>
        </m:sSub>
      </m:oMath>
      <w:r>
        <w:rPr>
          <w:rFonts w:ascii="Times New Roman" w:hAnsi="Times New Roman"/>
          <w:i w:val="0"/>
          <w:color w:val="202A32"/>
          <w:sz w:val="20"/>
        </w:rPr>
        <w:t xml:space="preserve">, the near-null fraction rises from 0.52% to 31.77% in DeiT-Tiny, 0.26% to 57.03% in DeiT-Small, and 0.26% to 49.61% in ViT-B. DINOv2 changes only from 0.26% to 1.56% at this cutoff. Its depth-10 fraction is 64.84% at the looser </w:t>
      </w:r>
      <m:oMath>
        <m:sSup>
          <m:e>
            <m:r>
              <m:t xml:space="preserve">10</m:t>
            </m:r>
          </m:e>
          <m:sup>
            <m:r>
              <m:t xml:space="preserve">-</m:t>
            </m:r>
            <m:r>
              <m:t xml:space="preserve">2</m:t>
            </m:r>
          </m:sup>
        </m:sSup>
        <m:sSub>
          <m:e>
            <m:r>
              <m:t xml:space="preserve">λ</m:t>
            </m:r>
          </m:e>
          <m:sub>
            <m:r>
              <m:t xml:space="preserve">max</m:t>
            </m:r>
          </m:sub>
        </m:sSub>
      </m:oMath>
      <w:r>
        <w:rPr>
          <w:rFonts w:ascii="Times New Roman" w:hAnsi="Times New Roman"/>
          <w:i w:val="0"/>
          <w:color w:val="202A32"/>
          <w:sz w:val="20"/>
        </w:rP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pPr>
        <w:spacing w:after="100" w:line="259" w:lineRule="auto"/>
      </w:pPr>
      <w:r>
        <w:rPr>
          <w:rFonts w:ascii="Times New Roman" w:hAnsi="Times New Roman"/>
          <w:i w:val="0"/>
          <w:color w:val="202A32"/>
          <w:sz w:val="20"/>
        </w:rPr>
        <w:t xml:space="preserve">The spectra, cutoff sensitivity, directional sensitivities, normalized effective ranks, and positive-semidefinite checks are reported in Supplementary Table S2. Because </w:t>
      </w:r>
      <m:oMath>
        <m:sSub>
          <m:e>
            <m:r>
              <m:t xml:space="preserve">M</m:t>
            </m:r>
          </m:e>
          <m:sub>
            <m:r>
              <m:t xml:space="preserve">ℓ</m:t>
            </m:r>
          </m:sub>
        </m:sSub>
      </m:oMath>
      <w:r>
        <w:rPr>
          <w:rFonts w:ascii="Times New Roman" w:hAnsi="Times New Roman"/>
          <w:i w:val="0"/>
          <w:color w:val="202A32"/>
          <w:sz w:val="20"/>
        </w:rPr>
        <w:t xml:space="preserve"> contains no cross-token terms, Section 5.2 examines how attention-mediated Value aggregation combines perturbations across patch positions.</w:t>
      </w:r>
    </w:p>
    <w:p>
      <w:pPr>
        <w:pStyle w:val="Heading2"/>
        <w:keepNext/>
      </w:pPr>
      <w:r>
        <w:rPr>
          <w:rFonts w:ascii="Times New Roman" w:hAnsi="Times New Roman"/>
          <w:b/>
          <w:color w:val="000000"/>
          <w:sz w:val="23"/>
        </w:rPr>
        <w:t>5.2 Value-Path Coherence and Cancellation</w:t>
      </w:r>
    </w:p>
    <w:p>
      <w:pPr>
        <w:spacing w:after="100" w:line="259" w:lineRule="auto"/>
      </w:pPr>
      <w:r>
        <w:rPr>
          <w:rFonts w:ascii="Times New Roman" w:hAnsi="Times New Roman"/>
          <w:i w:val="0"/>
          <w:color w:val="202A32"/>
          <w:sz w:val="20"/>
        </w:rPr>
        <w:t xml:space="preserve">Under the coherent token pattern, the V-only projection control reproduces 97.4% (DeiT-Small, Block 8) and 99.3% (ViT-B/16 AugReg, Block 7) of the corresponding </w:t>
      </w:r>
      <m:oMath>
        <m:r>
          <m:t xml:space="preserve">K</m:t>
        </m:r>
        <m:r>
          <m:t xml:space="preserve">+</m:t>
        </m:r>
        <m:r>
          <m:t xml:space="preserve">V</m:t>
        </m:r>
      </m:oMath>
      <w:r>
        <w:rPr>
          <w:rFonts w:ascii="Times New Roman" w:hAnsi="Times New Roman"/>
          <w:i w:val="0"/>
          <w:color w:val="202A32"/>
          <w:sz w:val="20"/>
        </w:rPr>
        <w:t xml:space="preserve"> mean immediate readout-change magnitude. These are ratios of cohort means of per-image Euclidean norms, not additive causal fractions. In this primary decomposition,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then recomputes attention.</w:t>
      </w:r>
    </w:p>
    <w:p>
      <w:pPr>
        <w:spacing w:after="100" w:line="259" w:lineRule="auto"/>
      </w:pPr>
      <w:r>
        <w:rPr>
          <w:rFonts w:ascii="Times New Roman" w:hAnsi="Times New Roman"/>
          <w:i w:val="0"/>
          <w:color w:val="202A32"/>
          <w:sz w:val="20"/>
        </w:rPr>
        <w:t xml:space="preserve">A separate signed-logit contrast compares the coherent-minus-random-sign true-class logit-drop difference under frozen-attention V-only with the residual perturbed against the corresponding full-block perturbation, which perturbs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w:t>
      </w:r>
      <m:oMath>
        <m:r>
          <m:t xml:space="preserve">V</m:t>
        </m:r>
      </m:oMath>
      <w:r>
        <w:rPr>
          <w:rFonts w:ascii="Times New Roman" w:hAnsi="Times New Roman"/>
          <w:i w:val="0"/>
          <w:color w:val="202A32"/>
          <w:sz w:val="20"/>
        </w:rPr>
        <w:t>, and the residual. The V-only contrast divided by the full-block contrast is 70.8% for DeiT-Small and 102.2% for ViT-B/16 AugReg. For ViT-B, the V-only contrast is slightly more negative than the full-block contrast. Because the numerator and denominator come from separately defined interventions, this ratio is not an additive causal share. Figure 5(a,b) shows the immediate readout-norm comparisons, while panels (c,d) show signed logit drops for separate reduced replications.</w:t>
      </w:r>
    </w:p>
    <w:p>
      <w:pPr>
        <w:keepNext/>
        <w:keepLines/>
        <w:spacing w:after="20"/>
        <w:jc w:val="center"/>
      </w:pPr>
      <w:r>
        <w:drawing>
          <wp:inline xmlns:a="http://schemas.openxmlformats.org/drawingml/2006/main" xmlns:pic="http://schemas.openxmlformats.org/drawingml/2006/picture">
            <wp:extent cx="6172200" cy="4215745"/>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4215745"/>
                    </a:xfrm>
                    <a:prstGeom prst="rect"/>
                  </pic:spPr>
                </pic:pic>
              </a:graphicData>
            </a:graphic>
          </wp:inline>
        </w:drawing>
      </w:r>
    </w:p>
    <w:p>
      <w:pPr>
        <w:keepLines/>
        <w:spacing w:after="80"/>
        <w:jc w:val="center"/>
      </w:pPr>
      <w:r>
        <w:rPr>
          <w:rFonts w:ascii="Times New Roman" w:hAnsi="Times New Roman"/>
          <w:i/>
          <w:color w:val="4C5963"/>
          <w:sz w:val="17"/>
        </w:rPr>
        <w:t xml:space="preserve">Figure 5. (a,b) Mean per-image Euclidean </w:t>
      </w:r>
      <m:oMath>
        <m:sSub>
          <m:e>
            <m:r>
              <m:t xml:space="preserve">L</m:t>
            </m:r>
          </m:e>
          <m:sub>
            <m:r>
              <m:t xml:space="preserve">2</m:t>
            </m:r>
          </m:sub>
        </m:sSub>
      </m:oMath>
      <w:r>
        <w:rPr>
          <w:rFonts w:ascii="Times New Roman" w:hAnsi="Times New Roman"/>
          <w:i/>
          <w:color w:val="4C5963"/>
          <w:sz w:val="17"/>
        </w:rPr>
        <w:t xml:space="preserve"> immediate-readout change for the primary DeiT-Small (Block 8) and ViT-B/16 AugReg (Block 7) projection-path audits. V-only perturbs </w:t>
      </w:r>
      <m:oMath>
        <m:r>
          <m:t xml:space="preserve">V</m:t>
        </m:r>
      </m:oMath>
      <w:r>
        <w:rPr>
          <w:rFonts w:ascii="Times New Roman" w:hAnsi="Times New Roman"/>
          <w:i/>
          <w:color w:val="4C5963"/>
          <w:sz w:val="17"/>
        </w:rPr>
        <w:t xml:space="preserve"> with clean </w:t>
      </w:r>
      <m:oMath>
        <m:r>
          <m:t xml:space="preserve">Q</m:t>
        </m:r>
      </m:oMath>
      <w:r>
        <w:rPr>
          <w:rFonts w:ascii="Times New Roman" w:hAnsi="Times New Roman"/>
          <w:i/>
          <w:color w:val="4C5963"/>
          <w:sz w:val="17"/>
        </w:rPr>
        <w:t xml:space="preserve">, </w:t>
      </w:r>
      <m:oMath>
        <m:r>
          <m:t xml:space="preserve">K</m:t>
        </m:r>
      </m:oMath>
      <w:r>
        <w:rPr>
          <w:rFonts w:ascii="Times New Roman" w:hAnsi="Times New Roman"/>
          <w:i/>
          <w:color w:val="4C5963"/>
          <w:sz w:val="17"/>
        </w:rPr>
        <w:t xml:space="preserve">, and residual; </w:t>
      </w:r>
      <m:oMath>
        <m:r>
          <m:t xml:space="preserve">K</m:t>
        </m:r>
        <m:r>
          <m:t xml:space="preserve">+</m:t>
        </m:r>
        <m:r>
          <m:t xml:space="preserve">V</m:t>
        </m:r>
      </m:oMath>
      <w:r>
        <w:rPr>
          <w:rFonts w:ascii="Times New Roman" w:hAnsi="Times New Roman"/>
          <w:i/>
          <w:color w:val="4C5963"/>
          <w:sz w:val="17"/>
        </w:rPr>
        <w:t xml:space="preserve"> perturbs </w:t>
      </w:r>
      <m:oMath>
        <m:r>
          <m:t xml:space="preserve">K</m:t>
        </m:r>
        <m:r>
          <m:t xml:space="preserve">,</m:t>
        </m:r>
        <m:r>
          <m:t xml:space="preserve">V</m:t>
        </m:r>
      </m:oMath>
      <w:r>
        <w:rPr>
          <w:rFonts w:ascii="Times New Roman" w:hAnsi="Times New Roman"/>
          <w:i/>
          <w:color w:val="4C5963"/>
          <w:sz w:val="17"/>
        </w:rPr>
        <w:t xml:space="preserve"> with clean </w:t>
      </w:r>
      <m:oMath>
        <m:r>
          <m:t xml:space="preserve">Q</m:t>
        </m:r>
      </m:oMath>
      <w:r>
        <w:rPr>
          <w:rFonts w:ascii="Times New Roman" w:hAnsi="Times New Roman"/>
          <w:i/>
          <w:color w:val="4C5963"/>
          <w:sz w:val="17"/>
        </w:rPr>
        <w:t xml:space="preserve"> and residual, and recomputes attention. (c,d) Signed true-class logit drop (clean target logit minus perturbed target logit; positive values indicate a decrease) for reduced DeiT-Tiny and DINOv2 (Block 8) replications. Full perturbation changes </w:t>
      </w:r>
      <m:oMath>
        <m:r>
          <m:t xml:space="preserve">Q</m:t>
        </m:r>
        <m:r>
          <m:t xml:space="preserve">,</m:t>
        </m:r>
        <m:r>
          <m:t xml:space="preserve">K</m:t>
        </m:r>
        <m:r>
          <m:t xml:space="preserve">,</m:t>
        </m:r>
        <m:r>
          <m:t xml:space="preserve">V</m:t>
        </m:r>
      </m:oMath>
      <w:r>
        <w:rPr>
          <w:rFonts w:ascii="Times New Roman" w:hAnsi="Times New Roman"/>
          <w:i/>
          <w:color w:val="4C5963"/>
          <w:sz w:val="17"/>
        </w:rPr>
        <w:t xml:space="preserve"> and residual; frozen-attention V-only keeps </w:t>
      </w:r>
      <m:oMath>
        <m:r>
          <m:t xml:space="preserve">Q</m:t>
        </m:r>
        <m:r>
          <m:t xml:space="preserve">,</m:t>
        </m:r>
        <m:r>
          <m:t xml:space="preserve">K</m:t>
        </m:r>
        <m:r>
          <m:t xml:space="preserve">,</m:t>
        </m:r>
        <m:r>
          <m:t xml:space="preserve">A</m:t>
        </m:r>
      </m:oMath>
      <w:r>
        <w:rPr>
          <w:rFonts w:ascii="Times New Roman" w:hAnsi="Times New Roman"/>
          <w:i/>
          <w:color w:val="4C5963"/>
          <w:sz w:val="17"/>
        </w:rPr>
        <w:t xml:space="preserve"> clean and perturbs </w:t>
      </w:r>
      <m:oMath>
        <m:r>
          <m:t xml:space="preserve">V</m:t>
        </m:r>
      </m:oMath>
      <w:r>
        <w:rPr>
          <w:rFonts w:ascii="Times New Roman" w:hAnsi="Times New Roman"/>
          <w:i/>
          <w:color w:val="4C5963"/>
          <w:sz w:val="17"/>
        </w:rPr>
        <w:t xml:space="preserve"> and residual. All panels show coherent, random-sign, and checkerboard patterns in that order. Each model uses 100 outcome images; lower-row directions were estimated from the first four images. The reduced panels are not a full Q/K/V decomposition.</w:t>
      </w:r>
    </w:p>
    <w:p>
      <w:pPr>
        <w:spacing w:after="100" w:line="259" w:lineRule="auto"/>
      </w:pPr>
      <w:r>
        <w:rPr>
          <w:rFonts w:ascii="Times New Roman" w:hAnsi="Times New Roman"/>
          <w:i w:val="0"/>
          <w:color w:val="202A32"/>
          <w:sz w:val="20"/>
        </w:rPr>
        <w:t>The reduced Block-8 replications in DeiT-Tiny and DINOv2 compare full-block perturbation with frozen-attention V-only while perturbing the residual; they do not include the primary audits’ full Q/K/V decomposition. Under full perturbation, the coherent, random-sign, and checkerboard true-class logit drops are 0.0244, −0.00105, and −0.00655 for DeiT-Tiny, and 0.1043, −0.00319, and 0.00583 for DINOv2. The frozen-attention V-only condition gives coherent drops of 0.0244 and 0.1075; checkerboard drops are smaller and have opposite signs across the two models. Its mean immediate readout-change magnitude is 100.1% and 100.8% of the full-perturbation magnitude, respectively; these norm ratios are distinct from the signed logit drops shown in Figure 5(c,d). The selected directions use four images, while outcomes average over 100 images per model.</w:t>
      </w:r>
    </w:p>
    <w:p>
      <w:pPr>
        <w:spacing w:after="100" w:line="259" w:lineRule="auto"/>
      </w:pPr>
      <w:r>
        <w:rPr>
          <w:rFonts w:ascii="Times New Roman" w:hAnsi="Times New Roman"/>
          <w:i w:val="0"/>
          <w:color w:val="202A32"/>
          <w:sz w:val="20"/>
        </w:rPr>
        <w:t xml:space="preserve">For one image, let </w:t>
      </w:r>
      <m:oMath>
        <m:sSubSup>
          <m:e>
            <m:r>
              <m:t xml:space="preserve">w</m:t>
            </m:r>
          </m:e>
          <m:sub>
            <m:r>
              <m:t xml:space="preserve">h</m:t>
            </m:r>
            <m:r>
              <m:t xml:space="preserve">,</m:t>
            </m:r>
            <m:r>
              <m:t xml:space="preserve">i</m:t>
            </m:r>
          </m:sub>
          <m:sup>
            <m:r>
              <m:t xml:space="preserve">{</m:t>
            </m:r>
            <m:r>
              <m:t xml:space="preserve">clean</m:t>
            </m:r>
            <m:r>
              <m:t xml:space="preserve">}</m:t>
            </m:r>
          </m:sup>
        </m:sSubSup>
      </m:oMath>
      <w:r>
        <w:rPr>
          <w:rFonts w:ascii="Times New Roman" w:hAnsi="Times New Roman"/>
          <w:i w:val="0"/>
          <w:color w:val="202A32"/>
          <w:sz w:val="20"/>
        </w:rPr>
        <w:t xml:space="preserve"> be the clean attention weight from spatial patch </w:t>
      </w:r>
      <m:oMath>
        <m:r>
          <m:t xml:space="preserve">i</m:t>
        </m:r>
      </m:oMath>
      <w:r>
        <w:rPr>
          <w:rFonts w:ascii="Times New Roman" w:hAnsi="Times New Roman"/>
          <w:i w:val="0"/>
          <w:color w:val="202A32"/>
          <w:sz w:val="20"/>
        </w:rPr>
        <w:t xml:space="preserve"> to the CLS query in head </w:t>
      </w:r>
      <m:oMath>
        <m:r>
          <m:t xml:space="preserve">h</m:t>
        </m:r>
      </m:oMath>
      <w:r>
        <w:rPr>
          <w:rFonts w:ascii="Times New Roman" w:hAnsi="Times New Roman"/>
          <w:i w:val="0"/>
          <w:color w:val="202A32"/>
          <w:sz w:val="20"/>
        </w:rPr>
        <w:t>. The signed attention-weighted token pattern and frozen-attention Value-context change are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Γ</m:t>
                  </m:r>
                </m:e>
                <m:sub>
                  <m:r>
                    <m:t xml:space="preserve">h</m:t>
                  </m:r>
                </m:sub>
              </m:sSub>
              <m:r>
                <m:t xml:space="preserve">(</m:t>
              </m:r>
              <m:r>
                <m:t xml:space="preserve">a</m:t>
              </m:r>
              <m:r>
                <m:t xml:space="preserve">)</m:t>
              </m:r>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m:t>
                  </m:r>
                  <m:r>
                    <m:t xml:space="preserve">clean</m:t>
                  </m:r>
                  <m:r>
                    <m:t xml:space="preserve">}</m:t>
                  </m:r>
                </m:sup>
              </m:sSubSup>
              <m:sSub>
                <m:e>
                  <m:r>
                    <m:t xml:space="preserve">a</m:t>
                  </m:r>
                </m:e>
                <m:sub>
                  <m:r>
                    <m:t xml:space="preserve">i</m:t>
                  </m:r>
                </m:sub>
              </m:sSub>
              <m:r>
                <m:t xml:space="preserve">,</m:t>
              </m:r>
            </m:oMath>
          </w:p>
          <w:p>
            <w:pPr>
              <w:keepLines/>
              <w:spacing w:before="0" w:after="0" w:line="240" w:lineRule="auto"/>
              <w:jc w:val="center"/>
            </w:pPr>
            <m:oMath>
              <m:r>
                <m:t xml:space="preserve">Δ</m:t>
              </m:r>
              <m:r>
                <m:t xml:space="preserve"> </m:t>
              </m:r>
              <m:sSubSup>
                <m:e>
                  <m:r>
                    <m:t xml:space="preserve">c</m:t>
                  </m:r>
                </m:e>
                <m:sub>
                  <m:r>
                    <m:t xml:space="preserve">h</m:t>
                  </m:r>
                </m:sub>
                <m:sup>
                  <m:r>
                    <m:t xml:space="preserve">(</m:t>
                  </m:r>
                  <m:r>
                    <m:t xml:space="preserve">V</m:t>
                  </m:r>
                  <m:r>
                    <m:t xml:space="preserve">)</m:t>
                  </m:r>
                </m:sup>
              </m:sSubSup>
              <m:r>
                <m:t xml:space="preserve">=</m:t>
              </m:r>
              <m:sSubSup>
                <m:e>
                  <m:r>
                    <m:t xml:space="preserve">Σ</m:t>
                  </m:r>
                </m:e>
                <m:sub>
                  <m:r>
                    <m:t xml:space="preserve">i</m:t>
                  </m:r>
                  <m:r>
                    <m:t xml:space="preserve">=</m:t>
                  </m:r>
                  <m:r>
                    <m:t xml:space="preserve">1</m:t>
                  </m:r>
                </m:sub>
                <m:sup>
                  <m:sSub>
                    <m:e>
                      <m:r>
                        <m:t xml:space="preserve">n</m:t>
                      </m:r>
                    </m:e>
                    <m:sub>
                      <m:r>
                        <m:t xml:space="preserve">p</m:t>
                      </m:r>
                    </m:sub>
                  </m:sSub>
                </m:sup>
              </m:sSubSup>
              <m:sSubSup>
                <m:e>
                  <m:r>
                    <m:t xml:space="preserve">w</m:t>
                  </m:r>
                </m:e>
                <m:sub>
                  <m:r>
                    <m:t xml:space="preserve">h</m:t>
                  </m:r>
                  <m:r>
                    <m:t xml:space="preserve">,</m:t>
                  </m:r>
                  <m:r>
                    <m:t xml:space="preserve">i</m:t>
                  </m:r>
                </m:sub>
                <m:sup>
                  <m:r>
                    <m:t xml:space="preserve">{</m:t>
                  </m:r>
                  <m:r>
                    <m:t xml:space="preserve">clean</m:t>
                  </m:r>
                  <m:r>
                    <m:t xml:space="preserve">}</m:t>
                  </m:r>
                </m:sup>
              </m:sSubSup>
              <m:r>
                <m:t xml:space="preserve">Δ</m:t>
              </m:r>
              <m:r>
                <m:t xml:space="preserve"> </m:t>
              </m:r>
              <m:sSub>
                <m:e>
                  <m:r>
                    <m:t xml:space="preserve">v</m:t>
                  </m:r>
                </m:e>
                <m:sub>
                  <m:r>
                    <m:t xml:space="preserve">h</m:t>
                  </m:r>
                  <m:r>
                    <m:t xml:space="preserve">,</m:t>
                  </m:r>
                  <m:r>
                    <m:t xml:space="preserve">i</m:t>
                  </m:r>
                </m:sub>
              </m:sSub>
              <m:r>
                <m:t xml:space="preserve">∈</m:t>
              </m:r>
              <m:sSup>
                <m:e>
                  <m:r>
                    <m:t xml:space="preserve">R</m:t>
                  </m:r>
                </m:e>
                <m:sup>
                  <m:sSub>
                    <m:e>
                      <m:r>
                        <m:t xml:space="preserve">d</m:t>
                      </m:r>
                    </m:e>
                    <m:sub>
                      <m:r>
                        <m:t xml:space="preserve">h</m:t>
                      </m:r>
                    </m:sub>
                  </m:sSub>
                </m:sup>
              </m:s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(3)</w:t>
            </w:r>
          </w:p>
        </w:tc>
      </w:tr>
    </w:tbl>
    <w:p>
      <w:pPr>
        <w:spacing w:after="100" w:line="259" w:lineRule="auto"/>
      </w:pPr>
      <w:r>
        <w:rPr>
          <w:rFonts w:ascii="Times New Roman" w:hAnsi="Times New Roman"/>
          <w:i w:val="0"/>
          <w:color w:val="202A32"/>
          <w:sz w:val="20"/>
        </w:rPr>
        <w:t xml:space="preserve">Here </w:t>
      </w:r>
      <m:oMath>
        <m:r>
          <m:t xml:space="preserve">Δ</m:t>
        </m:r>
        <m:r>
          <m:t xml:space="preserve"> </m:t>
        </m:r>
        <m:sSub>
          <m:e>
            <m:r>
              <m:t xml:space="preserve">v</m:t>
            </m:r>
          </m:e>
          <m:sub>
            <m:r>
              <m:t xml:space="preserve">h</m:t>
            </m:r>
            <m:r>
              <m:t xml:space="preserve">,</m:t>
            </m:r>
            <m:r>
              <m:t xml:space="preserve">i</m:t>
            </m:r>
          </m:sub>
        </m:sSub>
      </m:oMath>
      <w:r>
        <w:rPr>
          <w:rFonts w:ascii="Times New Roman" w:hAnsi="Times New Roman"/>
          <w:i w:val="0"/>
          <w:color w:val="202A32"/>
          <w:sz w:val="20"/>
        </w:rPr>
        <w:t xml:space="preserve"> is the measured change in the post-normalization Value projection for patch </w:t>
      </w:r>
      <m:oMath>
        <m:r>
          <m:t xml:space="preserve">i</m:t>
        </m:r>
      </m:oMath>
      <w:r>
        <w:rPr>
          <w:rFonts w:ascii="Times New Roman" w:hAnsi="Times New Roman"/>
          <w:i w:val="0"/>
          <w:color w:val="202A32"/>
          <w:sz w:val="20"/>
        </w:rPr>
        <w:t xml:space="preserve">. </w:t>
      </w:r>
      <m:oMath>
        <m:sSub>
          <m:e>
            <m:r>
              <m:t xml:space="preserve">Γ</m:t>
            </m:r>
          </m:e>
          <m:sub>
            <m:r>
              <m:t xml:space="preserve">h</m:t>
            </m:r>
          </m:sub>
        </m:sSub>
        <m:r>
          <m:t xml:space="preserve">(</m:t>
        </m:r>
        <m:r>
          <m:t xml:space="preserve">a</m:t>
        </m:r>
        <m:r>
          <m:t xml:space="preserve">)</m:t>
        </m:r>
      </m:oMath>
      <w:r>
        <w:rPr>
          <w:rFonts w:ascii="Times New Roman" w:hAnsi="Times New Roman"/>
          <w:i w:val="0"/>
          <w:color w:val="202A32"/>
          <w:sz w:val="20"/>
        </w:rP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pPr>
        <w:pStyle w:val="Heading2"/>
        <w:keepNext/>
      </w:pPr>
      <w:r>
        <w:rPr>
          <w:rFonts w:ascii="Times New Roman" w:hAnsi="Times New Roman"/>
          <w:b/>
          <w:color w:val="000000"/>
          <w:sz w:val="23"/>
        </w:rPr>
        <w:t>5.3 End-to-End Functional Transmission</w:t>
      </w:r>
    </w:p>
    <w:p>
      <w:pPr>
        <w:spacing w:after="100" w:line="259" w:lineRule="auto"/>
      </w:pPr>
      <w:r>
        <w:rPr>
          <w:rFonts w:ascii="Times New Roman" w:hAnsi="Times New Roman"/>
          <w:b/>
          <w:color w:val="202A32"/>
          <w:sz w:val="20"/>
        </w:rPr>
        <w:t>Joint token–feature perturbation.</w:t>
      </w:r>
      <w:r>
        <w:rPr>
          <w:rFonts w:ascii="Times New Roman" w:hAnsi="Times New Roman"/>
          <w:i w:val="0"/>
          <w:color w:val="202A32"/>
          <w:sz w:val="20"/>
        </w:rPr>
        <w:t xml:space="preserve"> The effect of a patch-stream intervention depends on both its feature direction and how that direction is distributed across token positions. We represent the joint-stream probe at layer </w:t>
      </w:r>
      <m:oMath>
        <m:r>
          <m:t xml:space="preserve">ℓ</m:t>
        </m:r>
      </m:oMath>
      <w:r>
        <w:rPr>
          <w:rFonts w:ascii="Times New Roman" w:hAnsi="Times New Roman"/>
          <w:i w:val="0"/>
          <w:color w:val="202A32"/>
          <w:sz w:val="20"/>
        </w:rPr>
        <w:t xml:space="preserve"> as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ΔP</m:t>
                  </m:r>
                </m:e>
                <m:sub>
                  <m:r>
                    <m:t xml:space="preserve">l</m:t>
                  </m:r>
                </m:sub>
              </m:sSub>
              <m:r>
                <m:t xml:space="preserve">=</m:t>
              </m:r>
              <m:sSup>
                <m:e>
                  <m:r>
                    <m:t xml:space="preserve">αav</m:t>
                  </m:r>
                </m:e>
                <m:sup>
                  <m:r>
                    <m:t xml:space="preserve">T</m:t>
                  </m:r>
                </m:sup>
              </m:sSup>
              <m:r>
                <m:t xml:space="preserve">,</m:t>
              </m:r>
              <m:r>
                <m:t xml:space="preserve"> </m:t>
              </m:r>
              <m:r>
                <m:t xml:space="preserve">a</m:t>
              </m:r>
              <m:r>
                <m:t xml:space="preserve">∈</m:t>
              </m:r>
              <m:sSup>
                <m:e>
                  <m:r>
                    <m:t xml:space="preserve">R</m:t>
                  </m:r>
                </m:e>
                <m:sup>
                  <m:sSub>
                    <m:e>
                      <m:r>
                        <m:t xml:space="preserve">n</m:t>
                      </m:r>
                    </m:e>
                    <m:sub>
                      <m:r>
                        <m:t xml:space="preserve">p</m:t>
                      </m:r>
                    </m:sub>
                  </m:sSub>
                </m:sup>
              </m:sSup>
              <m:r>
                <m:t xml:space="preserve">,</m:t>
              </m:r>
              <m:r>
                <m:t xml:space="preserve"> </m:t>
              </m:r>
              <m:r>
                <m:t xml:space="preserve">v</m:t>
              </m:r>
              <m:r>
                <m:t xml:space="preserve">∈</m:t>
              </m:r>
              <m:sSup>
                <m:e>
                  <m:r>
                    <m:t xml:space="preserve">R</m:t>
                  </m:r>
                </m:e>
                <m:sup>
                  <m:r>
                    <m:t xml:space="preserve">D</m:t>
                  </m:r>
                </m:sup>
              </m:sSup>
              <m:r>
                <m:t xml:space="preserve">,</m:t>
              </m:r>
              <m:r>
                <m:t xml:space="preserve"> </m:t>
              </m:r>
              <m:r>
                <m:t xml:space="preserve">‖</m:t>
              </m:r>
              <m:r>
                <m:t xml:space="preserve">a</m:t>
              </m:r>
              <m:sSub>
                <m:e>
                  <m:r>
                    <m:t xml:space="preserve">‖</m:t>
                  </m:r>
                </m:e>
                <m:sub>
                  <m:r>
                    <m:t xml:space="preserve">2</m:t>
                  </m:r>
                </m:sub>
              </m:sSub>
              <m:r>
                <m:t xml:space="preserve">=</m:t>
              </m:r>
              <m:r>
                <m:t xml:space="preserve">‖</m:t>
              </m:r>
              <m:r>
                <m:t xml:space="preserve">v</m:t>
              </m:r>
              <m:sSub>
                <m:e>
                  <m:r>
                    <m:t xml:space="preserve">‖</m:t>
                  </m:r>
                </m:e>
                <m:sub>
                  <m:r>
                    <m:t xml:space="preserve">2</m:t>
                  </m:r>
                </m:sub>
              </m:sSub>
              <m:r>
                <m:t xml:space="preserve">=</m:t>
              </m:r>
              <m:r>
                <m:t xml:space="preserve">1</m:t>
              </m:r>
              <m:r>
                <m:t xml:space="preserve">,</m:t>
              </m:r>
              <m:r>
                <m:t xml:space="preserve"> </m:t>
              </m:r>
              <m:r>
                <m:t xml:space="preserve">α</m:t>
              </m:r>
              <m:r>
                <m:t xml:space="preserve">=</m:t>
              </m:r>
              <m:sSub>
                <m:e>
                  <m:r>
                    <m:t xml:space="preserve">sσ</m:t>
                  </m:r>
                </m:e>
                <m:sub>
                  <m:r>
                    <m:t xml:space="preserve">l</m:t>
                  </m:r>
                </m:sub>
              </m:sSub>
              <m:r>
                <m:t xml:space="preserve">≥</m:t>
              </m:r>
              <m:r>
                <m:t xml:space="preserve">0</m:t>
              </m:r>
              <m:r>
                <m:t xml:space="preserve">,</m:t>
              </m:r>
            </m:oMath>
          </w:p>
          <w:p>
            <w:pPr>
              <w:keepLines/>
              <w:spacing w:before="0" w:after="0" w:line="240" w:lineRule="auto"/>
              <w:jc w:val="center"/>
            </w:pPr>
            <m:oMath>
              <m:r>
                <m:t xml:space="preserve">‖</m:t>
              </m:r>
              <m:sSub>
                <m:e>
                  <m:r>
                    <m:t xml:space="preserve">ΔP</m:t>
                  </m:r>
                </m:e>
                <m:sub>
                  <m:r>
                    <m:t xml:space="preserve">l</m:t>
                  </m:r>
                </m:sub>
              </m:sSub>
              <m:sSub>
                <m:e>
                  <m:r>
                    <m:t xml:space="preserve">‖</m:t>
                  </m:r>
                </m:e>
                <m:sub>
                  <m:r>
                    <m:t xml:space="preserve">F</m:t>
                  </m:r>
                </m:sub>
              </m:sSub>
              <m:r>
                <m:t xml:space="preserve">=</m:t>
              </m:r>
              <m:r>
                <m:t xml:space="preserve">α</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(4)</w:t>
            </w:r>
          </w:p>
        </w:tc>
      </w:tr>
    </w:tbl>
    <w:p>
      <w:pPr>
        <w:spacing w:after="100" w:line="259" w:lineRule="auto"/>
      </w:pPr>
      <w:r>
        <w:rPr>
          <w:rFonts w:ascii="Times New Roman" w:hAnsi="Times New Roman"/>
          <w:i w:val="0"/>
          <w:color w:val="202A32"/>
          <w:sz w:val="20"/>
        </w:rPr>
        <w:t xml:space="preserve">Here </w:t>
      </w:r>
      <m:oMath>
        <m:r>
          <m:t xml:space="preserve">a</m:t>
        </m:r>
      </m:oMath>
      <w:r>
        <w:rPr>
          <w:rFonts w:ascii="Times New Roman" w:hAnsi="Times New Roman"/>
          <w:i w:val="0"/>
          <w:color w:val="202A32"/>
          <w:sz w:val="20"/>
        </w:rPr>
        <w:t xml:space="preserve"> encodes the token-position pattern, </w:t>
      </w:r>
      <m:oMath>
        <m:r>
          <m:t xml:space="preserve">v</m:t>
        </m:r>
      </m:oMath>
      <w:r>
        <w:rPr>
          <w:rFonts w:ascii="Times New Roman" w:hAnsi="Times New Roman"/>
          <w:i w:val="0"/>
          <w:color w:val="202A32"/>
          <w:sz w:val="20"/>
        </w:rPr>
        <w:t xml:space="preserve"> the feature-space direction, and </w:t>
      </w:r>
      <m:oMath>
        <m:r>
          <m:t xml:space="preserve">s</m:t>
        </m:r>
      </m:oMath>
      <w:r>
        <w:rPr>
          <w:rFonts w:ascii="Times New Roman" w:hAnsi="Times New Roman"/>
          <w:i w:val="0"/>
          <w:color w:val="202A32"/>
          <w:sz w:val="20"/>
        </w:rPr>
        <w:t xml:space="preserve"> is a dimensionless scale. In this joint-stream protocol, </w:t>
      </w:r>
      <m:oMath>
        <m:sSub>
          <m:e>
            <m:r>
              <m:t xml:space="preserve">σ</m:t>
            </m:r>
          </m:e>
          <m:sub>
            <m:r>
              <m:t xml:space="preserve">l</m:t>
            </m:r>
          </m:sub>
        </m:sSub>
      </m:oMath>
      <w:r>
        <w:rPr>
          <w:rFonts w:ascii="Times New Roman" w:hAnsi="Times New Roman"/>
          <w:i w:val="0"/>
          <w:color w:val="202A32"/>
          <w:sz w:val="20"/>
        </w:rPr>
        <w:t xml:space="preserve"> is the square root of the trace of </w:t>
      </w:r>
      <m:oMath>
        <m:sSub>
          <m:e>
            <m:r>
              <m:t xml:space="preserve">Σ</m:t>
            </m:r>
          </m:e>
          <m:sub>
            <m:r>
              <m:t xml:space="preserve">l</m:t>
            </m:r>
          </m:sub>
        </m:sSub>
      </m:oMath>
      <w:r>
        <w:rPr>
          <w:rFonts w:ascii="Times New Roman" w:hAnsi="Times New Roman"/>
          <w:i w:val="0"/>
          <w:color w:val="202A32"/>
          <w:sz w:val="20"/>
        </w:rPr>
        <w:t xml:space="preserve">, where </w:t>
      </w:r>
      <m:oMath>
        <m:sSub>
          <m:e>
            <m:r>
              <m:t xml:space="preserve">Σ</m:t>
            </m:r>
          </m:e>
          <m:sub>
            <m:r>
              <m:t xml:space="preserve">l</m:t>
            </m:r>
          </m:sub>
        </m:sSub>
      </m:oMath>
      <w:r>
        <w:rPr>
          <w:rFonts w:ascii="Times New Roman" w:hAnsi="Times New Roman"/>
          <w:i w:val="0"/>
          <w:color w:val="202A32"/>
          <w:sz w:val="20"/>
        </w:rPr>
        <w:t xml:space="preserve"> is the sample covariance of all patch activations pooled across calibration images and spatial positions and centered by their pooled feature mean (with denominator </w:t>
      </w:r>
      <m:oMath>
        <m:sSub>
          <m:e>
            <m:r>
              <m:t xml:space="preserve">N</m:t>
            </m:r>
          </m:e>
          <m:sub>
            <m:r>
              <m:t xml:space="preserve">{</m:t>
            </m:r>
            <m:r>
              <m:t xml:space="preserve">img</m:t>
            </m:r>
            <m:r>
              <m:t xml:space="preserve">}</m:t>
            </m:r>
          </m:sub>
        </m:sSub>
        <m:sSub>
          <m:e>
            <m:r>
              <m:t xml:space="preserve">n</m:t>
            </m:r>
          </m:e>
          <m:sub>
            <m:r>
              <m:t xml:space="preserve">p</m:t>
            </m:r>
          </m:sub>
        </m:sSub>
        <m:r>
          <m:t xml:space="preserve">-</m:t>
        </m:r>
        <m:r>
          <m:t xml:space="preserve">1</m:t>
        </m:r>
      </m:oMath>
      <w:r>
        <w:rPr>
          <w:rFonts w:ascii="Times New Roman" w:hAnsi="Times New Roman"/>
          <w:i w:val="0"/>
          <w:color w:val="202A32"/>
          <w:sz w:val="20"/>
        </w:rPr>
        <w:t xml:space="preserve">). Thus </w:t>
      </w:r>
      <m:oMath>
        <m:sSub>
          <m:e>
            <m:r>
              <m:t xml:space="preserve">sigma</m:t>
            </m:r>
          </m:e>
          <m:sub>
            <m:r>
              <m:t xml:space="preserve">ℓ</m:t>
            </m:r>
          </m:sub>
        </m:sSub>
      </m:oMath>
      <w:r>
        <w:rPr>
          <w:rFonts w:ascii="Times New Roman" w:hAnsi="Times New Roman"/>
          <w:i w:val="0"/>
          <w:color w:val="202A32"/>
          <w:sz w:val="20"/>
        </w:rPr>
        <w:t xml:space="preserve"> is the square root of the summed feature variances, and </w:t>
      </w:r>
      <m:oMath>
        <m:r>
          <m:t xml:space="preserve">α</m:t>
        </m:r>
      </m:oMath>
      <w:r>
        <w:rPr>
          <w:rFonts w:ascii="Times New Roman" w:hAnsi="Times New Roman"/>
          <w:i w:val="0"/>
          <w:color w:val="202A32"/>
          <w:sz w:val="20"/>
        </w:rPr>
        <w:t xml:space="preserve"> is the Frobenius norm of the injected perturbation. This scale is specific to the joint-stream experiment.</w:t>
      </w:r>
    </w:p>
    <w:p>
      <w:pPr>
        <w:spacing w:after="100" w:line="259" w:lineRule="auto"/>
      </w:pPr>
      <w:r>
        <w:rPr>
          <w:rFonts w:ascii="Times New Roman" w:hAnsi="Times New Roman"/>
          <w:i w:val="0"/>
          <w:color w:val="202A32"/>
          <w:sz w:val="20"/>
        </w:rPr>
        <w:t>In the tested joint-stream conditions, changing either factor changes downstream damage: sensitive feature directions produce larger changes mainly under coherent token patterns, while near-null directions are comparatively tolerated. The depth grid covers DeiT-Small and ViT-B/16 AugReg; DeiT-Tiny and DINOv2 provide Block-8 replications. The direction-by-pattern regression is saturated, with no residual degrees of freedom (</w:t>
      </w:r>
      <m:oMath>
        <m:sSup>
          <m:e>
            <m:r>
              <m:t xml:space="preserve">R</m:t>
            </m:r>
          </m:e>
          <m:sup>
            <m:r>
              <m:t xml:space="preserve">2</m:t>
            </m:r>
          </m:sup>
        </m:sSup>
        <m:r>
          <m:t xml:space="preserve">=</m:t>
        </m:r>
        <m:r>
          <m:t xml:space="preserve">1</m:t>
        </m:r>
      </m:oMath>
      <w:r>
        <w:rPr>
          <w:rFonts w:ascii="Times New Roman" w:hAnsi="Times New Roman"/>
          <w:i w:val="0"/>
          <w:color w:val="202A32"/>
          <w:sz w:val="20"/>
        </w:rPr>
        <w:t xml:space="preserve">, </w:t>
      </w:r>
      <m:oMath>
        <m:r>
          <m:t xml:space="preserve">F</m:t>
        </m:r>
        <m:r>
          <m:t xml:space="preserve">=</m:t>
        </m:r>
        <m:r>
          <m:t xml:space="preserve">0</m:t>
        </m:r>
      </m:oMath>
      <w:r>
        <w:rPr>
          <w:rFonts w:ascii="Times New Roman" w:hAnsi="Times New Roman"/>
          <w:i w:val="0"/>
          <w:color w:val="202A32"/>
          <w:sz w:val="20"/>
        </w:rPr>
        <w:t xml:space="preserve">, </w:t>
      </w:r>
      <m:oMath>
        <m:r>
          <m:t xml:space="preserve">p</m:t>
        </m:r>
        <m:r>
          <m:t xml:space="preserve">=</m:t>
        </m:r>
        <m:r>
          <m:t xml:space="preserve">1</m:t>
        </m:r>
      </m:oMath>
      <w:r>
        <w:rPr>
          <w:rFonts w:ascii="Times New Roman" w:hAnsi="Times New Roman"/>
          <w:i w:val="0"/>
          <w:color w:val="202A32"/>
          <w:sz w:val="20"/>
        </w:rPr>
        <w:t xml:space="preserve">); these condition orderings are descriptive rather than an inferential test of interaction. The feature metric used to select directions is the joint-stream audit’s per-image mean patch-margin-gradient metric, distinct from both </w:t>
      </w:r>
      <m:oMath>
        <m:sSub>
          <m:e>
            <m:r>
              <m:t xml:space="preserve">M</m:t>
            </m:r>
          </m:e>
          <m:sub>
            <m:r>
              <m:t xml:space="preserve">ℓ</m:t>
            </m:r>
          </m:sub>
        </m:sSub>
      </m:oMath>
      <w:r>
        <w:rPr>
          <w:rFonts w:ascii="Times New Roman" w:hAnsi="Times New Roman"/>
          <w:i w:val="0"/>
          <w:color w:val="202A32"/>
          <w:sz w:val="20"/>
        </w:rPr>
        <w:t xml:space="preserve"> in Section 5.1 and the downstream readout Jacobian below.</w:t>
      </w:r>
    </w:p>
    <w:p>
      <w:pPr>
        <w:spacing w:after="100" w:line="259" w:lineRule="auto"/>
      </w:pPr>
      <w:r>
        <w:rPr>
          <w:rFonts w:ascii="Times New Roman" w:hAnsi="Times New Roman"/>
          <w:b/>
          <w:color w:val="202A32"/>
          <w:sz w:val="20"/>
        </w:rPr>
        <w:t>End-to-end transmission operator.</w:t>
      </w:r>
      <w:r>
        <w:rPr>
          <w:rFonts w:ascii="Times New Roman" w:hAnsi="Times New Roman"/>
          <w:i w:val="0"/>
          <w:color w:val="202A32"/>
          <w:sz w:val="20"/>
        </w:rPr>
        <w:t xml:space="preserve"> To describe propagation through the remaining blocks, let </w:t>
      </w:r>
      <m:oMath>
        <m:r>
          <m:t xml:space="preserve">u</m:t>
        </m:r>
      </m:oMath>
      <w:r>
        <w:rPr>
          <w:rFonts w:ascii="Times New Roman" w:hAnsi="Times New Roman"/>
          <w:i w:val="0"/>
          <w:color w:val="202A32"/>
          <w:sz w:val="20"/>
        </w:rPr>
        <w:t xml:space="preserve"> denote the pre-classifier readout vector. We define the clean-state Jacobian from all spatial patch activations at layer </w:t>
      </w:r>
      <m:oMath>
        <m:r>
          <m:t xml:space="preserve">ℓ</m:t>
        </m:r>
      </m:oMath>
      <w:r>
        <w:rPr>
          <w:rFonts w:ascii="Times New Roman" w:hAnsi="Times New Roman"/>
          <w:i w:val="0"/>
          <w:color w:val="202A32"/>
          <w:sz w:val="20"/>
        </w:rPr>
        <w:t xml:space="preserve"> to </w:t>
      </w:r>
      <m:oMath>
        <m:r>
          <m:t xml:space="preserve">u</m:t>
        </m:r>
      </m:oMath>
      <w:r>
        <w:rPr>
          <w:rFonts w:ascii="Times New Roman" w:hAnsi="Times New Roman"/>
          <w:i w:val="0"/>
          <w:color w:val="202A32"/>
          <w:sz w:val="20"/>
        </w:rPr>
        <w:t xml:space="preserve"> by</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J</m:t>
                  </m:r>
                </m:e>
                <m:sub>
                  <m:r>
                    <m:t xml:space="preserve">l</m:t>
                  </m:r>
                  <m:r>
                    <m:t xml:space="preserve">→</m:t>
                  </m:r>
                  <m:r>
                    <m:t xml:space="preserve">L</m:t>
                  </m:r>
                </m:sub>
              </m:sSub>
              <m:r>
                <m:t xml:space="preserve">=</m:t>
              </m:r>
              <m:r>
                <m:t xml:space="preserve">∂</m:t>
              </m:r>
              <m:r>
                <m:t xml:space="preserve">u</m:t>
              </m:r>
              <m:r>
                <m:t xml:space="preserve">/</m:t>
              </m:r>
              <m:r>
                <m:t xml:space="preserve">∂</m:t>
              </m:r>
              <m:r>
                <m:t xml:space="preserve">rvec</m:t>
              </m:r>
              <m:r>
                <m:t xml:space="preserve">(</m:t>
              </m:r>
              <m:sSub>
                <m:e>
                  <m:r>
                    <m:t xml:space="preserve">P</m:t>
                  </m:r>
                </m:e>
                <m:sub>
                  <m:r>
                    <m:t xml:space="preserve">l</m:t>
                  </m:r>
                </m:sub>
              </m:sSub>
              <m:r>
                <m:t xml:space="preserve">)</m:t>
              </m:r>
              <m:r>
                <m:t xml:space="preserve">∈</m:t>
              </m:r>
              <m:sSup>
                <m:e>
                  <m:r>
                    <m:t xml:space="preserve">R</m:t>
                  </m:r>
                </m:e>
                <m:sup>
                  <m:sSub>
                    <m:e>
                      <m:r>
                        <m:t xml:space="preserve">d</m:t>
                      </m:r>
                    </m:e>
                    <m:sub>
                      <m:r>
                        <m:t xml:space="preserve">u</m:t>
                      </m:r>
                    </m:sub>
                  </m:sSub>
                  <m:r>
                    <m:t xml:space="preserve">×</m:t>
                  </m:r>
                  <m:sSub>
                    <m:e>
                      <m:r>
                        <m:t xml:space="preserve">n</m:t>
                      </m:r>
                    </m:e>
                    <m:sub>
                      <m:r>
                        <m:t xml:space="preserve">p</m:t>
                      </m:r>
                    </m:sub>
                  </m:sSub>
                  <m:r>
                    <m:t xml:space="preserve"> </m:t>
                  </m:r>
                  <m:r>
                    <m:t xml:space="preserve">D</m:t>
                  </m:r>
                </m:sup>
              </m:sSup>
              <m:r>
                <m:t xml:space="preserve">,</m:t>
              </m:r>
              <m:r>
                <m:t xml:space="preserve"> </m:t>
              </m:r>
              <m:r>
                <m:t xml:space="preserve">Δu</m:t>
              </m:r>
              <m:r>
                <m:t xml:space="preserve">≈</m:t>
              </m:r>
              <m:sSub>
                <m:e>
                  <m:r>
                    <m:t xml:space="preserve">J</m:t>
                  </m:r>
                </m:e>
                <m:sub>
                  <m:r>
                    <m:t xml:space="preserve">l</m:t>
                  </m:r>
                  <m:r>
                    <m:t xml:space="preserve">→</m:t>
                  </m:r>
                  <m:r>
                    <m:t xml:space="preserve">L</m:t>
                  </m:r>
                </m:sub>
              </m:sSub>
              <m:r>
                <m:t xml:space="preserve"> </m:t>
              </m:r>
              <m:r>
                <m:t xml:space="preserve">rvec</m:t>
              </m:r>
              <m:r>
                <m:t xml:space="preserve">(</m:t>
              </m:r>
              <m:sSub>
                <m:e>
                  <m:r>
                    <m:t xml:space="preserve">ΔP</m:t>
                  </m:r>
                </m:e>
                <m:sub>
                  <m:r>
                    <m:t xml:space="preserve">l</m:t>
                  </m:r>
                </m:sub>
              </m:sSub>
              <m:r>
                <m:t xml:space="preserve">)</m:t>
              </m:r>
              <m:r>
                <m:t xml:space="preserve">,</m:t>
              </m:r>
            </m:oMath>
          </w:p>
          <w:p>
            <w:pPr>
              <w:keepLines/>
              <w:spacing w:before="0" w:after="0" w:line="240" w:lineRule="auto"/>
              <w:jc w:val="center"/>
            </w:pPr>
            <m:oMath>
              <m:r>
                <m:t xml:space="preserve">rvec</m:t>
              </m:r>
              <m:r>
                <m:t xml:space="preserve">(</m:t>
              </m:r>
              <m:r>
                <m:t xml:space="preserve">X</m:t>
              </m:r>
              <m:r>
                <m:t xml:space="preserve">)</m:t>
              </m:r>
              <m:r>
                <m:t xml:space="preserve">=</m:t>
              </m:r>
              <m:r>
                <m:t xml:space="preserve">vec</m:t>
              </m:r>
              <m:r>
                <m:t xml:space="preserve">(</m:t>
              </m:r>
              <m:sSup>
                <m:e>
                  <m:r>
                    <m:t xml:space="preserve">X</m:t>
                  </m:r>
                </m:e>
                <m:sup>
                  <m:r>
                    <m:t xml:space="preserve">T</m:t>
                  </m:r>
                </m:sup>
              </m:sSup>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(5)</w:t>
            </w:r>
          </w:p>
        </w:tc>
      </w:tr>
    </w:tbl>
    <w:p>
      <w:pPr>
        <w:spacing w:after="100" w:line="259" w:lineRule="auto"/>
      </w:pPr>
      <w:r>
        <w:rPr>
          <w:rFonts w:ascii="Times New Roman" w:hAnsi="Times New Roman"/>
          <w:i w:val="0"/>
          <w:color w:val="202A32"/>
          <w:sz w:val="20"/>
        </w:rPr>
        <w:t xml:space="preserve">For an </w:t>
      </w:r>
      <m:oMath>
        <m:sSub>
          <m:e>
            <m:r>
              <m:t xml:space="preserve">n</m:t>
            </m:r>
          </m:e>
          <m:sub>
            <m:r>
              <m:t xml:space="preserve">p</m:t>
            </m:r>
          </m:sub>
        </m:sSub>
        <m:r>
          <m:t xml:space="preserve">×</m:t>
        </m:r>
        <m:r>
          <m:t xml:space="preserve"> </m:t>
        </m:r>
        <m:r>
          <m:t xml:space="preserve">D</m:t>
        </m:r>
      </m:oMath>
      <w:r>
        <w:rPr>
          <w:rFonts w:ascii="Times New Roman" w:hAnsi="Times New Roman"/>
          <w:i w:val="0"/>
          <w:color w:val="202A32"/>
          <w:sz w:val="20"/>
        </w:rPr>
        <w:t xml:space="preserve"> patch matrix, </w:t>
      </w:r>
      <m:oMath>
        <m:r>
          <m:t xml:space="preserve">{</m:t>
        </m:r>
        <m:r>
          <m:t xml:space="preserve">rvec</m:t>
        </m:r>
        <m:r>
          <m:t xml:space="preserve">}</m:t>
        </m:r>
      </m:oMath>
      <w:r>
        <w:rPr>
          <w:rFonts w:ascii="Times New Roman" w:hAnsi="Times New Roman"/>
          <w:i w:val="0"/>
          <w:color w:val="202A32"/>
          <w:sz w:val="20"/>
        </w:rPr>
        <w:t xml:space="preserve"> uses row-major order.  For DeiT-Tiny, DeiT-Small, and ViT-B/16 AugReg, </w:t>
      </w:r>
      <m:oMath>
        <m:r>
          <m:t xml:space="preserve">u</m:t>
        </m:r>
      </m:oMath>
      <w:r>
        <w:rPr>
          <w:rFonts w:ascii="Times New Roman" w:hAnsi="Times New Roman"/>
          <w:i w:val="0"/>
          <w:color w:val="202A32"/>
          <w:sz w:val="20"/>
        </w:rPr>
        <w:t xml:space="preserve"> is the normalized CLS readout and </w:t>
      </w:r>
      <m:oMath>
        <m:sSub>
          <m:e>
            <m:r>
              <m:t xml:space="preserve">d</m:t>
            </m:r>
          </m:e>
          <m:sub>
            <m:r>
              <m:t xml:space="preserve">u</m:t>
            </m:r>
          </m:sub>
        </m:sSub>
        <m:r>
          <m:t xml:space="preserve">=</m:t>
        </m:r>
        <m:r>
          <m:t xml:space="preserve">D</m:t>
        </m:r>
      </m:oMath>
      <w:r>
        <w:rPr>
          <w:rFonts w:ascii="Times New Roman" w:hAnsi="Times New Roman"/>
          <w:i w:val="0"/>
          <w:color w:val="202A32"/>
          <w:sz w:val="20"/>
        </w:rPr>
        <w:t xml:space="preserve">; for DINOv2, </w:t>
      </w:r>
      <m:oMath>
        <m:r>
          <m:t xml:space="preserve">u</m:t>
        </m:r>
      </m:oMath>
      <w:r>
        <w:rPr>
          <w:rFonts w:ascii="Times New Roman" w:hAnsi="Times New Roman"/>
          <w:i w:val="0"/>
          <w:color w:val="202A32"/>
          <w:sz w:val="20"/>
        </w:rPr>
        <w:t xml:space="preserve"> concatenates normalized CLS and mean normalized patch features, so </w:t>
      </w:r>
      <m:oMath>
        <m:sSub>
          <m:e>
            <m:r>
              <m:t xml:space="preserve">d</m:t>
            </m:r>
          </m:e>
          <m:sub>
            <m:r>
              <m:t xml:space="preserve">u</m:t>
            </m:r>
          </m:sub>
        </m:sSub>
        <m:r>
          <m:t xml:space="preserve">=</m:t>
        </m:r>
        <m:r>
          <m:t xml:space="preserve">2D</m:t>
        </m:r>
      </m:oMath>
      <w:r>
        <w:rPr>
          <w:rFonts w:ascii="Times New Roman" w:hAnsi="Times New Roman"/>
          <w:i w:val="0"/>
          <w:color w:val="202A32"/>
          <w:sz w:val="20"/>
        </w:rP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e>
            <m:r>
              <m:t xml:space="preserve">M</m:t>
            </m:r>
          </m:e>
          <m:sub>
            <m:r>
              <m:t xml:space="preserve">ℓ</m:t>
            </m:r>
          </m:sub>
        </m:sSub>
      </m:oMath>
      <w:r>
        <w:rPr>
          <w:rFonts w:ascii="Times New Roman" w:hAnsi="Times New Roman"/>
          <w:i w:val="0"/>
          <w:color w:val="202A32"/>
          <w:sz w:val="20"/>
        </w:rPr>
        <w:t xml:space="preserve">,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maps perturbations across all patch positions to a downstream readout.</w:t>
      </w:r>
    </w:p>
    <w:p>
      <w:pPr>
        <w:spacing w:after="100" w:line="259" w:lineRule="auto"/>
      </w:pPr>
      <w:r>
        <w:rPr>
          <w:rFonts w:ascii="Times New Roman" w:hAnsi="Times New Roman"/>
          <w:b/>
          <w:color w:val="202A32"/>
          <w:sz w:val="20"/>
        </w:rPr>
        <w:t>Predictive validation.</w:t>
      </w:r>
      <w:r>
        <w:rPr>
          <w:rFonts w:ascii="Times New Roman" w:hAnsi="Times New Roman"/>
          <w:i w:val="0"/>
          <w:color w:val="202A32"/>
          <w:sz w:val="20"/>
        </w:rP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e>
            <m:r>
              <m:t xml:space="preserve">A</m:t>
            </m:r>
          </m:e>
          <m:sub>
            <m:r>
              <m:t xml:space="preserve">8</m:t>
            </m:r>
          </m:sub>
        </m:sSub>
      </m:oMath>
      <w:r>
        <w:rPr>
          <w:rFonts w:ascii="Times New Roman" w:hAnsi="Times New Roman"/>
          <w:i w:val="0"/>
          <w:color w:val="202A32"/>
          <w:sz w:val="20"/>
        </w:rPr>
        <w:t xml:space="preserve"> is the clean-state, single-block attention/Value transmission map from the patch perturbation to the immediate readout, estimated over the reference images. We compare the measured final-logit </w:t>
      </w:r>
      <m:oMath>
        <m:sSub>
          <m:e>
            <m:r>
              <m:t xml:space="preserve">L</m:t>
            </m:r>
          </m:e>
          <m:sub>
            <m:r>
              <m:t xml:space="preserve">2</m:t>
            </m:r>
          </m:sub>
        </m:sSub>
      </m:oMath>
      <w:r>
        <w:rPr>
          <w:rFonts w:ascii="Times New Roman" w:hAnsi="Times New Roman"/>
          <w:i w:val="0"/>
          <w:color w:val="202A32"/>
          <w:sz w:val="20"/>
        </w:rPr>
        <w:t xml:space="preserve"> damage from the full downstream computation with predictions from </w:t>
      </w:r>
      <m:oMath>
        <m:sSub>
          <m:e>
            <m:r>
              <m:t xml:space="preserve">A</m:t>
            </m:r>
          </m:e>
          <m:sub>
            <m:r>
              <m:t xml:space="preserve">8</m:t>
            </m:r>
          </m:sub>
        </m:sSub>
      </m:oMath>
      <w:r>
        <w:rPr>
          <w:rFonts w:ascii="Times New Roman" w:hAnsi="Times New Roman"/>
          <w:i w:val="0"/>
          <w:color w:val="202A32"/>
          <w:sz w:val="20"/>
        </w:rPr>
        <w:t xml:space="preserve"> and end-to-end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(Figure 6(a,b)). Across models, Pearson correlations are 0.753–0.883 for </w:t>
      </w:r>
      <m:oMath>
        <m:sSub>
          <m:e>
            <m:r>
              <m:t xml:space="preserve">A</m:t>
            </m:r>
          </m:e>
          <m:sub>
            <m:r>
              <m:t xml:space="preserve">8</m:t>
            </m:r>
          </m:sub>
        </m:sSub>
      </m:oMath>
      <w:r>
        <w:rPr>
          <w:rFonts w:ascii="Times New Roman" w:hAnsi="Times New Roman"/>
          <w:i w:val="0"/>
          <w:color w:val="202A32"/>
          <w:sz w:val="20"/>
        </w:rPr>
        <w:t xml:space="preserve"> and 0.946–0.975 for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e>
            <m:r>
              <m:t xml:space="preserve">A</m:t>
            </m:r>
          </m:e>
          <m:sub>
            <m:r>
              <m:t xml:space="preserve">8</m:t>
            </m:r>
          </m:sub>
        </m:sSub>
      </m:oMath>
      <w:r>
        <w:rPr>
          <w:rFonts w:ascii="Times New Roman" w:hAnsi="Times New Roman"/>
          <w:i w:val="0"/>
          <w:color w:val="202A32"/>
          <w:sz w:val="20"/>
        </w:rPr>
        <w:t xml:space="preserve"> averages over the 20-image reference batch, whereas </w:t>
      </w:r>
      <m:oMath>
        <m:sSub>
          <m:e>
            <m:r>
              <m:t xml:space="preserve">J</m:t>
            </m:r>
          </m:e>
          <m:sub>
            <m:r>
              <m:t xml:space="preserve">8</m:t>
            </m:r>
            <m:r>
              <m:t xml:space="preserve">→</m:t>
            </m:r>
            <m:r>
              <m:t xml:space="preserve"> </m:t>
            </m:r>
            <m:r>
              <m:t xml:space="preserve">L</m:t>
            </m:r>
          </m:sub>
        </m:sSub>
      </m:oMath>
      <w:r>
        <w:rPr>
          <w:rFonts w:ascii="Times New Roman" w:hAnsi="Times New Roman"/>
          <w:i w:val="0"/>
          <w:color w:val="202A32"/>
          <w:sz w:val="20"/>
        </w:rPr>
        <w:t xml:space="preserve"> is linearized at its first image. The higher aggregate correlations therefore indicate stronger predictive association for this prescribed mixture, not general superiority over arbitrary perturbations or independent image batches.</w:t>
      </w:r>
    </w:p>
    <w:p>
      <w:pPr>
        <w:spacing w:after="100" w:line="259" w:lineRule="auto"/>
      </w:pPr>
      <w:r>
        <w:rPr>
          <w:rFonts w:ascii="Times New Roman" w:hAnsi="Times New Roman"/>
          <w:b/>
          <w:color w:val="202A32"/>
          <w:sz w:val="20"/>
        </w:rPr>
        <w:t>Directional transmission contrast.</w:t>
      </w:r>
      <w:r>
        <w:rPr>
          <w:rFonts w:ascii="Times New Roman" w:hAnsi="Times New Roman"/>
          <w:i w:val="0"/>
          <w:color w:val="202A32"/>
          <w:sz w:val="20"/>
        </w:rPr>
        <w:t xml:space="preserve"> A separate finite-radius comparison shows greater final-logit </w:t>
      </w:r>
      <m:oMath>
        <m:sSub>
          <m:e>
            <m:r>
              <m:t xml:space="preserve">L</m:t>
            </m:r>
          </m:e>
          <m:sub>
            <m:r>
              <m:t xml:space="preserve">2</m:t>
            </m:r>
          </m:sub>
        </m:sSub>
      </m:oMath>
      <w:r>
        <w:rPr>
          <w:rFonts w:ascii="Times New Roman" w:hAnsi="Times New Roman"/>
          <w:i w:val="0"/>
          <w:color w:val="202A32"/>
          <w:sz w:val="20"/>
        </w:rPr>
        <w:t xml:space="preserve"> damage for the multi-block top mode than for the multi-block near-null mode at </w:t>
      </w:r>
      <m:oMath>
        <m:r>
          <m:t xml:space="preserve">s</m:t>
        </m:r>
        <m:r>
          <m:t xml:space="preserve">=</m:t>
        </m:r>
        <m:r>
          <m:t xml:space="preserve">0</m:t>
        </m:r>
        <m:r>
          <m:t xml:space="preserve">.</m:t>
        </m:r>
        <m:r>
          <m:t xml:space="preserve">4</m:t>
        </m:r>
      </m:oMath>
      <w:r>
        <w:rPr>
          <w:rFonts w:ascii="Times New Roman" w:hAnsi="Times New Roman"/>
          <w:i w:val="0"/>
          <w:color w:val="202A32"/>
          <w:sz w:val="20"/>
        </w:rPr>
        <w:t>: the top-to-near-null damage ratios are 4.62 for DeiT-Tiny, 8.35 for DeiT-Small, 12.55 for ViT-B/16 AugReg, and 10.87 for DINOv2 (Figure 6(c)). These ratios compare two finite-radius outcomes and are distinct from the prediction correlations above. In the original DeiT-Small Block-8 analysis, the mean principal angle from Block 8 to Block 9 was 49.0°.</w:t>
      </w:r>
    </w:p>
    <w:p>
      <w:pPr>
        <w:keepNext/>
        <w:keepLines/>
        <w:spacing w:after="20"/>
        <w:jc w:val="center"/>
      </w:pPr>
      <w:r>
        <w:drawing>
          <wp:inline xmlns:a="http://schemas.openxmlformats.org/drawingml/2006/main" xmlns:pic="http://schemas.openxmlformats.org/drawingml/2006/picture">
            <wp:extent cx="6172200" cy="3124829"/>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3124829"/>
                    </a:xfrm>
                    <a:prstGeom prst="rect"/>
                  </pic:spPr>
                </pic:pic>
              </a:graphicData>
            </a:graphic>
          </wp:inline>
        </w:drawing>
      </w:r>
    </w:p>
    <w:p>
      <w:pPr>
        <w:keepLines/>
        <w:spacing w:after="80"/>
        <w:jc w:val="center"/>
      </w:pPr>
      <w:r>
        <w:rPr>
          <w:rFonts w:ascii="Times New Roman" w:hAnsi="Times New Roman"/>
          <w:i/>
          <w:color w:val="4C5963"/>
          <w:sz w:val="17"/>
        </w:rPr>
        <w:t xml:space="preserve">Figure 6. (a,b) Pearson and Spearman correlations of predicted and measured final-logit </w:t>
      </w:r>
      <m:oMath>
        <m:sSub>
          <m:e>
            <m:r>
              <m:t xml:space="preserve">L</m:t>
            </m:r>
          </m:e>
          <m:sub>
            <m:r>
              <m:t xml:space="preserve">2</m:t>
            </m:r>
          </m:sub>
        </m:sSub>
      </m:oMath>
      <w:r>
        <w:rPr>
          <w:rFonts w:ascii="Times New Roman" w:hAnsi="Times New Roman"/>
          <w:i/>
          <w:color w:val="4C5963"/>
          <w:sz w:val="17"/>
        </w:rPr>
        <w:t xml:space="preserve"> damage for single-block </w:t>
      </w:r>
      <m:oMath>
        <m:sSub>
          <m:e>
            <m:r>
              <m:t xml:space="preserve">A</m:t>
            </m:r>
          </m:e>
          <m:sub>
            <m:r>
              <m:t xml:space="preserve">8</m:t>
            </m:r>
          </m:sub>
        </m:sSub>
      </m:oMath>
      <w:r>
        <w:rPr>
          <w:rFonts w:ascii="Times New Roman" w:hAnsi="Times New Roman"/>
          <w:i/>
          <w:color w:val="4C5963"/>
          <w:sz w:val="17"/>
        </w:rPr>
        <w:t xml:space="preserve"> and end-to-end </w:t>
      </w:r>
      <m:oMath>
        <m:sSub>
          <m:e>
            <m:r>
              <m:t xml:space="preserve">J</m:t>
            </m:r>
          </m:e>
          <m:sub>
            <m:r>
              <m:t xml:space="preserve">8</m:t>
            </m:r>
            <m:r>
              <m:t xml:space="preserve">→</m:t>
            </m:r>
            <m:r>
              <m:t xml:space="preserve"> </m:t>
            </m:r>
            <m:r>
              <m:t xml:space="preserve">L</m:t>
            </m:r>
          </m:sub>
        </m:sSub>
      </m:oMath>
      <w:r>
        <w:rPr>
          <w:rFonts w:ascii="Times New Roman" w:hAnsi="Times New Roman"/>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e>
            <m:r>
              <m:t xml:space="preserve">A</m:t>
            </m:r>
          </m:e>
          <m:sub>
            <m:r>
              <m:t xml:space="preserve">8</m:t>
            </m:r>
          </m:sub>
        </m:sSub>
      </m:oMath>
      <w:r>
        <w:rPr>
          <w:rFonts w:ascii="Times New Roman" w:hAnsi="Times New Roman"/>
          <w:i/>
          <w:color w:val="4C5963"/>
          <w:sz w:val="17"/>
        </w:rPr>
        <w:t xml:space="preserve"> averages over the reference batch, whereas </w:t>
      </w:r>
      <m:oMath>
        <m:r>
          <m:t xml:space="preserve">J</m:t>
        </m:r>
      </m:oMath>
      <w:r>
        <w:rPr>
          <w:rFonts w:ascii="Times New Roman" w:hAnsi="Times New Roman"/>
          <w:i/>
          <w:color w:val="4C5963"/>
          <w:sz w:val="17"/>
        </w:rPr>
        <w:t xml:space="preserve"> is linearized at its first image. (c) Ratio of mean finite-radius final-logit </w:t>
      </w:r>
      <m:oMath>
        <m:sSub>
          <m:e>
            <m:r>
              <m:t xml:space="preserve">L</m:t>
            </m:r>
          </m:e>
          <m:sub>
            <m:r>
              <m:t xml:space="preserve">2</m:t>
            </m:r>
          </m:sub>
        </m:sSub>
      </m:oMath>
      <w:r>
        <w:rPr>
          <w:rFonts w:ascii="Times New Roman" w:hAnsi="Times New Roman"/>
          <w:i/>
          <w:color w:val="4C5963"/>
          <w:sz w:val="17"/>
        </w:rPr>
        <w:t xml:space="preserve"> damage under the multi-block top mode to that under the multi-block near-null mode at </w:t>
      </w:r>
      <m:oMath>
        <m:r>
          <m:t xml:space="preserve">s</m:t>
        </m:r>
        <m:r>
          <m:t xml:space="preserve">=</m:t>
        </m:r>
        <m:r>
          <m:t xml:space="preserve">0</m:t>
        </m:r>
        <m:r>
          <m:t xml:space="preserve">.</m:t>
        </m:r>
        <m:r>
          <m:t xml:space="preserve">4</m:t>
        </m:r>
      </m:oMath>
      <w:r>
        <w:rPr>
          <w:rFonts w:ascii="Times New Roman" w:hAnsi="Times New Roman"/>
          <w:i/>
          <w:color w:val="4C5963"/>
          <w:sz w:val="17"/>
        </w:rPr>
        <w:t>. DINOv2 uses its official CLS-plus-mean-patch readout.</w:t>
      </w:r>
    </w:p>
    <w:p>
      <w:pPr>
        <w:spacing w:after="100" w:line="259" w:lineRule="auto"/>
      </w:pPr>
      <w:r>
        <w:rPr>
          <w:rFonts w:ascii="Times New Roman" w:hAnsi="Times New Roman"/>
          <w:b/>
          <w:color w:val="202A32"/>
          <w:sz w:val="20"/>
        </w:rPr>
        <w:t>Mechanistic synthesis.</w:t>
      </w:r>
      <w:r>
        <w:rPr>
          <w:rFonts w:ascii="Times New Roman" w:hAnsi="Times New Roman"/>
          <w:i w:val="0"/>
          <w:color w:val="202A32"/>
          <w:sz w:val="20"/>
        </w:rPr>
        <w:t xml:space="preserve"> The three analyses measure complementary parts of the same pathway: </w:t>
      </w:r>
      <m:oMath>
        <m:sSub>
          <m:e>
            <m:r>
              <m:t xml:space="preserve">M</m:t>
            </m:r>
          </m:e>
          <m:sub>
            <m:r>
              <m:t xml:space="preserve">ℓ</m:t>
            </m:r>
          </m:sub>
        </m:sSub>
      </m:oMath>
      <w:r>
        <w:rPr>
          <w:rFonts w:ascii="Times New Roman" w:hAnsi="Times New Roman"/>
          <w:i w:val="0"/>
          <w:color w:val="202A32"/>
          <w:sz w:val="20"/>
        </w:rPr>
        <w:t xml:space="preserve"> characterizes local feature-direction sensitivity, token-position coherence shapes attention-mediated accumulation or cancellation, and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pPr>
        <w:pStyle w:val="Heading1"/>
        <w:keepNext/>
      </w:pPr>
      <w:r>
        <w:rPr>
          <w:rFonts w:ascii="Times New Roman" w:hAnsi="Times New Roman"/>
          <w:b/>
          <w:color w:val="000000"/>
          <w:sz w:val="28"/>
        </w:rPr>
        <w:t>6. Operator-Aware Token Compression</w:t>
      </w:r>
    </w:p>
    <w:p>
      <w:pPr>
        <w:pStyle w:val="Heading2"/>
        <w:keepNext/>
      </w:pPr>
      <w:r>
        <w:rPr>
          <w:rFonts w:ascii="Times New Roman" w:hAnsi="Times New Roman"/>
          <w:b/>
          <w:color w:val="000000"/>
          <w:sz w:val="23"/>
        </w:rPr>
        <w:t>6.1 Carrier Grouping and Optimization</w:t>
      </w:r>
    </w:p>
    <w:p>
      <w:pPr>
        <w:spacing w:after="100" w:line="259" w:lineRule="auto"/>
      </w:pPr>
      <w:r>
        <w:rPr>
          <w:rFonts w:ascii="Times New Roman" w:hAnsi="Times New Roman"/>
          <w:i w:val="0"/>
          <w:color w:val="202A32"/>
          <w:sz w:val="20"/>
        </w:rPr>
        <w:t xml:space="preserve">For each image, </w:t>
      </w:r>
      <m:oMath>
        <m:sSub>
          <m:e>
            <m:r>
              <m:t xml:space="preserve">n</m:t>
            </m:r>
          </m:e>
          <m:sub>
            <m:r>
              <m:t xml:space="preserve">p</m:t>
            </m:r>
          </m:sub>
        </m:sSub>
      </m:oMath>
      <w:r>
        <w:rPr>
          <w:rFonts w:ascii="Times New Roman" w:hAnsi="Times New Roman"/>
          <w:i w:val="0"/>
          <w:color w:val="202A32"/>
          <w:sz w:val="20"/>
        </w:rPr>
        <w:t xml:space="preserve"> patch tokens are assigned to B carriers. Let S∈</w:t>
      </w:r>
      <m:oMath>
        <m:sSup>
          <m:e>
            <m:r>
              <m:t xml:space="preserve">{</m:t>
            </m:r>
            <m:r>
              <m:t xml:space="preserve">0</m:t>
            </m:r>
            <m:r>
              <m:t xml:space="preserve">,</m:t>
            </m:r>
            <m:r>
              <m:t xml:space="preserve">1</m:t>
            </m:r>
            <m:r>
              <m:t xml:space="preserve">}</m:t>
            </m:r>
          </m:e>
          <m:sup>
            <m:sSub>
              <m:e>
                <m:r>
                  <m:t xml:space="preserve">n</m:t>
                </m:r>
              </m:e>
              <m:sub>
                <m:r>
                  <m:t xml:space="preserve">p</m:t>
                </m:r>
              </m:sub>
            </m:sSub>
            <m:r>
              <m:t xml:space="preserve">×</m:t>
            </m:r>
            <m:r>
              <m:t xml:space="preserve">B</m:t>
            </m:r>
          </m:sup>
        </m:sSup>
      </m:oMath>
      <w:r>
        <w:rPr>
          <w:rFonts w:ascii="Times New Roman" w:hAnsi="Times New Roman"/>
          <w:i w:val="0"/>
          <w:color w:val="202A32"/>
          <w:sz w:val="20"/>
        </w:rPr>
        <w:t xml:space="preserve"> be the assignment matrix, with exactly one nonzero per row, and let C∈</w:t>
      </w:r>
      <m:oMath>
        <m:sSup>
          <m:e>
            <m:r>
              <m:t xml:space="preserve">ℝ</m:t>
            </m:r>
          </m:e>
          <m:sup>
            <m:r>
              <m:t xml:space="preserve">B</m:t>
            </m:r>
            <m:r>
              <m:t xml:space="preserve">×</m:t>
            </m:r>
            <m:r>
              <m:t xml:space="preserve">D</m:t>
            </m:r>
          </m:sup>
        </m:sSup>
      </m:oMath>
      <w:r>
        <w:rPr>
          <w:rFonts w:ascii="Times New Roman" w:hAnsi="Times New Roman"/>
          <w:i w:val="0"/>
          <w:color w:val="202A32"/>
          <w:sz w:val="20"/>
        </w:rPr>
        <w:t xml:space="preserve"> contain the carrier vectors. The reconstructed patch matrix is P̂=SC. The set </w:t>
      </w:r>
      <m:oMath>
        <m:sSub>
          <m:e>
            <m:r>
              <m:t xml:space="preserve">G</m:t>
            </m:r>
          </m:e>
          <m:sub>
            <m:r>
              <m:t xml:space="preserve">j</m:t>
            </m:r>
          </m:sub>
        </m:sSub>
      </m:oMath>
      <w:r>
        <w:rPr>
          <w:rFonts w:ascii="Times New Roman" w:hAnsi="Times New Roman"/>
          <w:i w:val="0"/>
          <w:color w:val="202A32"/>
          <w:sz w:val="20"/>
        </w:rPr>
        <w:t xml:space="preserve"> contains the patch indices assigned to carrier j,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is its membership count. The Group Mean baseline sets each carrier to the average of the patches assigned to that group:</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r>
                <m:t xml:space="preserve"> </m:t>
              </m:r>
              <m:sSub>
                <m:e>
                  <m:r>
                    <m:t xml:space="preserve">p</m:t>
                  </m:r>
                </m:e>
                <m:sub>
                  <m:r>
                    <m:t xml:space="preserve">i</m:t>
                  </m:r>
                </m:sub>
              </m:sSub>
              <m:r>
                <m:t xml:space="preserve">,</m:t>
              </m:r>
              <m:r>
                <m:t xml:space="preserve"> </m:t>
              </m:r>
              <m:sSub>
                <m:e>
                  <m:r>
                    <m:t xml:space="preserve">m</m:t>
                  </m:r>
                </m:e>
                <m:sub>
                  <m:r>
                    <m:t xml:space="preserve">j</m:t>
                  </m:r>
                </m:sub>
              </m:sSub>
              <m:r>
                <m:t xml:space="preserve">=</m:t>
              </m:r>
              <m:r>
                <m:t xml:space="preserve">|</m:t>
              </m:r>
              <m:sSub>
                <m:e>
                  <m:r>
                    <m:t xml:space="preserve">G</m:t>
                  </m:r>
                </m:e>
                <m:sub>
                  <m:r>
                    <m:t xml:space="preserve">j</m:t>
                  </m:r>
                </m:sub>
              </m:sSub>
              <m:r>
                <m:t xml:space="preserve">|</m:t>
              </m:r>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(6)</w:t>
            </w:r>
          </w:p>
        </w:tc>
      </w:tr>
    </w:tbl>
    <w:p>
      <w:pPr>
        <w:spacing w:after="100" w:line="259" w:lineRule="auto"/>
      </w:pPr>
      <w:r>
        <w:rPr>
          <w:rFonts w:ascii="Times New Roman" w:hAnsi="Times New Roman"/>
          <w:i w:val="0"/>
          <w:color w:val="202A32"/>
          <w:sz w:val="20"/>
        </w:rPr>
        <w:t xml:space="preserve">The residual matrix E=P−SC is the difference between the original and reconstructed patch features. </w:t>
      </w:r>
      <w:r>
        <w:rPr>
          <w:rFonts w:ascii="Times New Roman" w:hAnsi="Times New Roman"/>
          <w:b/>
          <w:color w:val="202A32"/>
          <w:sz w:val="20"/>
        </w:rPr>
        <w:t>Low-rank operator approximation.</w:t>
      </w:r>
      <w:r>
        <w:rPr>
          <w:rFonts w:ascii="Times New Roman" w:hAnsi="Times New Roman"/>
          <w:i w:val="0"/>
          <w:color w:val="202A32"/>
          <w:sz w:val="20"/>
        </w:rPr>
        <w:t xml:space="preserve"> The full-J oracle uses </w:t>
      </w:r>
      <m:oMath>
        <m:sSub>
          <m:e>
            <m:r>
              <m:t xml:space="preserve">J</m:t>
            </m:r>
          </m:e>
          <m:sub>
            <m:r>
              <m:t xml:space="preserve">s</m:t>
            </m:r>
          </m:sub>
        </m:sSub>
      </m:oMath>
      <w:r>
        <w:rPr>
          <w:rFonts w:ascii="Times New Roman" w:hAnsi="Times New Roman"/>
          <w:i w:val="0"/>
          <w:color w:val="202A32"/>
          <w:sz w:val="20"/>
        </w:rPr>
        <w:t>=</w:t>
      </w:r>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for a rank-r approximation, the solver instead uses </w:t>
      </w:r>
      <m:oMath>
        <m:sSub>
          <m:e>
            <m:r>
              <m:t xml:space="preserve">J</m:t>
            </m:r>
          </m:e>
          <m:sub>
            <m:r>
              <m:t xml:space="preserve">s</m:t>
            </m:r>
          </m:sub>
        </m:sSub>
      </m:oMath>
      <w:r>
        <w:rPr>
          <w:rFonts w:ascii="Times New Roman" w:hAnsi="Times New Roman"/>
          <w:i w:val="0"/>
          <w:color w:val="202A32"/>
          <w:sz w:val="20"/>
        </w:rPr>
        <w:t>=</w:t>
      </w:r>
      <m:oMath>
        <m:sSubSup>
          <m:e>
            <m:r>
              <m:t xml:space="preserve">U</m:t>
            </m:r>
          </m:e>
          <m:sub>
            <m:r>
              <m:t xml:space="preserve">r</m:t>
            </m:r>
          </m:sub>
          <m:sup>
            <m:r>
              <m:t xml:space="preserve">T</m:t>
            </m:r>
          </m:sup>
        </m:sSubSup>
      </m:oMath>
      <m:oMath>
        <m:sSub>
          <m:e>
            <m:r>
              <m:t xml:space="preserve">J</m:t>
            </m:r>
          </m:e>
          <m:sub>
            <m:r>
              <m:t xml:space="preserve">ℓ</m:t>
            </m:r>
            <m:r>
              <m:t xml:space="preserve">→</m:t>
            </m:r>
            <m:r>
              <m:t xml:space="preserve">L</m:t>
            </m:r>
          </m:sub>
        </m:sSub>
      </m:oMath>
      <w:r>
        <w:rPr>
          <w:rFonts w:ascii="Times New Roman" w:hAnsi="Times New Roman"/>
          <w:i w:val="0"/>
          <w:color w:val="202A32"/>
          <w:sz w:val="20"/>
        </w:rPr>
        <w:t xml:space="preserve">, where </w:t>
      </w:r>
      <m:oMath>
        <m:sSub>
          <m:e>
            <m:r>
              <m:t xml:space="preserve">U</m:t>
            </m:r>
          </m:e>
          <m:sub>
            <m:r>
              <m:t xml:space="preserve">r</m:t>
            </m:r>
          </m:sub>
        </m:sSub>
      </m:oMath>
      <w:r>
        <w:rPr>
          <w:rFonts w:ascii="Times New Roman" w:hAnsi="Times New Roman"/>
          <w:i w:val="0"/>
          <w:color w:val="202A32"/>
          <w:sz w:val="20"/>
        </w:rPr>
        <w:t xml:space="preserve"> contains the leading left singular vectors. In either case, the solver minimizes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C</m:t>
                  </m:r>
                </m:e>
                <m:sup>
                  <m:r>
                    <m:t xml:space="preserve">*</m:t>
                  </m:r>
                </m:sup>
              </m:sSup>
              <m:r>
                <m:t xml:space="preserve">=</m:t>
              </m:r>
              <m:r>
                <m:t xml:space="preserve">arg</m:t>
              </m:r>
              <m:r>
                <m:t xml:space="preserve"> </m:t>
              </m:r>
              <m:sSub>
                <m:e>
                  <m:r>
                    <m:t xml:space="preserve">min</m:t>
                  </m:r>
                </m:e>
                <m:sub>
                  <m:r>
                    <m:t xml:space="preserve">C</m:t>
                  </m:r>
                </m:sub>
              </m:sSub>
              <m:r>
                <m:t xml:space="preserve"> </m:t>
              </m:r>
              <m:r>
                <m:t xml:space="preserve">‖</m:t>
              </m:r>
              <m:sSub>
                <m:e>
                  <m:r>
                    <m:t xml:space="preserve">J</m:t>
                  </m:r>
                </m:e>
                <m:sub>
                  <m:r>
                    <m:t xml:space="preserve">s</m:t>
                  </m:r>
                </m:sub>
              </m:sSub>
              <m:r>
                <m:t xml:space="preserve"> </m:t>
              </m:r>
              <m:r>
                <m:t xml:space="preserve">rvec</m:t>
              </m:r>
              <m:r>
                <m:t xml:space="preserve">(</m:t>
              </m:r>
              <m:r>
                <m:t xml:space="preserve">P</m:t>
              </m:r>
              <m:r>
                <m:t xml:space="preserve">−</m:t>
              </m:r>
              <m:r>
                <m:t xml:space="preserve">SC</m:t>
              </m:r>
              <m:r>
                <m:t xml:space="preserve">)</m:t>
              </m:r>
              <m:sSubSup>
                <m:e>
                  <m:r>
                    <m:t xml:space="preserve">‖</m:t>
                  </m:r>
                </m:e>
                <m:sub>
                  <m:r>
                    <m:t xml:space="preserve">2</m:t>
                  </m:r>
                </m:sub>
                <m:sup>
                  <m:r>
                    <m:t xml:space="preserve">2</m:t>
                  </m:r>
                </m:sup>
              </m:sSubSup>
              <m:r>
                <m:t xml:space="preserve"> </m:t>
              </m:r>
              <m:r>
                <m:t xml:space="preserve">+</m:t>
              </m:r>
              <m:r>
                <m:t xml:space="preserve"> </m:t>
              </m:r>
              <m:r>
                <m:t xml:space="preserve">λ</m:t>
              </m:r>
              <m:r>
                <m:t xml:space="preserve">‖</m:t>
              </m:r>
              <m:r>
                <m:t xml:space="preserve">P</m:t>
              </m:r>
              <m:r>
                <m:t xml:space="preserve">−</m:t>
              </m:r>
              <m:r>
                <m:t xml:space="preserve">SC</m:t>
              </m:r>
              <m:sSubSup>
                <m:e>
                  <m:r>
                    <m:t xml:space="preserve">‖</m:t>
                  </m:r>
                </m:e>
                <m:sub>
                  <m:r>
                    <m:t xml:space="preserve">F</m:t>
                  </m:r>
                </m:sub>
                <m:sup>
                  <m:r>
                    <m:t xml:space="preserve">2</m:t>
                  </m:r>
                </m:sup>
              </m:sSubSup>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(7)</w:t>
            </w:r>
          </w:p>
        </w:tc>
      </w:tr>
    </w:tbl>
    <w:p>
      <w:pPr>
        <w:spacing w:after="100" w:line="259" w:lineRule="auto"/>
      </w:pPr>
      <w:r>
        <w:rPr>
          <w:rFonts w:ascii="Times New Roman" w:hAnsi="Times New Roman"/>
          <w:i w:val="0"/>
          <w:color w:val="202A32"/>
          <w:sz w:val="20"/>
        </w:rPr>
        <w:t xml:space="preserve">The first term penalizes the readout change predicted by the selected operator, while the second is a trace-scaled Tikhonov penalty. Let </w:t>
      </w:r>
      <m:oMath>
        <m:sSub>
          <m:e>
            <m:r>
              <m:t xml:space="preserve">d</m:t>
            </m:r>
          </m:e>
          <m:sub>
            <m:r>
              <m:t xml:space="preserve">s</m:t>
            </m:r>
          </m:sub>
        </m:sSub>
      </m:oMath>
      <w:r>
        <w:rPr>
          <w:rFonts w:ascii="Times New Roman" w:hAnsi="Times New Roman"/>
          <w:i w:val="0"/>
          <w:color w:val="202A32"/>
          <w:sz w:val="20"/>
        </w:rPr>
        <w:t xml:space="preserve"> be the row dimension of </w:t>
      </w:r>
      <m:oMath>
        <m:sSub>
          <m:e>
            <m:r>
              <m:t xml:space="preserve">J</m:t>
            </m:r>
          </m:e>
          <m:sub>
            <m:r>
              <m:t xml:space="preserve">s</m:t>
            </m:r>
          </m:sub>
        </m:sSub>
      </m:oMath>
      <w:r>
        <w:rPr>
          <w:rFonts w:ascii="Times New Roman" w:hAnsi="Times New Roman"/>
          <w:i w:val="0"/>
          <w:color w:val="202A32"/>
          <w:sz w:val="20"/>
        </w:rPr>
        <w:t xml:space="preserve"> (</w:t>
      </w:r>
      <m:oMath>
        <m:sSub>
          <m:e>
            <m:r>
              <m:t xml:space="preserve">d</m:t>
            </m:r>
          </m:e>
          <m:sub>
            <m:r>
              <m:t xml:space="preserve">u</m:t>
            </m:r>
          </m:sub>
        </m:sSub>
      </m:oMath>
      <w:r>
        <w:rPr>
          <w:rFonts w:ascii="Times New Roman" w:hAnsi="Times New Roman"/>
          <w:i w:val="0"/>
          <w:color w:val="202A32"/>
          <w:sz w:val="20"/>
        </w:rPr>
        <w:t xml:space="preserve"> for the full operator and r for a rank-r solve), and let </w:t>
      </w:r>
      <m:oMath>
        <m:sSub>
          <m:e>
            <m:r>
              <m:t xml:space="preserve">(</m:t>
            </m:r>
            <m:sSub>
              <m:e>
                <m:r>
                  <m:t xml:space="preserve">J</m:t>
                </m:r>
              </m:e>
              <m:sub>
                <m:r>
                  <m:t xml:space="preserve">s</m:t>
                </m:r>
              </m:sub>
            </m:sSub>
            <m:r>
              <m:t xml:space="preserve">)</m:t>
            </m:r>
          </m:e>
          <m:sub>
            <m:r>
              <m:t xml:space="preserve">i</m:t>
            </m:r>
          </m:sub>
        </m:sSub>
      </m:oMath>
      <w:r>
        <w:rPr>
          <w:rFonts w:ascii="Times New Roman" w:hAnsi="Times New Roman"/>
          <w:i w:val="0"/>
          <w:color w:val="202A32"/>
          <w:sz w:val="20"/>
        </w:rPr>
        <w:t xml:space="preserve"> be its D-column block for patch i. The solver constructs the readout-space Gram matrix and regularization scale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K</m:t>
                  </m:r>
                </m:e>
                <m:sub>
                  <m:r>
                    <m:t xml:space="preserve">j</m:t>
                  </m:r>
                </m:sub>
              </m:sSub>
              <m:r>
                <m:t xml:space="preserve">=</m:t>
              </m:r>
              <m:sSub>
                <m:e>
                  <m:r>
                    <m:t xml:space="preserve">Σ</m:t>
                  </m:r>
                </m:e>
                <m:sub>
                  <m:r>
                    <m:t xml:space="preserve">i</m:t>
                  </m:r>
                  <m:r>
                    <m:t xml:space="preserve">∈</m:t>
                  </m:r>
                  <m:sSub>
                    <m:e>
                      <m:r>
                        <m:t xml:space="preserve">G</m:t>
                      </m:r>
                    </m:e>
                    <m:sub>
                      <m:r>
                        <m:t xml:space="preserve">j</m:t>
                      </m:r>
                    </m:sub>
                  </m:sSub>
                </m:sub>
              </m:sSub>
              <m:sSub>
                <m:e>
                  <m:r>
                    <m:t xml:space="preserve">(</m:t>
                  </m:r>
                  <m:sSub>
                    <m:e>
                      <m:r>
                        <m:t xml:space="preserve">J</m:t>
                      </m:r>
                    </m:e>
                    <m:sub>
                      <m:r>
                        <m:t xml:space="preserve">s</m:t>
                      </m:r>
                    </m:sub>
                  </m:sSub>
                  <m:r>
                    <m:t xml:space="preserve">)</m:t>
                  </m:r>
                </m:e>
                <m:sub>
                  <m:r>
                    <m:t xml:space="preserve">i</m:t>
                  </m:r>
                </m:sub>
              </m:sSub>
              <m:r>
                <m:t xml:space="preserve">,</m:t>
              </m:r>
              <m:r>
                <m:t xml:space="preserve"> </m:t>
              </m:r>
              <m:sSub>
                <m:e>
                  <m:r>
                    <m:t xml:space="preserve">H</m:t>
                  </m:r>
                </m:e>
                <m:sub>
                  <m:r>
                    <m:t xml:space="preserve">J</m:t>
                  </m:r>
                </m:sub>
              </m:sSub>
              <m:r>
                <m:t xml:space="preserve">=</m:t>
              </m:r>
              <m:sSubSup>
                <m:e>
                  <m:r>
                    <m:t xml:space="preserve">Σ</m:t>
                  </m:r>
                </m:e>
                <m:sub>
                  <m:r>
                    <m:t xml:space="preserve">j</m:t>
                  </m:r>
                  <m:r>
                    <m:t xml:space="preserve">=</m:t>
                  </m:r>
                  <m:r>
                    <m:t xml:space="preserve">1</m:t>
                  </m:r>
                </m:sub>
                <m:sup>
                  <m:r>
                    <m:t xml:space="preserve">B</m:t>
                  </m:r>
                </m:sup>
              </m:sSubSup>
              <m:r>
                <m:t xml:space="preserve">(</m:t>
              </m:r>
              <m:r>
                <m:t xml:space="preserve">1</m:t>
              </m:r>
              <m:r>
                <m:t xml:space="preserve">/</m:t>
              </m:r>
              <m:sSub>
                <m:e>
                  <m:r>
                    <m:t xml:space="preserve">m</m:t>
                  </m:r>
                </m:e>
                <m:sub>
                  <m:r>
                    <m:t xml:space="preserve">j</m:t>
                  </m:r>
                </m:sub>
              </m:sSub>
              <m:r>
                <m:t xml:space="preserve">)</m:t>
              </m:r>
              <m:sSub>
                <m:e>
                  <m:r>
                    <m:t xml:space="preserve">K</m:t>
                  </m:r>
                </m:e>
                <m:sub>
                  <m:r>
                    <m:t xml:space="preserve">j</m:t>
                  </m:r>
                </m:sub>
              </m:sSub>
              <m:r>
                <m:t xml:space="preserve"> </m:t>
              </m:r>
              <m:sSubSup>
                <m:e>
                  <m:r>
                    <m:t xml:space="preserve">K</m:t>
                  </m:r>
                </m:e>
                <m:sub>
                  <m:r>
                    <m:t xml:space="preserve">j</m:t>
                  </m:r>
                </m:sub>
                <m:sup>
                  <m:r>
                    <m:t xml:space="preserve">T</m:t>
                  </m:r>
                </m:sup>
              </m:sSubSup>
              <m:r>
                <m:t xml:space="preserve">,</m:t>
              </m:r>
              <m:r>
                <m:t xml:space="preserve"> </m:t>
              </m:r>
              <m:r>
                <m:t xml:space="preserve">λ</m:t>
              </m:r>
              <m:r>
                <m:t xml:space="preserve">=</m:t>
              </m:r>
              <m:r>
                <m:t xml:space="preserve">10</m:t>
              </m:r>
              <m:r>
                <m:t xml:space="preserve"> </m:t>
              </m:r>
              <m:r>
                <m:t xml:space="preserve">·</m:t>
              </m:r>
              <m:r>
                <m:t xml:space="preserve"> </m:t>
              </m:r>
              <m:r>
                <m:t xml:space="preserve">tr</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(8)</w:t>
            </w:r>
          </w:p>
        </w:tc>
      </w:tr>
    </w:tbl>
    <w:p>
      <w:pPr>
        <w:spacing w:after="100" w:line="259" w:lineRule="auto"/>
      </w:pPr>
      <m:oMath>
        <m:sSub>
          <m:e>
            <m:r>
              <m:t xml:space="preserve">H</m:t>
            </m:r>
          </m:e>
          <m:sub>
            <m:r>
              <m:t xml:space="preserve">J</m:t>
            </m:r>
          </m:sub>
        </m:sSub>
      </m:oMath>
      <w:r>
        <w:rPr>
          <w:rFonts w:ascii="Times New Roman" w:hAnsi="Times New Roman"/>
          <w:i w:val="0"/>
          <w:color w:val="202A32"/>
          <w:sz w:val="20"/>
        </w:rP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r</m:t>
                  </m:r>
                </m:e>
                <m:sub>
                  <m:r>
                    <m:t xml:space="preserve">mean</m:t>
                  </m:r>
                </m:sub>
              </m:sSub>
              <m:r>
                <m:t xml:space="preserve">=</m:t>
              </m:r>
              <m:sSub>
                <m:e>
                  <m:r>
                    <m:t xml:space="preserve">J</m:t>
                  </m:r>
                </m:e>
                <m:sub>
                  <m:r>
                    <m:t xml:space="preserve">s</m:t>
                  </m:r>
                </m:sub>
              </m:sSub>
              <m:r>
                <m:t xml:space="preserve"> </m:t>
              </m:r>
              <m:r>
                <m:t xml:space="preserve">rvec</m:t>
              </m:r>
              <m:r>
                <m:t xml:space="preserve">(</m:t>
              </m:r>
              <m:sSub>
                <m:e>
                  <m:r>
                    <m:t xml:space="preserve">E</m:t>
                  </m:r>
                </m:e>
                <m:sub>
                  <m:r>
                    <m:t xml:space="preserve">mean</m:t>
                  </m:r>
                </m:sub>
              </m:sSub>
              <m:r>
                <m:t xml:space="preserve">)</m:t>
              </m:r>
              <m:r>
                <m:t xml:space="preserve">,</m:t>
              </m:r>
            </m:oMath>
          </w:p>
          <w:p>
            <w:pPr>
              <w:keepLines/>
              <w:spacing w:before="0" w:after="0" w:line="240" w:lineRule="auto"/>
              <w:jc w:val="center"/>
            </w:pPr>
            <m:oMath>
              <m:sSubSup>
                <m:e>
                  <m:r>
                    <m:t xml:space="preserve">c</m:t>
                  </m:r>
                </m:e>
                <m:sub>
                  <m:r>
                    <m:t xml:space="preserve">j</m:t>
                  </m:r>
                </m:sub>
                <m:sup>
                  <m:r>
                    <m:t xml:space="preserve">*</m:t>
                  </m:r>
                </m:sup>
              </m:sSubSup>
              <m:r>
                <m:t xml:space="preserve">=</m:t>
              </m:r>
              <m:sSubSup>
                <m:e>
                  <m:r>
                    <m:t xml:space="preserve">c</m:t>
                  </m:r>
                </m:e>
                <m:sub>
                  <m:r>
                    <m:t xml:space="preserve">j</m:t>
                  </m:r>
                </m:sub>
                <m:sup>
                  <m:r>
                    <m:t xml:space="preserve">mean</m:t>
                  </m:r>
                </m:sup>
              </m:sSubSup>
              <m:r>
                <m:t xml:space="preserve">+</m:t>
              </m:r>
              <m:r>
                <m:t xml:space="preserve">(</m:t>
              </m:r>
              <m:r>
                <m:t xml:space="preserve">1</m:t>
              </m:r>
              <m:r>
                <m:t xml:space="preserve">/</m:t>
              </m:r>
              <m:sSub>
                <m:e>
                  <m:r>
                    <m:t xml:space="preserve">m</m:t>
                  </m:r>
                </m:e>
                <m:sub>
                  <m:r>
                    <m:t xml:space="preserve">j</m:t>
                  </m:r>
                </m:sub>
              </m:sSub>
              <m:r>
                <m:t xml:space="preserve">)</m:t>
              </m:r>
              <m:sSubSup>
                <m:e>
                  <m:r>
                    <m:t xml:space="preserve">K</m:t>
                  </m:r>
                </m:e>
                <m:sub>
                  <m:r>
                    <m:t xml:space="preserve">j</m:t>
                  </m:r>
                </m:sub>
                <m:sup>
                  <m:r>
                    <m:t xml:space="preserve">T</m:t>
                  </m:r>
                </m:sup>
              </m:sSubSup>
              <m:sSup>
                <m:e>
                  <m:r>
                    <m:t xml:space="preserve">(</m:t>
                  </m:r>
                  <m:sSub>
                    <m:e>
                      <m:r>
                        <m:t xml:space="preserve">H</m:t>
                      </m:r>
                    </m:e>
                    <m:sub>
                      <m:r>
                        <m:t xml:space="preserve">J</m:t>
                      </m:r>
                    </m:sub>
                  </m:sSub>
                  <m:r>
                    <m:t xml:space="preserve">+</m:t>
                  </m:r>
                  <m:sSub>
                    <m:e>
                      <m:r>
                        <m:t xml:space="preserve">λI</m:t>
                      </m:r>
                    </m:e>
                    <m:sub>
                      <m:sSub>
                        <m:e>
                          <m:r>
                            <m:t xml:space="preserve">d</m:t>
                          </m:r>
                        </m:e>
                        <m:sub>
                          <m:r>
                            <m:t xml:space="preserve">s</m:t>
                          </m:r>
                        </m:sub>
                      </m:sSub>
                    </m:sub>
                  </m:sSub>
                  <m:r>
                    <m:t xml:space="preserve">)</m:t>
                  </m:r>
                </m:e>
                <m:sup>
                  <m:r>
                    <m:t xml:space="preserve">-</m:t>
                  </m:r>
                  <m:r>
                    <m:t xml:space="preserve">1</m:t>
                  </m:r>
                </m:sup>
              </m:sSup>
              <m:sSub>
                <m:e>
                  <m:r>
                    <m:t xml:space="preserve">r</m:t>
                  </m:r>
                </m:e>
                <m:sub>
                  <m:r>
                    <m:t xml:space="preserve">mean</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(9)</w:t>
            </w:r>
          </w:p>
        </w:tc>
      </w:tr>
    </w:tbl>
    <w:p>
      <w:pPr>
        <w:spacing w:after="100" w:line="259" w:lineRule="auto"/>
      </w:pPr>
      <w:r>
        <w:rPr>
          <w:rFonts w:ascii="Times New Roman" w:hAnsi="Times New Roman"/>
          <w:i w:val="0"/>
          <w:color w:val="202A32"/>
          <w:sz w:val="20"/>
        </w:rP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pPr>
        <w:spacing w:after="100" w:line="259" w:lineRule="auto"/>
      </w:pPr>
      <w:r>
        <w:rPr>
          <w:rFonts w:ascii="Times New Roman" w:hAnsi="Times New Roman"/>
          <w:i w:val="0"/>
          <w:color w:val="202A32"/>
          <w:sz w:val="20"/>
        </w:rPr>
        <w:t xml:space="preserve">Each compressed key also carries the number </w:t>
      </w:r>
      <m:oMath>
        <m:sSub>
          <m:e>
            <m:r>
              <m:t xml:space="preserve">s</m:t>
            </m:r>
          </m:e>
          <m:sub>
            <m:r>
              <m:t xml:space="preserve">t</m:t>
            </m:r>
          </m:sub>
        </m:sSub>
      </m:oMath>
      <w:r>
        <w:rPr>
          <w:rFonts w:ascii="Times New Roman" w:hAnsi="Times New Roman"/>
          <w:i w:val="0"/>
          <w:color w:val="202A32"/>
          <w:sz w:val="20"/>
        </w:rPr>
        <w:t xml:space="preserve"> of original tokens represented by that key. With T=B+1 compressed tokens and </w:t>
      </w:r>
      <m:oMath>
        <m:sSub>
          <m:e>
            <m:r>
              <m:t xml:space="preserve">d</m:t>
            </m:r>
          </m:e>
          <m:sub>
            <m:r>
              <m:t xml:space="preserve">h</m:t>
            </m:r>
          </m:sub>
        </m:sSub>
      </m:oMath>
      <w:r>
        <w:rPr>
          <w:rFonts w:ascii="Times New Roman" w:hAnsi="Times New Roman"/>
          <w:i w:val="0"/>
          <w:color w:val="202A32"/>
          <w:sz w:val="20"/>
        </w:rPr>
        <w:t xml:space="preserve"> dimensions per head, the compressed attention adds log multiplicity to each key's attention logit:</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p>
                <m:e>
                  <m:r>
                    <m:t xml:space="preserve">A</m:t>
                  </m:r>
                </m:e>
                <m:sup>
                  <m:r>
                    <m:t xml:space="preserve">(</m:t>
                  </m:r>
                  <m:r>
                    <m:t xml:space="preserve">h</m:t>
                  </m:r>
                  <m:r>
                    <m:t xml:space="preserve">)</m:t>
                  </m:r>
                </m:sup>
              </m:sSup>
              <m:r>
                <m:t xml:space="preserve">=</m:t>
              </m:r>
              <m:sSub>
                <m:e>
                  <m:r>
                    <m:t xml:space="preserve">softmax</m:t>
                  </m:r>
                </m:e>
                <m:sub>
                  <m:r>
                    <m:t xml:space="preserve">key</m:t>
                  </m:r>
                </m:sub>
              </m:sSub>
              <m:r>
                <m:t xml:space="preserve">(</m:t>
              </m:r>
              <m:sSup>
                <m:e>
                  <m:r>
                    <m:t xml:space="preserve">Q</m:t>
                  </m:r>
                </m:e>
                <m:sup>
                  <m:r>
                    <m:t xml:space="preserve">(</m:t>
                  </m:r>
                  <m:r>
                    <m:t xml:space="preserve">h</m:t>
                  </m:r>
                  <m:r>
                    <m:t xml:space="preserve">)</m:t>
                  </m:r>
                </m:sup>
              </m:sSup>
              <m:sSup>
                <m:e>
                  <m:r>
                    <m:t xml:space="preserve">K</m:t>
                  </m:r>
                </m:e>
                <m:sup>
                  <m:r>
                    <m:t xml:space="preserve">(</m:t>
                  </m:r>
                  <m:r>
                    <m:t xml:space="preserve">h</m:t>
                  </m:r>
                  <m:r>
                    <m:t xml:space="preserve">)</m:t>
                  </m:r>
                  <m:r>
                    <m:t xml:space="preserve">T</m:t>
                  </m:r>
                </m:sup>
              </m:sSup>
              <m:r>
                <m:t xml:space="preserve">/</m:t>
              </m:r>
              <m:r>
                <m:t xml:space="preserve">√</m:t>
              </m:r>
              <m:sSub>
                <m:e>
                  <m:r>
                    <m:t xml:space="preserve">d</m:t>
                  </m:r>
                </m:e>
                <m:sub>
                  <m:r>
                    <m:t xml:space="preserve">h</m:t>
                  </m:r>
                </m:sub>
              </m:sSub>
              <m:r>
                <m:t xml:space="preserve">+</m:t>
              </m:r>
              <m:sSub>
                <m:e>
                  <m:r>
                    <m:t xml:space="preserve">1</m:t>
                  </m:r>
                </m:e>
                <m:sub>
                  <m:r>
                    <m:t xml:space="preserve">T</m:t>
                  </m:r>
                </m:sub>
              </m:sSub>
              <m:sSup>
                <m:e>
                  <m:r>
                    <m:t xml:space="preserve">(</m:t>
                  </m:r>
                  <m:r>
                    <m:t xml:space="preserve">log</m:t>
                  </m:r>
                  <m:r>
                    <m:t xml:space="preserve"> </m:t>
                  </m:r>
                  <m:r>
                    <m:t xml:space="preserve">s</m:t>
                  </m:r>
                  <m:r>
                    <m:t xml:space="preserve">)</m:t>
                  </m:r>
                </m:e>
                <m:sup>
                  <m:r>
                    <m:t xml:space="preserve">T</m:t>
                  </m:r>
                </m:sup>
              </m:sSup>
              <m:r>
                <m:t xml:space="preserve">)</m:t>
              </m:r>
              <m:r>
                <m:t xml:space="preserve">,</m:t>
              </m:r>
              <m:r>
                <m:t xml:space="preserve"> </m:t>
              </m:r>
              <m:sSub>
                <m:e>
                  <m:r>
                    <m:t xml:space="preserve">s</m:t>
                  </m:r>
                </m:e>
                <m:sub>
                  <m:r>
                    <m:t xml:space="preserve">0</m:t>
                  </m:r>
                </m:sub>
              </m:sSub>
              <m:r>
                <m:t xml:space="preserve">=</m:t>
              </m:r>
              <m:r>
                <m:t xml:space="preserve">1</m:t>
              </m:r>
              <m:r>
                <m:t xml:space="preserve">,</m:t>
              </m:r>
              <m:r>
                <m:t xml:space="preserve"> </m:t>
              </m:r>
              <m:sSub>
                <m:e>
                  <m:r>
                    <m:t xml:space="preserve">s</m:t>
                  </m:r>
                </m:e>
                <m:sub>
                  <m:r>
                    <m:t xml:space="preserve">j</m:t>
                  </m:r>
                </m:sub>
              </m:sSub>
              <m:r>
                <m:t xml:space="preserve">=</m:t>
              </m:r>
              <m:sSub>
                <m:e>
                  <m:r>
                    <m:t xml:space="preserve">m</m:t>
                  </m:r>
                </m:e>
                <m:sub>
                  <m:r>
                    <m:t xml:space="preserve">j</m:t>
                  </m:r>
                </m:sub>
              </m:sSub>
              <m:r>
                <m:t xml:space="preserve">.</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(10)</w:t>
            </w:r>
          </w:p>
        </w:tc>
      </w:tr>
    </w:tbl>
    <w:p>
      <w:pPr>
        <w:spacing w:after="100" w:line="259" w:lineRule="auto"/>
      </w:pPr>
      <w:r>
        <w:rPr>
          <w:rFonts w:ascii="Times New Roman" w:hAnsi="Times New Roman"/>
          <w:i w:val="0"/>
          <w:color w:val="202A32"/>
          <w:sz w:val="20"/>
        </w:rPr>
        <w:t xml:space="preserve">The vector s includes multiplicity one for the class token and </w:t>
      </w:r>
      <m:oMath>
        <m:sSub>
          <m:e>
            <m:r>
              <m:t xml:space="preserve">m</m:t>
            </m:r>
          </m:e>
          <m:sub>
            <m:r>
              <m:t xml:space="preserve">j</m:t>
            </m:r>
          </m:sub>
        </m:sSub>
      </m:oMath>
      <w:r>
        <w:rPr>
          <w:rFonts w:ascii="Times New Roman" w:hAnsi="Times New Roman"/>
          <w:i w:val="0"/>
          <w:color w:val="202A32"/>
          <w:sz w:val="20"/>
        </w:rPr>
        <w:t>=|</w:t>
      </w:r>
      <m:oMath>
        <m:sSub>
          <m:e>
            <m:r>
              <m:t xml:space="preserve">G</m:t>
            </m:r>
          </m:e>
          <m:sub>
            <m:r>
              <m:t xml:space="preserve">j</m:t>
            </m:r>
          </m:sub>
        </m:sSub>
      </m:oMath>
      <w:r>
        <w:rPr>
          <w:rFonts w:ascii="Times New Roman" w:hAnsi="Times New Roman"/>
          <w:i w:val="0"/>
          <w:color w:val="202A32"/>
          <w:sz w:val="20"/>
        </w:rPr>
        <w:t xml:space="preserve">| for patch carriers; </w:t>
      </w:r>
      <m:oMath>
        <m:sSub>
          <m:e>
            <m:r>
              <m:t xml:space="preserve">1</m:t>
            </m:r>
          </m:e>
          <m:sub>
            <m:r>
              <m:t xml:space="preserve">T</m:t>
            </m:r>
          </m:sub>
        </m:sSub>
      </m:oMath>
      <w:r>
        <w:rPr>
          <w:rFonts w:ascii="Times New Roman" w:hAnsi="Times New Roman"/>
          <w:i w:val="0"/>
          <w:color w:val="202A32"/>
          <w:sz w:val="20"/>
        </w:rPr>
        <w:t xml:space="preserve"> broadcasts the log-size bias over query positions. This proportional-attention correction is used in Token Merging (ToMe) to account for merged-token size </w:t>
      </w:r>
      <w:r>
        <w:rPr>
          <w:rFonts w:ascii="Times New Roman" w:hAnsi="Times New Roman"/>
          <w:color w:val="202A32"/>
          <w:sz w:val="20"/>
        </w:rPr>
        <w:t>[13]</w:t>
      </w:r>
      <w:r>
        <w:rPr>
          <w:rFonts w:ascii="Times New Roman" w:hAnsi="Times New Roman"/>
          <w:i w:val="0"/>
          <w:color w:val="202A32"/>
          <w:sz w:val="20"/>
        </w:rPr>
        <w:t>. The implementation applies the same key bias in each compressed downstream attention block.</w:t>
      </w:r>
    </w:p>
    <w:p>
      <w:pPr>
        <w:pStyle w:val="Heading2"/>
        <w:keepNext/>
      </w:pPr>
      <w:r>
        <w:rPr>
          <w:rFonts w:ascii="Times New Roman" w:hAnsi="Times New Roman"/>
          <w:b/>
          <w:color w:val="000000"/>
          <w:sz w:val="23"/>
        </w:rPr>
        <w:t>6.2 Confirmatory Compression Results</w:t>
      </w:r>
    </w:p>
    <w:p>
      <w:pPr>
        <w:spacing w:after="100" w:line="259" w:lineRule="auto"/>
      </w:pPr>
      <w:r>
        <w:rPr>
          <w:rFonts w:ascii="Times New Roman" w:hAnsi="Times New Roman"/>
          <w:i w:val="0"/>
          <w:color w:val="202A32"/>
          <w:sz w:val="20"/>
        </w:rP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keepLines/>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7 reports the measured accuracy-token curves, while Table II lists rank-16 and rank-32 Top-1 at each architecture's most aggressive tested budget.</w:t>
      </w:r>
    </w:p>
    <w:p>
      <w:pPr>
        <w:keepNext/>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keepLines/>
        <w:spacing w:after="80"/>
        <w:jc w:val="center"/>
      </w:pPr>
      <w:r>
        <w:rPr>
          <w:rFonts w:ascii="Times New Roman" w:hAnsi="Times New Roman"/>
          <w:i/>
          <w:color w:val="4C5963"/>
          <w:sz w:val="17"/>
        </w:rPr>
        <w:t>Figure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pPr>
        <w:pStyle w:val="Heading1"/>
        <w:keepNext/>
      </w:pPr>
      <w:r>
        <w:rPr>
          <w:rFonts w:ascii="Times New Roman" w:hAnsi="Times New Roman"/>
          <w:b/>
          <w:color w:val="000000"/>
          <w:sz w:val="28"/>
        </w:rPr>
        <w:t>7. Practical Carrier Evaluation</w:t>
      </w:r>
    </w:p>
    <w:p>
      <w:pPr>
        <w:pStyle w:val="Heading2"/>
        <w:keepNext/>
      </w:pPr>
      <w:r>
        <w:rPr>
          <w:rFonts w:ascii="Times New Roman" w:hAnsi="Times New Roman"/>
          <w:b/>
          <w:color w:val="000000"/>
          <w:sz w:val="23"/>
        </w:rPr>
        <w:t>7.1 Static Feature-PCA Corrections</w:t>
      </w:r>
    </w:p>
    <w:p>
      <w:pPr>
        <w:spacing w:after="100" w:line="259" w:lineRule="auto"/>
      </w:pPr>
      <w:r>
        <w:rPr>
          <w:rFonts w:ascii="Times New Roman" w:hAnsi="Times New Roman"/>
          <w:i w:val="0"/>
          <w:color w:val="202A32"/>
          <w:sz w:val="20"/>
        </w:rP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pPr>
        <w:pStyle w:val="Heading2"/>
        <w:keepNext/>
      </w:pPr>
      <w:r>
        <w:rPr>
          <w:rFonts w:ascii="Times New Roman" w:hAnsi="Times New Roman"/>
          <w:b/>
          <w:color w:val="000000"/>
          <w:sz w:val="23"/>
        </w:rPr>
        <w:t>7.2 Classification and Throughput Evaluation</w:t>
      </w:r>
    </w:p>
    <w:p>
      <w:pPr>
        <w:spacing w:after="100" w:line="259" w:lineRule="auto"/>
      </w:pPr>
      <w:r>
        <w:rPr>
          <w:rFonts w:ascii="Times New Roman" w:hAnsi="Times New Roman"/>
          <w:i w:val="0"/>
          <w:color w:val="202A32"/>
          <w:sz w:val="20"/>
        </w:rPr>
        <w:t>Static Feature-PCA does not consistently improve classifier accuracy over Hybrid Group Mean: both DeiT-Small budgets and the aggressive DINOv2 budget are at or below the baseline, while ViT-B/16 AugReg shows a modest positive case (Table III).</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keepLines/>
        <w:spacing w:after="80"/>
        <w:jc w:val="center"/>
      </w:pPr>
      <w:r>
        <w:rPr>
          <w:rFonts w:ascii="Times New Roman" w:hAnsi="Times New Roman"/>
          <w:i/>
          <w:color w:val="4C5963"/>
          <w:sz w:val="17"/>
        </w:rPr>
        <w:t>Table III. Correct predictions out of 1,000 held-out images and Top-1 accuracy for the held-out classifier-carrier study. Parenthetical differences are percentage-point (pp) changes from Hybrid Group Mean at the same architecture and budget. The classifier cohort is distinct from the operator-space study.</w:t>
      </w:r>
    </w:p>
    <w:p>
      <w:pPr>
        <w:spacing w:after="100" w:line="259" w:lineRule="auto"/>
      </w:pPr>
      <w:r>
        <w:rPr>
          <w:rFonts w:ascii="Times New Roman" w:hAnsi="Times New Roman"/>
          <w:i w:val="0"/>
          <w:color w:val="202A32"/>
          <w:sz w:val="20"/>
        </w:rPr>
        <w:t>Figure S1 reports measured full-model throughput.</w:t>
      </w:r>
    </w:p>
    <w:p>
      <w:pPr>
        <w:keepNext/>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keepLines/>
        <w:spacing w:after="80"/>
        <w:jc w:val="center"/>
      </w:pPr>
      <w:r>
        <w:rPr>
          <w:rFonts w:ascii="Times New Roman" w:hAnsi="Times New Roman"/>
          <w:i/>
          <w:color w:val="4C5963"/>
          <w:sz w:val="17"/>
        </w:rPr>
        <w:t>Figure S1. Held-out classifier-carrier accuracy and full-model throughput at batch size 64; q=16 has a narrow ViT-B/16 AugReg frontier contribution.</w:t>
      </w:r>
    </w:p>
    <w:p>
      <w:pPr>
        <w:spacing w:after="100" w:line="259" w:lineRule="auto"/>
      </w:pPr>
      <w:r>
        <w:rPr>
          <w:rFonts w:ascii="Times New Roman" w:hAnsi="Times New Roman"/>
          <w:i w:val="0"/>
          <w:color w:val="202A32"/>
          <w:sz w:val="20"/>
        </w:rP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pPr>
        <w:spacing w:after="100" w:line="259" w:lineRule="auto"/>
      </w:pPr>
      <w:r>
        <w:rPr>
          <w:rFonts w:ascii="Times New Roman" w:hAnsi="Times New Roman"/>
          <w:i w:val="0"/>
          <w:color w:val="202A32"/>
          <w:sz w:val="20"/>
        </w:rPr>
        <w:t>Additional exploratory correction variants are summarized in Supplementary Section S8; they do not change the distinction between operator-space performance and classifier or deployment benefit.</w:t>
      </w:r>
    </w:p>
    <w:p>
      <w:pPr>
        <w:pStyle w:val="Heading1"/>
        <w:keepNext/>
      </w:pPr>
      <w:r>
        <w:rPr>
          <w:rFonts w:ascii="Times New Roman" w:hAnsi="Times New Roman"/>
          <w:b/>
          <w:color w:val="000000"/>
          <w:sz w:val="28"/>
        </w:rPr>
        <w:t>8. Limitations</w:t>
      </w:r>
    </w:p>
    <w:p>
      <w:pPr>
        <w:spacing w:after="100" w:line="259" w:lineRule="auto"/>
      </w:pPr>
      <w:r>
        <w:rPr>
          <w:rFonts w:ascii="Times New Roman" w:hAnsi="Times New Roman"/>
          <w:i w:val="0"/>
          <w:color w:val="202A32"/>
          <w:sz w:val="20"/>
        </w:rPr>
        <w:t>Mechanistic evidence comes from the finite cohorts in Table I and four pretrained vision-transformer families evaluated on one ImageNet validation subset; broader model and task coverage remains untested.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pPr>
        <w:pStyle w:val="Heading1"/>
        <w:keepNext/>
      </w:pPr>
      <w:r>
        <w:rPr>
          <w:rFonts w:ascii="Times New Roman" w:hAnsi="Times New Roman"/>
          <w:b/>
          <w:color w:val="000000"/>
          <w:sz w:val="28"/>
        </w:rPr>
        <w:t>9. Conclusion</w:t>
      </w:r>
    </w:p>
    <w:p>
      <w:pPr>
        <w:spacing w:after="100" w:line="259" w:lineRule="auto"/>
      </w:pPr>
      <w:r>
        <w:rPr>
          <w:rFonts w:ascii="Times New Roman" w:hAnsi="Times New Roman"/>
          <w:i w:val="0"/>
          <w:color w:val="202A32"/>
          <w:sz w:val="20"/>
        </w:rP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e>
            <m:r>
              <m:t xml:space="preserve">10</m:t>
            </m:r>
          </m:e>
          <m:sup>
            <m:r>
              <m:t xml:space="preserve">-</m:t>
            </m:r>
            <m:r>
              <m:t xml:space="preserve">3</m:t>
            </m:r>
          </m:sup>
        </m:sSup>
        <m:sSub>
          <m:e>
            <m:r>
              <m:t xml:space="preserve">λ</m:t>
            </m:r>
          </m:e>
          <m:sub>
            <m:r>
              <m:t xml:space="preserve">max</m:t>
            </m:r>
          </m:sub>
        </m:sSub>
      </m:oMath>
      <w:r>
        <w:rPr>
          <w:rFonts w:ascii="Times New Roman" w:hAnsi="Times New Roman"/>
          <w:i w:val="0"/>
          <w:color w:val="202A32"/>
          <w:sz w:val="20"/>
        </w:rP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pPr>
        <w:pStyle w:val="Heading1"/>
        <w:keepNext/>
      </w:pPr>
      <w:r>
        <w:rPr>
          <w:rFonts w:ascii="Times New Roman" w:hAnsi="Times New Roman"/>
          <w:b/>
          <w:color w:val="000000"/>
          <w:sz w:val="28"/>
        </w:rPr>
        <w:t>Reproducibility and Evidence</w:t>
      </w:r>
    </w:p>
    <w:p>
      <w:pPr>
        <w:spacing w:after="100" w:line="259" w:lineRule="auto"/>
      </w:pPr>
      <w:r>
        <w:rPr>
          <w:rFonts w:ascii="Times New Roman" w:hAnsi="Times New Roman"/>
          <w:i w:val="0"/>
          <w:color w:val="202A32"/>
          <w:sz w:val="20"/>
        </w:rPr>
        <w:t>Code and audited data supporting the confirmatory compression and real classifier-carrier benchmarks are available in the [Patch-Content-Fungibility repository](https://github.com/nhatminh-115/Patch-Content-Fungibility).</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p>
      <w:pPr>
        <w:spacing w:after="80" w:line="240" w:lineRule="auto"/>
        <w:ind w:left="403" w:hanging="403"/>
      </w:pPr>
      <w:r>
        <w:rPr>
          <w:rFonts w:ascii="Times New Roman" w:hAnsi="Times New Roman"/>
          <w:color w:val="26343D"/>
          <w:sz w:val="17"/>
        </w:rPr>
        <w: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